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2B5A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工程量清单编制说明</w:t>
      </w:r>
    </w:p>
    <w:p w14:paraId="059038B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工程概况</w:t>
      </w:r>
    </w:p>
    <w:p w14:paraId="2444FF1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本工程为墙面翻新工程。建设地点位于西安高新第五十一幼儿园墙面改造工程。本工程包括翻新幼儿园外墙面与内墙面，墙裙制作、暖气罩制作、教室隔墙拆装、教室内线框条制作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FCE64F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编制依据</w:t>
      </w:r>
    </w:p>
    <w:p w14:paraId="022F735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招标文件及其所提供的工程量清单工程量是以实际测量工程量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5DD9CE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依据正常的施工组织设计及施工方法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9D82C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采用相关的施工验收的相关规范、标准、技术资料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3DB75A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、材料价格参照最新《陕西工程造价管理信息(材料信息价)》。</w:t>
      </w:r>
    </w:p>
    <w:p w14:paraId="70D8B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计算范围:</w:t>
      </w:r>
    </w:p>
    <w:p w14:paraId="24D01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1、为本次招标的幼儿园外墙、内墙、墙裙、暖气罩、线框条等。</w:t>
      </w:r>
    </w:p>
    <w:p w14:paraId="56C01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四、工程量清单报价表的有关说明</w:t>
      </w:r>
    </w:p>
    <w:p w14:paraId="1BDCF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1、2009年《陕西省建筑工程清单计价规则》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0D9C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2、本工程采用2009《陕西省建筑工程消耗量定额定额》、2009《陕西省装饰工程消耗量定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额</w:t>
      </w:r>
      <w:r>
        <w:rPr>
          <w:rFonts w:hint="eastAsia" w:ascii="仿宋_GB2312" w:hAnsi="仿宋_GB2312" w:eastAsia="仿宋_GB2312" w:cs="仿宋_GB2312"/>
          <w:sz w:val="32"/>
          <w:szCs w:val="32"/>
        </w:rPr>
        <w:t>》及其单价表、取费表。</w:t>
      </w:r>
    </w:p>
    <w:p w14:paraId="112CE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3、人工价根据陕建发〔2021〕1097号进行调整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2E35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价格差根据市场价进行调整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31136D"/>
    <w:multiLevelType w:val="multilevel"/>
    <w:tmpl w:val="8E31136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D0D4E"/>
    <w:rsid w:val="2D3576C1"/>
    <w:rsid w:val="3E1E037D"/>
    <w:rsid w:val="44ED0D4E"/>
    <w:rsid w:val="656C55A9"/>
    <w:rsid w:val="70113CA5"/>
    <w:rsid w:val="7A71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numPr>
        <w:ilvl w:val="0"/>
        <w:numId w:val="1"/>
      </w:numPr>
      <w:spacing w:line="700" w:lineRule="exact"/>
      <w:jc w:val="center"/>
      <w:outlineLvl w:val="0"/>
    </w:pPr>
    <w:rPr>
      <w:rFonts w:ascii="黑体" w:hAnsi="黑体" w:eastAsia="宋体"/>
      <w:b/>
      <w:sz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numPr>
        <w:ilvl w:val="1"/>
        <w:numId w:val="1"/>
      </w:numPr>
      <w:spacing w:line="700" w:lineRule="exact"/>
      <w:outlineLvl w:val="1"/>
    </w:pPr>
    <w:rPr>
      <w:rFonts w:ascii="黑体" w:hAnsi="黑体" w:eastAsia="宋体"/>
      <w:b/>
      <w:sz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napToGrid w:val="0"/>
      <w:spacing w:before="260" w:beforeLines="0" w:beforeAutospacing="0" w:after="260" w:afterLines="0" w:afterAutospacing="0" w:line="300" w:lineRule="auto"/>
      <w:ind w:firstLine="403"/>
      <w:outlineLvl w:val="2"/>
    </w:pPr>
    <w:rPr>
      <w:rFonts w:eastAsia="仿宋_GB2312" w:asciiTheme="minorAscii" w:hAnsiTheme="minorAsci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1 Char"/>
    <w:link w:val="2"/>
    <w:qFormat/>
    <w:uiPriority w:val="0"/>
    <w:rPr>
      <w:rFonts w:ascii="黑体" w:hAnsi="黑体" w:eastAsia="宋体"/>
      <w:b/>
      <w:sz w:val="44"/>
    </w:rPr>
  </w:style>
  <w:style w:type="character" w:customStyle="1" w:styleId="14">
    <w:name w:val="标题 2 Char"/>
    <w:link w:val="3"/>
    <w:uiPriority w:val="0"/>
    <w:rPr>
      <w:rFonts w:ascii="黑体" w:hAnsi="黑体" w:eastAsia="宋体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2026-07-06T01:18:00Z</dcterms:created>
  <dc:creator>陕西华采招标有限公司</dc:creator>
  <cp:lastModifiedBy>陕西华采招标有限公司</cp:lastModifiedBy>
  <dcterms:modified xsi:type="dcterms:W3CDTF">2026-07-06T01:25:13Z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B68C7C970D1E4005A5C8E02F288EB29F_11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