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5"/>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7"/>
        <w:ind w:left="0" w:leftChars="0" w:firstLine="0" w:firstLineChars="0"/>
        <w:rPr>
          <w:color w:val="auto"/>
          <w:sz w:val="36"/>
          <w:szCs w:val="36"/>
        </w:rPr>
      </w:pPr>
    </w:p>
    <w:p w14:paraId="243AF6E0">
      <w:pPr>
        <w:pStyle w:val="27"/>
        <w:spacing w:line="240" w:lineRule="auto"/>
        <w:ind w:right="424" w:rightChars="150" w:firstLine="727"/>
        <w:rPr>
          <w:color w:val="auto"/>
          <w:sz w:val="36"/>
          <w:szCs w:val="36"/>
        </w:rPr>
      </w:pPr>
    </w:p>
    <w:p w14:paraId="084349F6">
      <w:pPr>
        <w:spacing w:line="240" w:lineRule="auto"/>
        <w:ind w:left="2539" w:leftChars="256" w:right="707" w:rightChars="250" w:hanging="1815" w:hangingChars="500"/>
        <w:rPr>
          <w:rFonts w:hint="default"/>
          <w:b/>
          <w:bCs/>
          <w:color w:val="auto"/>
          <w:spacing w:val="-11"/>
          <w:sz w:val="36"/>
          <w:szCs w:val="36"/>
          <w:lang w:val="en-US" w:eastAsia="zh-CN"/>
        </w:rPr>
      </w:pPr>
      <w:r>
        <w:rPr>
          <w:rFonts w:hint="eastAsia"/>
          <w:b/>
          <w:bCs/>
          <w:color w:val="auto"/>
          <w:sz w:val="36"/>
          <w:szCs w:val="36"/>
        </w:rPr>
        <w:t>项目名称：</w:t>
      </w:r>
      <w:r>
        <w:rPr>
          <w:rFonts w:hint="eastAsia"/>
          <w:b/>
          <w:bCs/>
          <w:color w:val="auto"/>
          <w:spacing w:val="-11"/>
          <w:sz w:val="36"/>
          <w:szCs w:val="36"/>
          <w:lang w:val="en-US" w:eastAsia="zh-CN"/>
        </w:rPr>
        <w:t>延安西北局革命旧址管理处管辖区域物业化管理服务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YAZCJC2026-16</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ascii="华文仿宋" w:hAnsi="华文仿宋" w:cs="华文仿宋"/>
          <w:b/>
          <w:bCs/>
          <w:color w:val="auto"/>
          <w:sz w:val="36"/>
          <w:szCs w:val="36"/>
          <w:highlight w:val="none"/>
        </w:rPr>
        <w:t>采 购 人：</w:t>
      </w:r>
      <w:r>
        <w:rPr>
          <w:rFonts w:hint="eastAsia" w:ascii="华文仿宋" w:hAnsi="华文仿宋" w:cs="华文仿宋"/>
          <w:b/>
          <w:bCs/>
          <w:color w:val="auto"/>
          <w:sz w:val="36"/>
          <w:szCs w:val="36"/>
          <w:highlight w:val="none"/>
          <w:lang w:eastAsia="zh-CN"/>
        </w:rPr>
        <w:t>延安西北局革命旧址管理处</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D97440B">
      <w:pPr>
        <w:spacing w:line="240" w:lineRule="auto"/>
        <w:ind w:left="3624" w:leftChars="896" w:right="707" w:rightChars="250" w:hanging="1089" w:hangingChars="3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3F7E424C">
      <w:pPr>
        <w:pStyle w:val="10"/>
      </w:pPr>
    </w:p>
    <w:p w14:paraId="5A361C19">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5</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25</w:t>
      </w:r>
      <w:r>
        <w:rPr>
          <w:rFonts w:hint="eastAsia" w:ascii="仿宋" w:hAnsi="仿宋" w:eastAsia="仿宋" w:cs="仿宋"/>
          <w:b/>
          <w:bCs/>
          <w:color w:val="auto"/>
          <w:sz w:val="36"/>
          <w:szCs w:val="36"/>
          <w:highlight w:val="none"/>
        </w:rPr>
        <w:t>日</w:t>
      </w:r>
      <w:bookmarkStart w:id="0" w:name="_Toc30340_WPSOffice_Level1"/>
      <w:bookmarkStart w:id="1" w:name="_Toc30102_WPSOffice_Level1"/>
      <w:bookmarkStart w:id="2" w:name="_Toc10222_WPSOffice_Level1"/>
    </w:p>
    <w:p w14:paraId="45C132CE">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fmt="numberInDash" w:start="1"/>
          <w:cols w:space="720" w:num="1"/>
          <w:docGrid w:type="linesAndChars" w:linePitch="381" w:charSpace="704"/>
        </w:sectPr>
      </w:pPr>
    </w:p>
    <w:p w14:paraId="08A4F9D5">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5"/>
        <w:tabs>
          <w:tab w:val="right" w:leader="dot" w:pos="9072"/>
        </w:tabs>
        <w:spacing w:line="500" w:lineRule="exact"/>
        <w:ind w:firstLine="566" w:firstLineChars="200"/>
        <w:rPr>
          <w:rFonts w:hint="eastAsia" w:ascii="黑体" w:hAnsi="黑体" w:eastAsia="黑体" w:cs="黑体"/>
          <w:color w:val="auto"/>
        </w:rPr>
      </w:pPr>
    </w:p>
    <w:p w14:paraId="1FA3D71D">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rPr>
        <w:tab/>
      </w:r>
      <w:r>
        <w:rPr>
          <w:rFonts w:hint="eastAsia" w:ascii="黑体" w:hAnsi="黑体" w:eastAsia="黑体" w:cs="黑体"/>
          <w:color w:val="auto"/>
          <w:lang w:val="en-US" w:eastAsia="zh-CN"/>
        </w:rPr>
        <w:t>1</w:t>
      </w:r>
    </w:p>
    <w:p w14:paraId="2756F9C8">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rPr>
        <w:tab/>
      </w:r>
      <w:r>
        <w:rPr>
          <w:rFonts w:hint="eastAsia" w:ascii="黑体" w:hAnsi="黑体" w:eastAsia="黑体" w:cs="黑体"/>
          <w:color w:val="auto"/>
          <w:lang w:val="en-US" w:eastAsia="zh-CN"/>
        </w:rPr>
        <w:t>6</w:t>
      </w:r>
    </w:p>
    <w:p w14:paraId="41224AC9">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rPr>
        <w:tab/>
      </w:r>
      <w:r>
        <w:rPr>
          <w:rFonts w:hint="eastAsia" w:ascii="黑体" w:hAnsi="黑体" w:eastAsia="黑体" w:cs="黑体"/>
          <w:color w:val="auto"/>
          <w:lang w:val="en-US" w:eastAsia="zh-CN"/>
        </w:rPr>
        <w:t>6</w:t>
      </w:r>
    </w:p>
    <w:p w14:paraId="4B69BF30">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rPr>
        <w:tab/>
      </w:r>
      <w:r>
        <w:rPr>
          <w:rFonts w:hint="eastAsia" w:ascii="黑体" w:hAnsi="黑体" w:eastAsia="黑体" w:cs="黑体"/>
          <w:color w:val="auto"/>
          <w:lang w:val="en-US" w:eastAsia="zh-CN"/>
        </w:rPr>
        <w:t>6</w:t>
      </w:r>
    </w:p>
    <w:p w14:paraId="673444E3">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rPr>
        <w:tab/>
      </w:r>
      <w:r>
        <w:rPr>
          <w:rFonts w:hint="eastAsia" w:ascii="黑体" w:hAnsi="黑体" w:eastAsia="黑体" w:cs="黑体"/>
          <w:color w:val="auto"/>
          <w:lang w:val="en-US" w:eastAsia="zh-CN"/>
        </w:rPr>
        <w:t>15</w:t>
      </w:r>
    </w:p>
    <w:p w14:paraId="6E79551A">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6</w:t>
      </w:r>
    </w:p>
    <w:p w14:paraId="1A026BC5">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7</w:t>
      </w:r>
    </w:p>
    <w:p w14:paraId="15BD52A3">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9</w:t>
      </w:r>
    </w:p>
    <w:p w14:paraId="2436DAF9">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rPr>
        <w:tab/>
      </w:r>
      <w:r>
        <w:rPr>
          <w:rFonts w:hint="eastAsia" w:ascii="黑体" w:hAnsi="黑体" w:eastAsia="黑体" w:cs="黑体"/>
          <w:color w:val="auto"/>
          <w:lang w:val="en-US" w:eastAsia="zh-CN"/>
        </w:rPr>
        <w:t>20</w:t>
      </w:r>
    </w:p>
    <w:p w14:paraId="6AFA3470">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rPr>
        <w:tab/>
      </w:r>
      <w:r>
        <w:rPr>
          <w:rFonts w:hint="eastAsia" w:ascii="黑体" w:hAnsi="黑体" w:eastAsia="黑体" w:cs="黑体"/>
          <w:color w:val="auto"/>
          <w:lang w:val="en-US" w:eastAsia="zh-CN"/>
        </w:rPr>
        <w:t>36</w:t>
      </w:r>
    </w:p>
    <w:p w14:paraId="559664C9">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rPr>
        <w:tab/>
      </w:r>
      <w:r>
        <w:rPr>
          <w:rFonts w:hint="eastAsia" w:ascii="黑体" w:hAnsi="黑体" w:eastAsia="黑体" w:cs="黑体"/>
          <w:color w:val="auto"/>
          <w:lang w:val="en-US" w:eastAsia="zh-CN"/>
        </w:rPr>
        <w:t>37</w:t>
      </w:r>
    </w:p>
    <w:p w14:paraId="4A81D74A">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rPr>
        <w:tab/>
      </w:r>
      <w:r>
        <w:rPr>
          <w:rFonts w:hint="eastAsia" w:ascii="黑体" w:hAnsi="黑体" w:eastAsia="黑体" w:cs="黑体"/>
          <w:color w:val="auto"/>
          <w:lang w:val="en-US" w:eastAsia="zh-CN"/>
        </w:rPr>
        <w:t>38</w:t>
      </w:r>
    </w:p>
    <w:p w14:paraId="05A173AD">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rPr>
        <w:tab/>
      </w:r>
      <w:r>
        <w:rPr>
          <w:rFonts w:hint="eastAsia" w:ascii="黑体" w:hAnsi="黑体" w:eastAsia="黑体" w:cs="黑体"/>
          <w:color w:val="auto"/>
          <w:lang w:val="en-US" w:eastAsia="zh-CN"/>
        </w:rPr>
        <w:t>40</w:t>
      </w:r>
    </w:p>
    <w:p w14:paraId="115BF6CD">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rPr>
        <w:tab/>
      </w:r>
      <w:r>
        <w:rPr>
          <w:rFonts w:hint="eastAsia" w:ascii="黑体" w:hAnsi="黑体" w:eastAsia="黑体" w:cs="黑体"/>
          <w:color w:val="auto"/>
          <w:lang w:val="en-US" w:eastAsia="zh-CN"/>
        </w:rPr>
        <w:t>46</w:t>
      </w:r>
    </w:p>
    <w:p w14:paraId="26C1DEB1">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rPr>
        <w:tab/>
      </w:r>
      <w:r>
        <w:rPr>
          <w:rFonts w:hint="eastAsia" w:ascii="黑体" w:hAnsi="黑体" w:eastAsia="黑体" w:cs="黑体"/>
          <w:color w:val="auto"/>
          <w:lang w:val="en-US" w:eastAsia="zh-CN"/>
        </w:rPr>
        <w:t>50</w:t>
      </w:r>
    </w:p>
    <w:p w14:paraId="5D22D407">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rPr>
        <w:tab/>
      </w:r>
      <w:r>
        <w:rPr>
          <w:rFonts w:hint="eastAsia" w:ascii="黑体" w:hAnsi="黑体" w:eastAsia="黑体" w:cs="黑体"/>
          <w:color w:val="auto"/>
          <w:lang w:val="en-US" w:eastAsia="zh-CN"/>
        </w:rPr>
        <w:t>53</w:t>
      </w:r>
    </w:p>
    <w:p w14:paraId="6EDF0147">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rPr>
        <w:tab/>
      </w:r>
      <w:r>
        <w:rPr>
          <w:rFonts w:hint="eastAsia" w:ascii="黑体" w:hAnsi="黑体" w:eastAsia="黑体" w:cs="黑体"/>
          <w:color w:val="auto"/>
          <w:lang w:val="en-US" w:eastAsia="zh-CN"/>
        </w:rPr>
        <w:t>62</w:t>
      </w:r>
    </w:p>
    <w:p w14:paraId="1855B683">
      <w:pPr>
        <w:pStyle w:val="16"/>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rPr>
        <w:tab/>
      </w:r>
      <w:r>
        <w:rPr>
          <w:rFonts w:hint="eastAsia" w:ascii="黑体" w:hAnsi="黑体" w:eastAsia="黑体" w:cs="黑体"/>
          <w:color w:val="auto"/>
          <w:lang w:val="en-US" w:eastAsia="zh-CN"/>
        </w:rPr>
        <w:t>76</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fmt="numberInDash"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rPr>
          <w:rFonts w:ascii="黑体" w:hAnsi="黑体"/>
          <w:b w:val="0"/>
          <w:color w:val="auto"/>
          <w:szCs w:val="32"/>
        </w:rPr>
      </w:pPr>
      <w:bookmarkStart w:id="3" w:name="_Toc24418"/>
      <w:bookmarkStart w:id="4" w:name="_Toc21489"/>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8"/>
        <w:spacing w:line="500" w:lineRule="exact"/>
        <w:ind w:firstLine="567"/>
        <w:rPr>
          <w:rFonts w:ascii="华文仿宋" w:hAnsi="华文仿宋" w:cs="华文仿宋"/>
          <w:color w:val="auto"/>
          <w:highlight w:val="none"/>
        </w:rPr>
      </w:pPr>
      <w:bookmarkStart w:id="6" w:name="_Toc22804_WPSOffice_Level2"/>
      <w:bookmarkStart w:id="7" w:name="_Toc8775_WPSOffice_Level2"/>
      <w:bookmarkStart w:id="8" w:name="_Toc6471"/>
      <w:bookmarkStart w:id="9" w:name="_Toc15046_WPSOffice_Level2"/>
      <w:r>
        <w:rPr>
          <w:rFonts w:hint="eastAsia" w:ascii="华文仿宋" w:hAnsi="华文仿宋" w:cs="华文仿宋"/>
          <w:b/>
          <w:bCs/>
          <w:color w:val="auto"/>
          <w:lang w:eastAsia="zh-CN"/>
        </w:rPr>
        <w:t>延安西北局革命旧址管理处管辖区域物业化管理服务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cs="Calibri Light"/>
          <w:b w:val="0"/>
          <w:bCs w:val="0"/>
          <w:color w:val="auto"/>
          <w:kern w:val="2"/>
          <w:sz w:val="28"/>
          <w:szCs w:val="28"/>
          <w:lang w:val="en-US" w:eastAsia="zh-CN" w:bidi="ar-SA"/>
        </w:rPr>
        <w:t>5</w:t>
      </w:r>
      <w:r>
        <w:rPr>
          <w:rFonts w:hint="eastAsia" w:ascii="Calibri Light" w:hAnsi="Calibri Light" w:eastAsia="华文仿宋" w:cs="Calibri Light"/>
          <w:b w:val="0"/>
          <w:bCs w:val="0"/>
          <w:color w:val="auto"/>
          <w:kern w:val="2"/>
          <w:sz w:val="28"/>
          <w:szCs w:val="28"/>
          <w:lang w:val="en-US" w:eastAsia="zh-CN" w:bidi="ar-SA"/>
        </w:rPr>
        <w:t xml:space="preserve"> </w:t>
      </w:r>
      <w:r>
        <w:rPr>
          <w:rFonts w:hint="eastAsia" w:cs="Calibri Light"/>
          <w:b w:val="0"/>
          <w:bCs w:val="0"/>
          <w:color w:val="auto"/>
          <w:kern w:val="2"/>
          <w:sz w:val="28"/>
          <w:szCs w:val="28"/>
          <w:lang w:val="en-US" w:eastAsia="zh-CN" w:bidi="ar-SA"/>
        </w:rPr>
        <w:t>上</w:t>
      </w:r>
      <w:r>
        <w:rPr>
          <w:rFonts w:hint="eastAsia" w:ascii="Calibri Light" w:hAnsi="Calibri Light" w:eastAsia="华文仿宋" w:cs="Calibri Light"/>
          <w:b w:val="0"/>
          <w:bCs w:val="0"/>
          <w:color w:val="auto"/>
          <w:kern w:val="2"/>
          <w:sz w:val="28"/>
          <w:szCs w:val="28"/>
          <w:lang w:val="en-US" w:eastAsia="zh-CN" w:bidi="ar-SA"/>
        </w:rPr>
        <w:t>午</w:t>
      </w:r>
      <w:r>
        <w:rPr>
          <w:rFonts w:hint="eastAsia" w:ascii="仿宋" w:hAnsi="仿宋" w:eastAsia="仿宋" w:cs="仿宋"/>
          <w:color w:val="auto"/>
          <w:highlight w:val="none"/>
          <w:lang w:val="en-US" w:eastAsia="zh-CN"/>
        </w:rPr>
        <w:t>9:00前</w:t>
      </w:r>
      <w:r>
        <w:rPr>
          <w:rFonts w:hint="eastAsia" w:ascii="Calibri Light" w:hAnsi="Calibri Light" w:eastAsia="华文仿宋" w:cs="Calibri Light"/>
          <w:b w:val="0"/>
          <w:bCs w:val="0"/>
          <w:color w:val="auto"/>
          <w:kern w:val="2"/>
          <w:sz w:val="28"/>
          <w:szCs w:val="28"/>
          <w:lang w:val="en-US" w:eastAsia="zh-CN" w:bidi="ar-SA"/>
        </w:rPr>
        <w:t>递</w:t>
      </w:r>
      <w:r>
        <w:rPr>
          <w:rFonts w:hint="eastAsia" w:ascii="华文仿宋" w:hAnsi="华文仿宋" w:cs="华文仿宋"/>
          <w:color w:val="auto"/>
          <w:highlight w:val="none"/>
        </w:rPr>
        <w:t>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2"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28286_WPSOffice_Level2"/>
      <w:bookmarkStart w:id="11" w:name="_Toc619_WPSOffice_Level2"/>
      <w:bookmarkStart w:id="12" w:name="_Toc181_WPSOffice_Level2"/>
      <w:bookmarkStart w:id="13" w:name="_Toc7698"/>
      <w:r>
        <w:rPr>
          <w:rFonts w:hint="eastAsia"/>
          <w:b w:val="0"/>
          <w:bCs w:val="0"/>
          <w:color w:val="auto"/>
          <w:lang w:eastAsia="zh-CN"/>
        </w:rPr>
        <w:t>延安西北局革命旧址管理处管辖区域物业化管理服务</w:t>
      </w:r>
    </w:p>
    <w:p w14:paraId="4D09738F">
      <w:pPr>
        <w:numPr>
          <w:ilvl w:val="0"/>
          <w:numId w:val="0"/>
        </w:numPr>
        <w:spacing w:line="500" w:lineRule="exact"/>
        <w:ind w:firstLine="562"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22627_WPSOffice_Level2"/>
      <w:bookmarkStart w:id="15" w:name="_Toc7884"/>
      <w:bookmarkStart w:id="16" w:name="_Toc23148_WPSOffice_Level2"/>
      <w:bookmarkStart w:id="17" w:name="_Toc8221_WPSOffice_Level2"/>
      <w:r>
        <w:rPr>
          <w:rFonts w:hint="eastAsia" w:ascii="仿宋" w:hAnsi="仿宋" w:eastAsia="仿宋" w:cs="仿宋"/>
          <w:color w:val="auto"/>
          <w:highlight w:val="none"/>
          <w:lang w:eastAsia="zh-CN"/>
        </w:rPr>
        <w:t>YAZCJC2026-</w:t>
      </w:r>
      <w:r>
        <w:rPr>
          <w:rFonts w:hint="eastAsia" w:ascii="仿宋" w:hAnsi="仿宋" w:eastAsia="仿宋" w:cs="仿宋"/>
          <w:color w:val="auto"/>
          <w:highlight w:val="none"/>
          <w:lang w:val="en-US" w:eastAsia="zh-CN"/>
        </w:rPr>
        <w:t>16</w:t>
      </w:r>
    </w:p>
    <w:bookmarkEnd w:id="14"/>
    <w:bookmarkEnd w:id="15"/>
    <w:bookmarkEnd w:id="16"/>
    <w:bookmarkEnd w:id="17"/>
    <w:p w14:paraId="727570DE">
      <w:pPr>
        <w:spacing w:line="500" w:lineRule="exact"/>
        <w:ind w:firstLine="562" w:firstLineChars="200"/>
        <w:rPr>
          <w:rFonts w:hint="eastAsia" w:ascii="华文仿宋" w:hAnsi="华文仿宋" w:eastAsia="华文仿宋" w:cs="华文仿宋"/>
          <w:color w:val="auto"/>
          <w:lang w:eastAsia="zh-CN"/>
        </w:rPr>
      </w:pPr>
      <w:bookmarkStart w:id="18" w:name="_Toc27211"/>
      <w:bookmarkStart w:id="19" w:name="_Toc30103_WPSOffice_Level2"/>
      <w:bookmarkStart w:id="20" w:name="_Toc31311_WPSOffice_Level2"/>
      <w:bookmarkStart w:id="21" w:name="_Toc29947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延安西北局革命旧址管理处</w:t>
      </w:r>
      <w:bookmarkStart w:id="315" w:name="_GoBack"/>
      <w:bookmarkEnd w:id="315"/>
    </w:p>
    <w:p w14:paraId="227B7528">
      <w:pPr>
        <w:pStyle w:val="29"/>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eastAsia="zh-CN"/>
        </w:rPr>
        <w:t>延安市宝塔区</w:t>
      </w:r>
      <w:r>
        <w:rPr>
          <w:rFonts w:hint="eastAsia" w:ascii="华文仿宋" w:hAnsi="华文仿宋" w:cs="华文仿宋"/>
          <w:color w:val="auto"/>
          <w:lang w:val="en-US" w:eastAsia="zh-CN"/>
        </w:rPr>
        <w:t>南市街南桥花石砭</w:t>
      </w:r>
    </w:p>
    <w:p w14:paraId="6AB7DB54">
      <w:pPr>
        <w:pStyle w:val="29"/>
        <w:spacing w:line="500" w:lineRule="exact"/>
        <w:rPr>
          <w:rFonts w:hint="default"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马女士</w:t>
      </w:r>
    </w:p>
    <w:p w14:paraId="62845866">
      <w:pPr>
        <w:spacing w:line="500" w:lineRule="exact"/>
        <w:ind w:firstLine="1120"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13399116163</w:t>
      </w:r>
    </w:p>
    <w:p w14:paraId="18D31A56">
      <w:pPr>
        <w:tabs>
          <w:tab w:val="left" w:pos="1620"/>
        </w:tabs>
        <w:snapToGrid w:val="0"/>
        <w:spacing w:line="500" w:lineRule="exact"/>
        <w:ind w:firstLine="562"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磋商文件联系人：</w:t>
      </w:r>
      <w:r>
        <w:rPr>
          <w:rFonts w:hint="eastAsia"/>
          <w:b w:val="0"/>
          <w:bCs w:val="0"/>
          <w:color w:val="auto"/>
          <w:lang w:val="en-US" w:eastAsia="zh-CN"/>
        </w:rPr>
        <w:t>高女士</w:t>
      </w:r>
      <w:r>
        <w:rPr>
          <w:rFonts w:hint="eastAsia"/>
          <w:b w:val="0"/>
          <w:bCs w:val="0"/>
          <w:color w:val="auto"/>
        </w:rPr>
        <w:t xml:space="preserve">    </w:t>
      </w:r>
      <w:r>
        <w:rPr>
          <w:rFonts w:hint="eastAsia"/>
          <w:b w:val="0"/>
          <w:bCs w:val="0"/>
          <w:color w:val="auto"/>
          <w:lang w:val="en-US" w:eastAsia="zh-CN"/>
        </w:rPr>
        <w:t>魏女士</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0911-7092221    0911-7092224</w:t>
      </w:r>
    </w:p>
    <w:p w14:paraId="4886E520">
      <w:pPr>
        <w:numPr>
          <w:ilvl w:val="0"/>
          <w:numId w:val="0"/>
        </w:numPr>
        <w:tabs>
          <w:tab w:val="left" w:pos="1620"/>
        </w:tabs>
        <w:snapToGrid w:val="0"/>
        <w:spacing w:line="500" w:lineRule="exact"/>
        <w:ind w:firstLine="562"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延安西北局革命旧址管理处管辖区域物业化管理服务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2"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25753"/>
      <w:bookmarkStart w:id="24" w:name="_Toc14570_WPSOffice_Level2"/>
      <w:bookmarkStart w:id="25" w:name="_Toc9917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2"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1522560</w:t>
      </w:r>
      <w:r>
        <w:rPr>
          <w:rFonts w:hint="eastAsia" w:ascii="华文仿宋" w:hAnsi="华文仿宋" w:cs="华文仿宋"/>
          <w:bCs/>
          <w:color w:val="auto"/>
        </w:rPr>
        <w:t>元</w:t>
      </w:r>
      <w:r>
        <w:rPr>
          <w:rFonts w:hint="eastAsia" w:ascii="华文仿宋" w:hAnsi="华文仿宋" w:cs="华文仿宋"/>
          <w:bCs/>
          <w:color w:val="auto"/>
          <w:lang w:val="en-US" w:eastAsia="zh-CN"/>
        </w:rPr>
        <w:t>/年</w:t>
      </w:r>
      <w:r>
        <w:rPr>
          <w:rFonts w:hint="eastAsia" w:ascii="华文仿宋" w:hAnsi="华文仿宋" w:cs="华文仿宋"/>
          <w:bCs/>
          <w:color w:val="auto"/>
          <w:lang w:eastAsia="zh-CN"/>
        </w:rPr>
        <w:t>（</w:t>
      </w:r>
      <w:r>
        <w:rPr>
          <w:rFonts w:hint="eastAsia" w:ascii="华文仿宋" w:hAnsi="华文仿宋" w:cs="华文仿宋"/>
          <w:bCs/>
          <w:color w:val="auto"/>
          <w:lang w:val="en-US" w:eastAsia="zh-CN"/>
        </w:rPr>
        <w:t>大写：壹佰伍拾贰万贰仟伍佰陆拾元整</w:t>
      </w:r>
      <w:r>
        <w:rPr>
          <w:rFonts w:hint="eastAsia" w:ascii="华文仿宋" w:hAnsi="华文仿宋" w:cs="华文仿宋"/>
          <w:bCs/>
          <w:color w:val="auto"/>
          <w:lang w:eastAsia="zh-CN"/>
        </w:rPr>
        <w:t>）</w:t>
      </w:r>
    </w:p>
    <w:p w14:paraId="41109504">
      <w:pPr>
        <w:pStyle w:val="10"/>
        <w:spacing w:line="500" w:lineRule="exact"/>
        <w:ind w:firstLine="562"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2"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2"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63B8BFA2">
      <w:pPr>
        <w:spacing w:line="500" w:lineRule="exact"/>
        <w:ind w:firstLine="560" w:firstLineChars="200"/>
        <w:rPr>
          <w:rFonts w:hint="eastAsia"/>
          <w:color w:val="auto"/>
          <w:lang w:eastAsia="zh-CN"/>
        </w:rPr>
      </w:pPr>
      <w:r>
        <w:rPr>
          <w:rFonts w:hint="eastAsia"/>
          <w:color w:val="auto"/>
          <w:lang w:val="en-US" w:eastAsia="zh-CN"/>
        </w:rPr>
        <w:t>1.营业执照等主体资格证明文件：提供有效存续的企业营业执照（副本）</w:t>
      </w:r>
      <w:r>
        <w:rPr>
          <w:rFonts w:hint="eastAsia"/>
          <w:color w:val="auto"/>
          <w:lang w:eastAsia="zh-CN"/>
        </w:rPr>
        <w:t>/事业单位法人证书/专业服务机构执业许可证/民办非企业单位登记证书。</w:t>
      </w:r>
    </w:p>
    <w:p w14:paraId="476FFF76">
      <w:pPr>
        <w:spacing w:line="500" w:lineRule="exact"/>
        <w:ind w:firstLine="560" w:firstLineChars="200"/>
        <w:rPr>
          <w:rFonts w:hint="eastAsia"/>
          <w:color w:val="auto"/>
          <w:lang w:eastAsia="zh-CN"/>
        </w:rPr>
      </w:pPr>
      <w:r>
        <w:rPr>
          <w:rFonts w:hint="eastAsia"/>
          <w:color w:val="auto"/>
          <w:lang w:val="en-US" w:eastAsia="zh-CN"/>
        </w:rPr>
        <w:t>2.投</w:t>
      </w:r>
      <w:r>
        <w:rPr>
          <w:rFonts w:hint="eastAsia"/>
          <w:color w:val="auto"/>
          <w:lang w:eastAsia="zh-CN"/>
        </w:rPr>
        <w:t>标人需提供财务状况、缴纳税收和社保</w:t>
      </w:r>
      <w:r>
        <w:rPr>
          <w:rFonts w:hint="eastAsia"/>
          <w:color w:val="auto"/>
          <w:lang w:val="en-US" w:eastAsia="zh-CN"/>
        </w:rPr>
        <w:t>缴纳</w:t>
      </w:r>
      <w:r>
        <w:rPr>
          <w:rFonts w:hint="eastAsia"/>
          <w:color w:val="auto"/>
          <w:lang w:eastAsia="zh-CN"/>
        </w:rPr>
        <w:t>三项符合要求的承诺函（无需另行提供证明文件）。</w:t>
      </w:r>
    </w:p>
    <w:p w14:paraId="051CB390">
      <w:pPr>
        <w:spacing w:line="500" w:lineRule="exact"/>
        <w:ind w:firstLine="560" w:firstLineChars="200"/>
        <w:rPr>
          <w:rFonts w:hint="eastAsia"/>
          <w:color w:val="auto"/>
          <w:lang w:eastAsia="zh-CN"/>
        </w:rPr>
      </w:pPr>
      <w:r>
        <w:rPr>
          <w:rFonts w:hint="eastAsia"/>
          <w:color w:val="auto"/>
          <w:lang w:val="en-US" w:eastAsia="zh-CN"/>
        </w:rPr>
        <w:t>3</w:t>
      </w:r>
      <w:r>
        <w:rPr>
          <w:rFonts w:hint="eastAsia"/>
          <w:color w:val="auto"/>
          <w:lang w:eastAsia="zh-CN"/>
        </w:rPr>
        <w:t>.信用记录：提供《供应商信用记录书面声明函》（按格式填写，提供原件的扫描件）。经查，供应商未被列入“信用中国”网站记录的“失信被执行人”或“重大税收违法</w:t>
      </w:r>
      <w:r>
        <w:rPr>
          <w:rFonts w:hint="eastAsia"/>
          <w:color w:val="auto"/>
          <w:lang w:val="en-US" w:eastAsia="zh-CN"/>
        </w:rPr>
        <w:t>失信主体</w:t>
      </w:r>
      <w:r>
        <w:rPr>
          <w:rFonts w:hint="eastAsia"/>
          <w:color w:val="auto"/>
          <w:lang w:eastAsia="zh-CN"/>
        </w:rPr>
        <w:t>”名单；不处于“中国政府采购网”记录的“政府采购严重违法失信行为信息记录名单”中的禁止参加政府采购活动期间。</w:t>
      </w:r>
    </w:p>
    <w:p w14:paraId="4893BD9B">
      <w:pPr>
        <w:spacing w:line="500" w:lineRule="exact"/>
        <w:ind w:firstLine="560" w:firstLineChars="200"/>
        <w:rPr>
          <w:rFonts w:hint="eastAsia"/>
          <w:color w:val="auto"/>
          <w:lang w:eastAsia="zh-CN"/>
        </w:rPr>
      </w:pPr>
      <w:r>
        <w:rPr>
          <w:rFonts w:hint="eastAsia"/>
          <w:color w:val="auto"/>
          <w:lang w:val="en-US" w:eastAsia="zh-CN"/>
        </w:rPr>
        <w:t>4</w:t>
      </w:r>
      <w:r>
        <w:rPr>
          <w:rFonts w:hint="eastAsia"/>
          <w:color w:val="auto"/>
          <w:lang w:eastAsia="zh-CN"/>
        </w:rPr>
        <w:t>.控股管理关系：提供直接控股和管理关系清单。若与其他供应商存在单位负责人为同一人或者存在直接控股、管理关系的，则响应无效。</w:t>
      </w:r>
    </w:p>
    <w:p w14:paraId="128136E1">
      <w:pPr>
        <w:spacing w:line="500" w:lineRule="exact"/>
        <w:ind w:firstLine="560" w:firstLineChars="200"/>
        <w:rPr>
          <w:rFonts w:hint="eastAsia"/>
          <w:color w:val="auto"/>
          <w:lang w:eastAsia="zh-CN"/>
        </w:rPr>
      </w:pPr>
      <w:r>
        <w:rPr>
          <w:rFonts w:hint="eastAsia"/>
          <w:color w:val="auto"/>
          <w:lang w:val="en-US" w:eastAsia="zh-CN"/>
        </w:rPr>
        <w:t>5</w:t>
      </w:r>
      <w:r>
        <w:rPr>
          <w:rFonts w:hint="eastAsia"/>
          <w:color w:val="auto"/>
          <w:lang w:eastAsia="zh-CN"/>
        </w:rPr>
        <w:t>.书面声明：提供书面声明，包括声明具有履行合同所必需的设备和专业技术能力；未为本项目提供整体设计、规范编制或者项目管理、监理、检测等服务。</w:t>
      </w:r>
    </w:p>
    <w:p w14:paraId="2DABFA82">
      <w:pPr>
        <w:spacing w:line="500" w:lineRule="exact"/>
        <w:ind w:firstLine="560" w:firstLineChars="200"/>
        <w:rPr>
          <w:rFonts w:hint="eastAsia"/>
          <w:color w:val="auto"/>
          <w:lang w:eastAsia="zh-CN"/>
        </w:rPr>
      </w:pPr>
      <w:r>
        <w:rPr>
          <w:rFonts w:hint="eastAsia"/>
          <w:color w:val="auto"/>
          <w:lang w:val="en-US" w:eastAsia="zh-CN"/>
        </w:rPr>
        <w:t>6</w:t>
      </w:r>
      <w:r>
        <w:rPr>
          <w:rFonts w:hint="eastAsia"/>
          <w:color w:val="auto"/>
          <w:lang w:eastAsia="zh-CN"/>
        </w:rPr>
        <w:t>.法定代表人授权委托书</w:t>
      </w:r>
      <w:r>
        <w:rPr>
          <w:rFonts w:hint="eastAsia"/>
          <w:color w:val="auto"/>
          <w:lang w:val="en-US" w:eastAsia="zh-CN"/>
        </w:rPr>
        <w:t>及法定代表人证明书</w:t>
      </w:r>
      <w:r>
        <w:rPr>
          <w:rFonts w:hint="eastAsia"/>
          <w:color w:val="auto"/>
          <w:lang w:eastAsia="zh-CN"/>
        </w:rPr>
        <w:t xml:space="preserve">：法定代表人参加磋商的，须提供本人身份证扫描件（附在资格证明文件中）；法定代表人授权他人参加磋商的，须提供法定代表人授权委托书。电子磋商文件中凡是需要法定代表人盖章之处，非法人单位的负责人均参照执行。 </w:t>
      </w:r>
    </w:p>
    <w:p w14:paraId="5FFADDB7">
      <w:pPr>
        <w:spacing w:line="500" w:lineRule="exact"/>
        <w:ind w:firstLine="560" w:firstLineChars="200"/>
        <w:rPr>
          <w:rFonts w:hint="eastAsia"/>
          <w:color w:val="auto"/>
          <w:lang w:eastAsia="zh-CN"/>
        </w:rPr>
      </w:pPr>
      <w:r>
        <w:rPr>
          <w:rFonts w:hint="eastAsia"/>
          <w:color w:val="auto"/>
          <w:lang w:eastAsia="zh-CN"/>
        </w:rPr>
        <w:t>法人的分支机构参与投标时，除提供《法定代表人授权委托书》外，还须同时提供法人给分支机构出具的授权书。</w:t>
      </w:r>
    </w:p>
    <w:p w14:paraId="3A247E6F">
      <w:pPr>
        <w:widowControl w:val="0"/>
        <w:numPr>
          <w:ilvl w:val="0"/>
          <w:numId w:val="3"/>
        </w:numPr>
        <w:spacing w:line="500" w:lineRule="exact"/>
        <w:ind w:firstLine="562"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2"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2" w:firstLineChars="200"/>
        <w:rPr>
          <w:rFonts w:hint="eastAsia" w:ascii="华文仿宋" w:hAnsi="华文仿宋" w:cs="华文仿宋"/>
          <w:b/>
          <w:bCs/>
          <w:color w:val="auto"/>
          <w:highlight w:val="none"/>
        </w:rPr>
      </w:pPr>
      <w:bookmarkStart w:id="30" w:name="_Toc21125"/>
      <w:bookmarkStart w:id="31" w:name="_Toc20141_WPSOffice_Level2"/>
      <w:bookmarkStart w:id="32" w:name="_Toc30400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2"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2"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2"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6863_WPSOffice_Level2"/>
      <w:bookmarkStart w:id="34" w:name="_Toc20847"/>
      <w:bookmarkStart w:id="35" w:name="_Toc27420_WPSOffice_Level2"/>
      <w:bookmarkStart w:id="36" w:name="_Toc26982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5月25日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29</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2"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2"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2"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2"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上午9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8"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2" w:firstLineChars="200"/>
        <w:textAlignment w:val="auto"/>
        <w:rPr>
          <w:rFonts w:hint="eastAsia" w:eastAsia="华文仿宋"/>
          <w:b/>
          <w:bCs/>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交易三厅</w:t>
      </w:r>
    </w:p>
    <w:p w14:paraId="4651C50D">
      <w:pPr>
        <w:keepNext w:val="0"/>
        <w:keepLines w:val="0"/>
        <w:pageBreakBefore w:val="0"/>
        <w:widowControl/>
        <w:kinsoku/>
        <w:wordWrap/>
        <w:overflowPunct/>
        <w:topLinePunct w:val="0"/>
        <w:autoSpaceDE/>
        <w:autoSpaceDN/>
        <w:bidi w:val="0"/>
        <w:adjustRightInd/>
        <w:snapToGrid/>
        <w:spacing w:line="500" w:lineRule="exact"/>
        <w:ind w:left="560" w:leftChars="200" w:firstLine="0" w:firstLineChars="0"/>
        <w:textAlignment w:val="auto"/>
        <w:rPr>
          <w:rFonts w:hint="eastAsia"/>
          <w:b/>
          <w:bCs/>
          <w:color w:val="auto"/>
          <w:highlight w:val="none"/>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p>
    <w:p w14:paraId="5571E26C">
      <w:pPr>
        <w:keepNext w:val="0"/>
        <w:keepLines w:val="0"/>
        <w:pageBreakBefore w:val="0"/>
        <w:widowControl/>
        <w:kinsoku/>
        <w:wordWrap/>
        <w:overflowPunct/>
        <w:topLinePunct w:val="0"/>
        <w:autoSpaceDE/>
        <w:autoSpaceDN/>
        <w:bidi w:val="0"/>
        <w:adjustRightInd/>
        <w:snapToGrid/>
        <w:spacing w:line="500" w:lineRule="exact"/>
        <w:textAlignment w:val="auto"/>
        <w:rPr>
          <w:rFonts w:hint="default"/>
          <w:b/>
          <w:bCs/>
          <w:color w:val="auto"/>
          <w:highlight w:val="none"/>
          <w:lang w:val="en-US" w:eastAsia="zh-CN"/>
        </w:rPr>
      </w:pP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2"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2"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2" w:firstLineChars="200"/>
        <w:rPr>
          <w:b/>
          <w:bCs/>
          <w:color w:val="000000"/>
        </w:rPr>
      </w:pPr>
      <w:bookmarkStart w:id="37" w:name="_Toc20005"/>
      <w:bookmarkStart w:id="38" w:name="_Toc17917"/>
      <w:bookmarkStart w:id="39" w:name="_Toc14110_WPSOffice_Level2"/>
      <w:bookmarkStart w:id="40" w:name="_Toc10758_WPSOffice_Level2"/>
      <w:bookmarkStart w:id="41" w:name="_Toc22849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75D31023">
      <w:pPr>
        <w:spacing w:line="500" w:lineRule="exact"/>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495012820"/>
      <w:bookmarkStart w:id="43" w:name="_Toc495014584"/>
      <w:bookmarkStart w:id="44" w:name="_Toc445306492"/>
      <w:bookmarkStart w:id="45" w:name="_Toc495014953"/>
      <w:bookmarkStart w:id="46" w:name="_Toc7814"/>
      <w:bookmarkStart w:id="47" w:name="_Toc19337_WPSOffice_Level1"/>
      <w:bookmarkStart w:id="48" w:name="_Toc22804_WPSOffice_Level1"/>
      <w:bookmarkStart w:id="49" w:name="_Toc15046_WPSOffice_Level1"/>
      <w:bookmarkStart w:id="50" w:name="_Toc495012770"/>
      <w:bookmarkStart w:id="51" w:name="_Toc4326"/>
      <w:bookmarkStart w:id="52" w:name="_Toc495014648"/>
      <w:bookmarkStart w:id="53" w:name="_Toc495014919"/>
      <w:bookmarkStart w:id="54" w:name="_Toc49501461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2337"/>
      <w:bookmarkStart w:id="57" w:name="_Toc11989"/>
      <w:bookmarkStart w:id="58" w:name="_Toc24451_WPSOffice_Level2"/>
      <w:bookmarkStart w:id="59" w:name="_Toc16238"/>
      <w:bookmarkStart w:id="60" w:name="_Toc3858_WPSOffice_Level2"/>
      <w:bookmarkStart w:id="61" w:name="_Toc18466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560" w:firstLineChars="200"/>
        <w:rPr>
          <w:rFonts w:hint="eastAsia"/>
          <w:color w:val="000000"/>
          <w:sz w:val="28"/>
          <w:szCs w:val="28"/>
          <w:lang w:eastAsia="zh-CN"/>
        </w:rPr>
      </w:pPr>
      <w:bookmarkStart w:id="62" w:name="_Toc11840_WPSOffice_Level3"/>
      <w:r>
        <w:rPr>
          <w:rFonts w:hint="eastAsia"/>
          <w:color w:val="000000"/>
          <w:sz w:val="28"/>
          <w:szCs w:val="28"/>
          <w:lang w:eastAsia="zh-CN"/>
        </w:rPr>
        <w:t>（</w:t>
      </w:r>
      <w:r>
        <w:rPr>
          <w:rFonts w:hint="eastAsia"/>
          <w:color w:val="000000"/>
          <w:sz w:val="28"/>
          <w:szCs w:val="28"/>
        </w:rPr>
        <w:t>一）采 购 人：</w:t>
      </w:r>
      <w:bookmarkEnd w:id="62"/>
      <w:r>
        <w:rPr>
          <w:rFonts w:hint="eastAsia"/>
          <w:color w:val="000000"/>
          <w:sz w:val="28"/>
          <w:szCs w:val="28"/>
          <w:lang w:eastAsia="zh-CN"/>
        </w:rPr>
        <w:t>延安西北局革命旧址管理处</w:t>
      </w:r>
    </w:p>
    <w:p w14:paraId="01424C05">
      <w:pPr>
        <w:spacing w:line="500" w:lineRule="exact"/>
        <w:ind w:firstLine="560" w:firstLineChars="200"/>
        <w:rPr>
          <w:rFonts w:hint="default"/>
          <w:color w:val="000000"/>
          <w:sz w:val="28"/>
          <w:szCs w:val="28"/>
          <w:lang w:val="en-US" w:eastAsia="zh-CN"/>
        </w:rPr>
      </w:pPr>
      <w:r>
        <w:rPr>
          <w:rFonts w:hint="eastAsia"/>
          <w:color w:val="000000"/>
          <w:sz w:val="28"/>
          <w:szCs w:val="28"/>
          <w:lang w:eastAsia="zh-CN"/>
        </w:rPr>
        <w:t>（</w:t>
      </w:r>
      <w:r>
        <w:rPr>
          <w:rFonts w:hint="eastAsia"/>
          <w:color w:val="000000"/>
          <w:sz w:val="28"/>
          <w:szCs w:val="28"/>
        </w:rPr>
        <w:t>二）监督机构：</w:t>
      </w:r>
      <w:r>
        <w:rPr>
          <w:rFonts w:hint="eastAsia"/>
          <w:color w:val="000000"/>
          <w:sz w:val="28"/>
          <w:szCs w:val="28"/>
          <w:lang w:val="en-US" w:eastAsia="zh-CN"/>
        </w:rPr>
        <w:t>延安市财政局</w:t>
      </w:r>
    </w:p>
    <w:p w14:paraId="2FFAECAF">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三）集中采购机构：</w:t>
      </w:r>
      <w:r>
        <w:rPr>
          <w:rFonts w:hint="eastAsia" w:ascii="华文仿宋" w:hAnsi="华文仿宋" w:cs="华文仿宋"/>
          <w:color w:val="000000"/>
          <w:sz w:val="28"/>
          <w:szCs w:val="28"/>
          <w:lang w:val="en-US" w:eastAsia="zh-CN"/>
        </w:rPr>
        <w:t>延安市公共资源交易中心（延安市市直单位政府采购中心）（以下简称：中心）</w:t>
      </w:r>
    </w:p>
    <w:p w14:paraId="07B822FE">
      <w:pPr>
        <w:spacing w:line="500" w:lineRule="exact"/>
        <w:ind w:firstLine="560" w:firstLineChars="200"/>
        <w:rPr>
          <w:rFonts w:ascii="华文仿宋" w:hAnsi="华文仿宋" w:cs="华文仿宋"/>
          <w:color w:val="000000"/>
          <w:sz w:val="28"/>
          <w:szCs w:val="28"/>
        </w:rPr>
      </w:pPr>
      <w:bookmarkStart w:id="63" w:name="_Toc20141_WPSOffice_Level3"/>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四）供应商：</w:t>
      </w:r>
      <w:r>
        <w:rPr>
          <w:rFonts w:hint="eastAsia"/>
          <w:color w:val="000000"/>
          <w:sz w:val="28"/>
          <w:szCs w:val="28"/>
        </w:rPr>
        <w:t>拟向采购人提供货物、工程或者服务的法人、其他组织或者自然人</w:t>
      </w:r>
      <w:bookmarkEnd w:id="63"/>
      <w:r>
        <w:rPr>
          <w:rFonts w:hint="eastAsia"/>
          <w:color w:val="000000"/>
          <w:sz w:val="28"/>
          <w:szCs w:val="28"/>
        </w:rPr>
        <w:t>。</w:t>
      </w:r>
    </w:p>
    <w:p w14:paraId="187D14A6">
      <w:pPr>
        <w:pStyle w:val="3"/>
        <w:ind w:firstLine="567"/>
        <w:rPr>
          <w:rFonts w:ascii="华文仿宋" w:hAnsi="华文仿宋" w:cs="华文仿宋"/>
          <w:color w:val="000000"/>
          <w:sz w:val="28"/>
          <w:szCs w:val="28"/>
        </w:rPr>
      </w:pPr>
      <w:bookmarkStart w:id="64" w:name="_Toc1878"/>
      <w:bookmarkStart w:id="65" w:name="_Toc4606"/>
      <w:bookmarkStart w:id="66" w:name="_Toc11745_WPSOffice_Level2"/>
      <w:bookmarkStart w:id="67" w:name="_Toc9291"/>
      <w:bookmarkStart w:id="68" w:name="_Toc27278_WPSOffice_Level2"/>
      <w:bookmarkStart w:id="69" w:name="_Toc20906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2" w:firstLineChars="200"/>
        <w:rPr>
          <w:b/>
          <w:bCs/>
          <w:color w:val="000000"/>
          <w:sz w:val="28"/>
          <w:szCs w:val="28"/>
        </w:rPr>
      </w:pPr>
      <w:bookmarkStart w:id="70" w:name="_Toc26982_WPSOffice_Level3"/>
      <w:bookmarkStart w:id="71" w:name="_Toc21291"/>
      <w:r>
        <w:rPr>
          <w:rFonts w:hint="eastAsia"/>
          <w:b/>
          <w:bCs/>
          <w:color w:val="000000"/>
          <w:sz w:val="28"/>
          <w:szCs w:val="28"/>
          <w:lang w:eastAsia="zh-CN"/>
        </w:rPr>
        <w:t>（</w:t>
      </w:r>
      <w:r>
        <w:rPr>
          <w:rFonts w:hint="eastAsia"/>
          <w:b/>
          <w:bCs/>
          <w:color w:val="000000"/>
          <w:sz w:val="28"/>
          <w:szCs w:val="28"/>
        </w:rPr>
        <w:t>一）询问</w:t>
      </w:r>
      <w:bookmarkEnd w:id="70"/>
      <w:bookmarkEnd w:id="71"/>
    </w:p>
    <w:p w14:paraId="00EB74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中心提</w:t>
      </w:r>
      <w:r>
        <w:rPr>
          <w:rFonts w:hint="eastAsia" w:ascii="华文仿宋" w:hAnsi="华文仿宋" w:cs="华文仿宋"/>
          <w:color w:val="000000"/>
        </w:rPr>
        <w:t>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658770A1">
      <w:pPr>
        <w:spacing w:line="500" w:lineRule="exact"/>
        <w:ind w:firstLine="560" w:firstLineChars="200"/>
        <w:rPr>
          <w:b/>
          <w:bCs/>
          <w:color w:val="000000"/>
          <w:sz w:val="28"/>
          <w:szCs w:val="28"/>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应在三个工作日内书面答复。</w:t>
      </w:r>
    </w:p>
    <w:p w14:paraId="6DC2D7A5">
      <w:pPr>
        <w:spacing w:line="500" w:lineRule="exact"/>
        <w:ind w:firstLine="562" w:firstLineChars="200"/>
        <w:rPr>
          <w:rFonts w:ascii="华文仿宋" w:hAnsi="华文仿宋" w:cs="华文仿宋"/>
          <w:b/>
          <w:color w:val="000000"/>
          <w:sz w:val="28"/>
          <w:szCs w:val="28"/>
        </w:rPr>
      </w:pPr>
      <w:bookmarkStart w:id="72" w:name="_Toc669_WPSOffice_Level3"/>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二）现场踏勘及标前答疑会</w:t>
      </w:r>
      <w:bookmarkEnd w:id="72"/>
    </w:p>
    <w:p w14:paraId="067953A2">
      <w:pPr>
        <w:spacing w:line="500" w:lineRule="exact"/>
        <w:ind w:firstLine="560" w:firstLineChars="200"/>
        <w:rPr>
          <w:rFonts w:ascii="华文仿宋" w:hAnsi="华文仿宋" w:cs="华文仿宋"/>
          <w:bCs/>
          <w:color w:val="000000"/>
          <w:sz w:val="28"/>
          <w:szCs w:val="28"/>
        </w:rPr>
      </w:pPr>
      <w:bookmarkStart w:id="73" w:name="_Toc9412_WPSOffice_Level3"/>
      <w:r>
        <w:rPr>
          <w:rFonts w:hint="eastAsia" w:ascii="华文仿宋" w:hAnsi="华文仿宋" w:cs="华文仿宋"/>
          <w:bCs/>
          <w:color w:val="000000"/>
          <w:sz w:val="28"/>
          <w:szCs w:val="28"/>
        </w:rPr>
        <w:t>采购项目安排现场考察和标前答疑的，采购人应尽量在现场予以解答</w:t>
      </w:r>
      <w:r>
        <w:rPr>
          <w:rFonts w:hint="eastAsia" w:ascii="华文仿宋" w:hAnsi="华文仿宋" w:cs="华文仿宋"/>
          <w:bCs/>
          <w:color w:val="000000"/>
          <w:sz w:val="28"/>
          <w:szCs w:val="28"/>
          <w:lang w:eastAsia="zh-CN"/>
        </w:rPr>
        <w:t>（</w:t>
      </w:r>
      <w:r>
        <w:rPr>
          <w:rFonts w:hint="eastAsia" w:ascii="华文仿宋" w:hAnsi="华文仿宋" w:cs="华文仿宋"/>
          <w:bCs/>
          <w:color w:val="000000"/>
          <w:sz w:val="28"/>
          <w:szCs w:val="28"/>
        </w:rPr>
        <w:t>口头提问可口头答复），现场不能做出解答的，应在三个工作日内书面答复，并交由</w:t>
      </w:r>
      <w:r>
        <w:rPr>
          <w:rFonts w:hint="eastAsia" w:ascii="华文仿宋" w:hAnsi="华文仿宋" w:cs="华文仿宋"/>
          <w:bCs/>
          <w:color w:val="000000"/>
          <w:sz w:val="28"/>
          <w:szCs w:val="28"/>
          <w:lang w:eastAsia="zh-CN"/>
        </w:rPr>
        <w:t>中心</w:t>
      </w:r>
      <w:r>
        <w:rPr>
          <w:rFonts w:hint="eastAsia" w:ascii="华文仿宋" w:hAnsi="华文仿宋" w:cs="华文仿宋"/>
          <w:bCs/>
          <w:color w:val="000000"/>
          <w:sz w:val="28"/>
          <w:szCs w:val="28"/>
        </w:rPr>
        <w:t>在财政部门指定的媒体上发布。</w:t>
      </w:r>
    </w:p>
    <w:p w14:paraId="3492ABC4">
      <w:pPr>
        <w:spacing w:line="500" w:lineRule="exact"/>
        <w:ind w:firstLine="560" w:firstLineChars="200"/>
        <w:rPr>
          <w:rFonts w:ascii="华文仿宋" w:hAnsi="华文仿宋" w:cs="华文仿宋"/>
          <w:bCs/>
          <w:color w:val="000000"/>
          <w:sz w:val="28"/>
          <w:szCs w:val="28"/>
        </w:rPr>
      </w:pPr>
      <w:r>
        <w:rPr>
          <w:rFonts w:hint="eastAsia" w:ascii="华文仿宋" w:hAnsi="华文仿宋" w:cs="华文仿宋"/>
          <w:bCs/>
          <w:color w:val="000000"/>
          <w:sz w:val="28"/>
          <w:szCs w:val="28"/>
        </w:rPr>
        <w:t>答复内容可能影响</w:t>
      </w:r>
      <w:r>
        <w:rPr>
          <w:rFonts w:hint="eastAsia" w:ascii="华文仿宋" w:hAnsi="华文仿宋" w:cs="华文仿宋"/>
          <w:bCs/>
          <w:color w:val="000000"/>
          <w:sz w:val="28"/>
          <w:szCs w:val="28"/>
          <w:lang w:val="en-US" w:eastAsia="zh-CN"/>
        </w:rPr>
        <w:t>电子</w:t>
      </w:r>
      <w:r>
        <w:rPr>
          <w:rFonts w:hint="eastAsia" w:ascii="华文仿宋" w:hAnsi="华文仿宋" w:cs="华文仿宋"/>
          <w:bCs/>
          <w:color w:val="000000"/>
          <w:sz w:val="28"/>
          <w:szCs w:val="28"/>
        </w:rPr>
        <w:t>响应文件编制的，应当顺延开标时间。凡未参加现场踏勘和标前答疑的供应商，由此造成的偏差由各供应商自行负责。</w:t>
      </w:r>
    </w:p>
    <w:p w14:paraId="52AFAE84">
      <w:pPr>
        <w:spacing w:line="500" w:lineRule="exact"/>
        <w:ind w:firstLine="562" w:firstLineChars="200"/>
        <w:rPr>
          <w:rFonts w:hint="eastAsia" w:ascii="华文仿宋" w:hAnsi="华文仿宋" w:cs="华文仿宋"/>
          <w:b/>
          <w:color w:val="auto"/>
          <w:sz w:val="28"/>
          <w:szCs w:val="28"/>
          <w:highlight w:val="none"/>
        </w:rPr>
      </w:pPr>
      <w:r>
        <w:rPr>
          <w:rFonts w:hint="eastAsia" w:ascii="华文仿宋" w:hAnsi="华文仿宋" w:cs="华文仿宋"/>
          <w:b/>
          <w:color w:val="auto"/>
          <w:sz w:val="28"/>
          <w:szCs w:val="28"/>
          <w:highlight w:val="none"/>
        </w:rPr>
        <w:t>本项目</w:t>
      </w:r>
      <w:r>
        <w:rPr>
          <w:rFonts w:hint="eastAsia" w:ascii="华文仿宋" w:hAnsi="华文仿宋" w:cs="华文仿宋"/>
          <w:b/>
          <w:color w:val="auto"/>
          <w:sz w:val="28"/>
          <w:szCs w:val="28"/>
          <w:highlight w:val="none"/>
          <w:lang w:val="en-US" w:eastAsia="zh-CN"/>
        </w:rPr>
        <w:t>不</w:t>
      </w:r>
      <w:r>
        <w:rPr>
          <w:rFonts w:hint="eastAsia" w:ascii="华文仿宋" w:hAnsi="华文仿宋" w:cs="华文仿宋"/>
          <w:b/>
          <w:color w:val="auto"/>
          <w:sz w:val="28"/>
          <w:szCs w:val="28"/>
          <w:highlight w:val="none"/>
        </w:rPr>
        <w:t>组织集中踏勘</w:t>
      </w:r>
      <w:r>
        <w:rPr>
          <w:rFonts w:hint="eastAsia" w:ascii="华文仿宋" w:hAnsi="华文仿宋" w:cs="华文仿宋"/>
          <w:b/>
          <w:color w:val="auto"/>
          <w:sz w:val="28"/>
          <w:szCs w:val="28"/>
          <w:highlight w:val="none"/>
          <w:lang w:val="en-US" w:eastAsia="zh-CN"/>
        </w:rPr>
        <w:t>和标前答疑</w:t>
      </w:r>
      <w:r>
        <w:rPr>
          <w:rFonts w:hint="eastAsia" w:ascii="华文仿宋" w:hAnsi="华文仿宋" w:cs="华文仿宋"/>
          <w:b/>
          <w:color w:val="auto"/>
          <w:sz w:val="28"/>
          <w:szCs w:val="28"/>
          <w:highlight w:val="none"/>
        </w:rPr>
        <w:t>。</w:t>
      </w:r>
    </w:p>
    <w:p w14:paraId="16563742">
      <w:pPr>
        <w:spacing w:line="500" w:lineRule="exact"/>
        <w:ind w:firstLine="562" w:firstLineChars="200"/>
        <w:rPr>
          <w:rFonts w:ascii="华文仿宋" w:hAnsi="华文仿宋" w:cs="华文仿宋"/>
          <w:b/>
          <w:color w:val="000000"/>
          <w:sz w:val="28"/>
          <w:szCs w:val="28"/>
        </w:rPr>
      </w:pPr>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三）质疑和投诉</w:t>
      </w:r>
      <w:bookmarkEnd w:id="73"/>
    </w:p>
    <w:p w14:paraId="3899778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06C0BD9A">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A013192">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633F5A0E">
      <w:pPr>
        <w:spacing w:line="500" w:lineRule="exact"/>
        <w:ind w:firstLine="560" w:firstLineChars="200"/>
        <w:contextualSpacing/>
        <w:rPr>
          <w:rFonts w:hint="eastAsia" w:ascii="华文仿宋" w:hAnsi="华文仿宋" w:cs="华文仿宋"/>
          <w:color w:val="auto"/>
          <w:sz w:val="28"/>
          <w:szCs w:val="28"/>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1C5AD28B">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2</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7F479B28">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3</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在法定质疑期内，针对同一采购程序环节的质疑应当一次性提出。</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或采购人将在收到书面质疑后7个工作日内做出答复，并以书面形式通知质疑人和其他有关供应商。</w:t>
      </w:r>
    </w:p>
    <w:p w14:paraId="7E3CE019">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rPr>
        <w:t>4</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有下列情形之一的，属于无效质疑，</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和采购人不予受理：</w:t>
      </w:r>
    </w:p>
    <w:p w14:paraId="6D0834F1">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1）质疑人不是参与本次政府采购项目的供应商或潜在供应商；</w:t>
      </w:r>
    </w:p>
    <w:p w14:paraId="6A2F1A05">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2）质疑人与质疑事项不存在利害关系的；</w:t>
      </w:r>
    </w:p>
    <w:p w14:paraId="2951ED73">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3）未在法定期限内提出质疑的；</w:t>
      </w:r>
    </w:p>
    <w:p w14:paraId="191FEF6D">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4）质疑未以书面形式提出，或质疑函主要内容构成不完整的，或缺乏必要的证明材料及证明材料不完整的；</w:t>
      </w:r>
    </w:p>
    <w:p w14:paraId="26DDFB6C">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5）质疑函没有合法有效的签字、盖章或授权的；</w:t>
      </w:r>
    </w:p>
    <w:p w14:paraId="638963E2">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6）以非法手段取得证据、材料的；</w:t>
      </w:r>
    </w:p>
    <w:p w14:paraId="129F9D48">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7）质疑答复后，同一质疑人就同一事项再次提出质疑的；</w:t>
      </w:r>
    </w:p>
    <w:p w14:paraId="453F9E91">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8）不符合法律、法规、规章和政府采购监管机构规定的其他条件的。</w:t>
      </w:r>
    </w:p>
    <w:p w14:paraId="26947459">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5</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质疑人对</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或采购人的答复不满意，以及</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或采购人未在规定时间内做出答复的，可以在答复期满后15个工作日内向政府采购监管机构提出投诉。</w:t>
      </w:r>
    </w:p>
    <w:p w14:paraId="5A0A4A45">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6</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供应商投诉的事项不得超出已质疑事项的范围。</w:t>
      </w:r>
    </w:p>
    <w:p w14:paraId="2286BF46">
      <w:pPr>
        <w:spacing w:line="500" w:lineRule="exact"/>
        <w:ind w:firstLine="562"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13DC717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20A97F41">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110DBCE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192596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2"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2"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2"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3"/>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0" w:firstLineChars="200"/>
        <w:rPr>
          <w:rFonts w:hint="eastAsia" w:ascii="华文仿宋" w:hAnsi="华文仿宋" w:eastAsia="华文仿宋" w:cs="华文仿宋"/>
          <w:kern w:val="0"/>
          <w:sz w:val="28"/>
          <w:szCs w:val="28"/>
        </w:rPr>
      </w:pPr>
      <w:r>
        <w:rPr>
          <w:rFonts w:hint="eastAsia" w:ascii="华文仿宋" w:hAnsi="华文仿宋" w:eastAsia="华文仿宋" w:cs="华文仿宋"/>
          <w:color w:val="000000"/>
          <w:kern w:val="0"/>
          <w:sz w:val="28"/>
          <w:szCs w:val="28"/>
          <w:lang w:val="en-US" w:eastAsia="zh-CN"/>
        </w:rPr>
        <w:t>9</w:t>
      </w:r>
      <w:r>
        <w:rPr>
          <w:rFonts w:hint="eastAsia" w:ascii="华文仿宋" w:hAnsi="华文仿宋" w:eastAsia="华文仿宋" w:cs="华文仿宋"/>
          <w:color w:val="000000"/>
          <w:kern w:val="0"/>
          <w:sz w:val="28"/>
          <w:szCs w:val="28"/>
          <w:lang w:eastAsia="zh-CN"/>
        </w:rPr>
        <w:t>.</w:t>
      </w:r>
      <w:r>
        <w:rPr>
          <w:rFonts w:hint="eastAsia" w:ascii="华文仿宋" w:hAnsi="华文仿宋" w:eastAsia="华文仿宋" w:cs="华文仿宋"/>
          <w:kern w:val="0"/>
          <w:sz w:val="28"/>
          <w:szCs w:val="28"/>
        </w:rPr>
        <w:t>根据陕西省财政厅关于印发《陕西省中小企业政府采购信用融资办法》</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kern w:val="0"/>
          <w:sz w:val="28"/>
          <w:szCs w:val="28"/>
        </w:rPr>
        <w:t>陕财办采〔2018〕23号）规定“</w:t>
      </w:r>
      <w:r>
        <w:rPr>
          <w:rFonts w:hint="eastAsia" w:ascii="华文仿宋" w:hAnsi="华文仿宋" w:eastAsia="华文仿宋" w:cs="华文仿宋"/>
          <w:sz w:val="28"/>
          <w:szCs w:val="28"/>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sz w:val="28"/>
          <w:szCs w:val="28"/>
        </w:rPr>
        <w:fldChar w:fldCharType="begin"/>
      </w:r>
      <w:r>
        <w:rPr>
          <w:rFonts w:hint="eastAsia" w:ascii="华文仿宋" w:hAnsi="华文仿宋" w:eastAsia="华文仿宋" w:cs="华文仿宋"/>
          <w:sz w:val="28"/>
          <w:szCs w:val="28"/>
        </w:rPr>
        <w:instrText xml:space="preserve"> HYPERLINK "http://www.ccgp-shaanxi.gov.cn/zcdservice/zcd/shanxi/" </w:instrText>
      </w:r>
      <w:r>
        <w:rPr>
          <w:rFonts w:hint="eastAsia" w:ascii="华文仿宋" w:hAnsi="华文仿宋" w:eastAsia="华文仿宋" w:cs="华文仿宋"/>
          <w:sz w:val="28"/>
          <w:szCs w:val="28"/>
        </w:rPr>
        <w:fldChar w:fldCharType="separate"/>
      </w:r>
      <w:r>
        <w:rPr>
          <w:rFonts w:hint="eastAsia" w:ascii="华文仿宋" w:hAnsi="华文仿宋" w:eastAsia="华文仿宋" w:cs="华文仿宋"/>
          <w:kern w:val="0"/>
          <w:sz w:val="28"/>
          <w:szCs w:val="28"/>
        </w:rPr>
        <w:t>陕西省政府采购信用融资平台</w:t>
      </w:r>
      <w:r>
        <w:rPr>
          <w:rFonts w:hint="eastAsia" w:ascii="华文仿宋" w:hAnsi="华文仿宋" w:eastAsia="华文仿宋" w:cs="华文仿宋"/>
          <w:kern w:val="0"/>
          <w:sz w:val="28"/>
          <w:szCs w:val="28"/>
        </w:rPr>
        <w:fldChar w:fldCharType="end"/>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rPr>
        <w:fldChar w:fldCharType="begin"/>
      </w:r>
      <w:r>
        <w:rPr>
          <w:rFonts w:hint="eastAsia" w:ascii="华文仿宋" w:hAnsi="华文仿宋" w:eastAsia="华文仿宋" w:cs="华文仿宋"/>
          <w:kern w:val="0"/>
          <w:sz w:val="28"/>
          <w:szCs w:val="28"/>
        </w:rPr>
        <w:instrText xml:space="preserve"> HYPERLINK "http://www.ccgp-shaanxi.gov.cn/zcdservice/zcd/shanxi/）" </w:instrText>
      </w:r>
      <w:r>
        <w:rPr>
          <w:rFonts w:hint="eastAsia" w:ascii="华文仿宋" w:hAnsi="华文仿宋" w:eastAsia="华文仿宋" w:cs="华文仿宋"/>
          <w:kern w:val="0"/>
          <w:sz w:val="28"/>
          <w:szCs w:val="28"/>
        </w:rPr>
        <w:fldChar w:fldCharType="separate"/>
      </w:r>
      <w:r>
        <w:rPr>
          <w:rStyle w:val="25"/>
          <w:rFonts w:hint="eastAsia" w:ascii="华文仿宋" w:hAnsi="华文仿宋" w:eastAsia="华文仿宋" w:cs="华文仿宋"/>
          <w:kern w:val="0"/>
          <w:sz w:val="28"/>
          <w:szCs w:val="28"/>
        </w:rPr>
        <w:t>http://www.ccgp-shaanxi.gov.cn/zcdservice/zcd/shanxi/）</w:t>
      </w:r>
      <w:r>
        <w:rPr>
          <w:rFonts w:hint="eastAsia" w:ascii="华文仿宋" w:hAnsi="华文仿宋" w:eastAsia="华文仿宋" w:cs="华文仿宋"/>
          <w:kern w:val="0"/>
          <w:sz w:val="28"/>
          <w:szCs w:val="28"/>
        </w:rPr>
        <w:fldChar w:fldCharType="end"/>
      </w:r>
    </w:p>
    <w:p w14:paraId="4255ADE7">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39DDD965">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ACFA66E">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6CB4C6EC">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3.投标（响应）报价低于采购项目最高限价45%的，即投标（响应）报价&lt;采购项目最高限价×45%；</w:t>
      </w:r>
    </w:p>
    <w:p w14:paraId="7474A5E2">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4.评审委员会基于专业判断，认为供应商报价过低，有可能影响产品质量或者不能诚信履约的其他情形。</w:t>
      </w:r>
    </w:p>
    <w:p w14:paraId="7B5FF4C0">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采购人可以结合具体项目实际情况，提高上述第1项至第3项中启动异常低价投标（响应）审查的数值标准，但是最高不得超过65%。</w:t>
      </w:r>
    </w:p>
    <w:p w14:paraId="528D76EE">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相关法律法规对供应商报价有规定的，从其规定。</w:t>
      </w:r>
    </w:p>
    <w:p w14:paraId="125AAF01">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03D938">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4B145D">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7E9D1A">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28E03221">
      <w:pPr>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10"/>
        <w:spacing w:line="500" w:lineRule="exact"/>
        <w:ind w:firstLine="562"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2"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2"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2"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2"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2"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2"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3240"/>
      <w:bookmarkStart w:id="82" w:name="_Toc16980_WPSOffice_Level2"/>
      <w:bookmarkStart w:id="83" w:name="_Toc3222"/>
      <w:bookmarkStart w:id="84" w:name="_Toc17240_WPSOffice_Level2"/>
      <w:bookmarkStart w:id="85" w:name="_Toc22637"/>
      <w:bookmarkStart w:id="86" w:name="_Toc21288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20873_WPSOffice_Level2"/>
      <w:bookmarkStart w:id="88" w:name="_Toc15996"/>
      <w:bookmarkStart w:id="89" w:name="_Toc30415"/>
      <w:bookmarkStart w:id="90" w:name="_Toc19768_WPSOffice_Level2"/>
      <w:bookmarkStart w:id="91" w:name="_Toc22501_WPSOffice_Level2"/>
      <w:bookmarkStart w:id="92" w:name="_Toc13064"/>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二）磋商报价采取多轮报价的办法，最后报价作为计算价格分值的依据。供应商应在磋</w:t>
      </w:r>
      <w:r>
        <w:rPr>
          <w:rFonts w:hint="eastAsia" w:ascii="华文仿宋" w:hAnsi="华文仿宋" w:cs="华文仿宋"/>
          <w:b w:val="0"/>
          <w:bCs w:val="0"/>
          <w:color w:val="auto"/>
        </w:rPr>
        <w:t>商当天，磋商小组规定的报价时间内，使用制作</w:t>
      </w:r>
      <w:r>
        <w:rPr>
          <w:rFonts w:hint="eastAsia" w:ascii="华文仿宋" w:hAnsi="华文仿宋" w:cs="华文仿宋"/>
          <w:b w:val="0"/>
          <w:bCs w:val="0"/>
          <w:color w:val="auto"/>
          <w:lang w:val="en-US" w:eastAsia="zh-CN"/>
        </w:rPr>
        <w:t>电子</w:t>
      </w:r>
      <w:r>
        <w:rPr>
          <w:rFonts w:hint="eastAsia" w:ascii="华文仿宋" w:hAnsi="华文仿宋" w:cs="华文仿宋"/>
          <w:b w:val="0"/>
          <w:bCs w:val="0"/>
          <w:color w:val="auto"/>
          <w:lang w:eastAsia="zh-CN"/>
        </w:rPr>
        <w:t>响应文件</w:t>
      </w:r>
      <w:r>
        <w:rPr>
          <w:rFonts w:hint="eastAsia" w:ascii="华文仿宋" w:hAnsi="华文仿宋" w:cs="华文仿宋"/>
          <w:b w:val="0"/>
          <w:bCs w:val="0"/>
          <w:color w:val="auto"/>
        </w:rPr>
        <w:t>的数字认证证书</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CA锁）登录全国公共资源交易平台</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陕西省</w:t>
      </w:r>
      <w:r>
        <w:rPr>
          <w:rFonts w:hint="eastAsia" w:ascii="华文仿宋" w:hAnsi="华文仿宋" w:cs="华文仿宋"/>
          <w:b w:val="0"/>
          <w:bCs w:val="0"/>
          <w:color w:val="auto"/>
          <w:lang w:val="en-US" w:eastAsia="zh-CN"/>
        </w:rPr>
        <w:t>·延安市</w:t>
      </w:r>
      <w:r>
        <w:rPr>
          <w:rFonts w:hint="eastAsia" w:ascii="华文仿宋" w:hAnsi="华文仿宋" w:cs="华文仿宋"/>
          <w:b w:val="0"/>
          <w:bCs w:val="0"/>
          <w:color w:val="auto"/>
        </w:rPr>
        <w:t>）网站〖首页·〉电子交易平台·〉</w:t>
      </w:r>
      <w:r>
        <w:rPr>
          <w:rFonts w:hint="eastAsia" w:ascii="华文仿宋" w:hAnsi="华文仿宋" w:cs="华文仿宋"/>
          <w:b w:val="0"/>
          <w:bCs w:val="0"/>
          <w:color w:val="auto"/>
          <w:lang w:eastAsia="zh-CN"/>
        </w:rPr>
        <w:t>政府</w:t>
      </w:r>
      <w:r>
        <w:rPr>
          <w:rFonts w:hint="eastAsia" w:ascii="华文仿宋" w:hAnsi="华文仿宋" w:cs="华文仿宋"/>
          <w:b w:val="0"/>
          <w:bCs w:val="0"/>
          <w:color w:val="auto"/>
          <w:lang w:val="en-US" w:eastAsia="zh-CN"/>
        </w:rPr>
        <w:t>采购交易系统</w:t>
      </w:r>
      <w:r>
        <w:rPr>
          <w:rFonts w:hint="eastAsia" w:ascii="华文仿宋" w:hAnsi="华文仿宋" w:cs="华文仿宋"/>
          <w:b w:val="0"/>
          <w:bCs w:val="0"/>
          <w:color w:val="auto"/>
        </w:rPr>
        <w:t>·〉企业端〗后，</w:t>
      </w:r>
      <w:r>
        <w:rPr>
          <w:rFonts w:hint="eastAsia" w:ascii="华文仿宋" w:hAnsi="华文仿宋" w:cs="华文仿宋"/>
          <w:b w:val="0"/>
          <w:bCs w:val="0"/>
          <w:color w:val="000000"/>
        </w:rPr>
        <w:t>在〖我的项目〗下找到本次磋商的项目，填写最后报价表，签章并提交。</w:t>
      </w:r>
    </w:p>
    <w:p w14:paraId="75EFC8BD">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三）如采购内容无实质性变更，各供应商的报价应逐次降低，本次报价超过采购预算或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处理；本次报价超过上次报价但未超过采购预算或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规定的最高限价的，或在规定时间内最后报价未提交、提交不成功的均为无效报价，按无效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3179"/>
      <w:bookmarkStart w:id="94" w:name="_Toc29669_WPSOffice_Level2"/>
      <w:bookmarkStart w:id="95" w:name="_Toc20041_WPSOffice_Level2"/>
      <w:bookmarkStart w:id="96" w:name="_Toc14959_WPSOffice_Level2"/>
      <w:bookmarkStart w:id="97" w:name="_Toc14979"/>
      <w:bookmarkStart w:id="98" w:name="_Toc1100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2"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2"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24468"/>
      <w:bookmarkStart w:id="103" w:name="_Toc6095"/>
      <w:bookmarkStart w:id="104" w:name="_Toc1560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10744"/>
      <w:bookmarkStart w:id="106" w:name="_Toc595"/>
      <w:bookmarkStart w:id="107" w:name="_Toc7022"/>
      <w:bookmarkStart w:id="108" w:name="_Toc28054"/>
      <w:bookmarkStart w:id="109" w:name="_Toc6837"/>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2"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2"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20183"/>
      <w:bookmarkStart w:id="112" w:name="_Toc31720"/>
      <w:bookmarkStart w:id="113" w:name="_Toc846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2"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BA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5C45DA50">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4FE35E6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58B01B47">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01849FB4">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AF1022B">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23BC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5DB7BFF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7944A11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2DB8D2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E9B5F7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F8C20AB">
            <w:pPr>
              <w:spacing w:before="40" w:after="40" w:line="240" w:lineRule="auto"/>
              <w:rPr>
                <w:rFonts w:hint="eastAsia" w:ascii="华文仿宋" w:hAnsi="华文仿宋" w:eastAsia="华文仿宋" w:cs="华文仿宋"/>
                <w:b/>
                <w:color w:val="000000"/>
                <w:sz w:val="24"/>
                <w:szCs w:val="24"/>
              </w:rPr>
            </w:pPr>
          </w:p>
        </w:tc>
      </w:tr>
      <w:tr w14:paraId="4AC6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38F82AC4">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049C25C6">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77DFFC9D">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110E534C">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8358EFF">
            <w:pPr>
              <w:spacing w:before="40" w:after="40" w:line="240" w:lineRule="auto"/>
              <w:rPr>
                <w:rFonts w:hint="eastAsia" w:ascii="华文仿宋" w:hAnsi="华文仿宋" w:eastAsia="华文仿宋" w:cs="华文仿宋"/>
                <w:b/>
                <w:color w:val="000000"/>
                <w:sz w:val="24"/>
                <w:szCs w:val="24"/>
              </w:rPr>
            </w:pPr>
          </w:p>
        </w:tc>
      </w:tr>
      <w:tr w14:paraId="35B0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B835933">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2EE7CD6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11AC703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22D8325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2F2ED191">
            <w:pPr>
              <w:spacing w:before="40" w:after="40" w:line="240" w:lineRule="auto"/>
              <w:rPr>
                <w:rFonts w:hint="eastAsia" w:ascii="华文仿宋" w:hAnsi="华文仿宋" w:eastAsia="华文仿宋" w:cs="华文仿宋"/>
                <w:b/>
                <w:color w:val="000000"/>
                <w:sz w:val="24"/>
                <w:szCs w:val="24"/>
              </w:rPr>
            </w:pPr>
          </w:p>
        </w:tc>
      </w:tr>
      <w:tr w14:paraId="136A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7FF3B4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5E7342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12446711">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5DB46860">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A79325C">
            <w:pPr>
              <w:spacing w:before="40" w:after="40" w:line="240" w:lineRule="auto"/>
              <w:rPr>
                <w:rFonts w:hint="eastAsia" w:ascii="华文仿宋" w:hAnsi="华文仿宋" w:eastAsia="华文仿宋" w:cs="华文仿宋"/>
                <w:b/>
                <w:color w:val="000000"/>
                <w:sz w:val="24"/>
                <w:szCs w:val="24"/>
              </w:rPr>
            </w:pPr>
          </w:p>
        </w:tc>
      </w:tr>
      <w:tr w14:paraId="3919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4B6BA86">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429959C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7B5BBE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66A19A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2BA9798">
            <w:pPr>
              <w:spacing w:before="40" w:after="40" w:line="240" w:lineRule="auto"/>
              <w:rPr>
                <w:rFonts w:hint="eastAsia" w:ascii="华文仿宋" w:hAnsi="华文仿宋" w:eastAsia="华文仿宋" w:cs="华文仿宋"/>
                <w:b/>
                <w:color w:val="000000"/>
                <w:sz w:val="24"/>
                <w:szCs w:val="24"/>
              </w:rPr>
            </w:pPr>
          </w:p>
        </w:tc>
      </w:tr>
      <w:tr w14:paraId="67DC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0E7CF5A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668402BC">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1472DB3E">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738E738E">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510B72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8609E14">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14B2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1D5F960A">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2"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6A2CE8B7">
      <w:pPr>
        <w:tabs>
          <w:tab w:val="center" w:pos="4153"/>
          <w:tab w:val="right" w:pos="8306"/>
        </w:tabs>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187"/>
      <w:bookmarkStart w:id="120" w:name="_Toc2392"/>
      <w:bookmarkStart w:id="121" w:name="_Toc9626"/>
      <w:bookmarkStart w:id="122" w:name="_Toc27797"/>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4325D73B">
      <w:pPr>
        <w:rPr>
          <w:rFonts w:hint="eastAsia"/>
          <w:lang w:val="en-US" w:eastAsia="zh-CN"/>
        </w:rPr>
      </w:pPr>
    </w:p>
    <w:tbl>
      <w:tblPr>
        <w:tblStyle w:val="22"/>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113" w:type="dxa"/>
          <w:left w:w="113" w:type="dxa"/>
          <w:bottom w:w="113" w:type="dxa"/>
          <w:right w:w="113" w:type="dxa"/>
        </w:tblCellMar>
      </w:tblPr>
      <w:tblGrid>
        <w:gridCol w:w="901"/>
        <w:gridCol w:w="774"/>
        <w:gridCol w:w="7064"/>
        <w:gridCol w:w="560"/>
      </w:tblGrid>
      <w:tr w14:paraId="1152A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3" w:hRule="atLeast"/>
          <w:jc w:val="center"/>
        </w:trPr>
        <w:tc>
          <w:tcPr>
            <w:tcW w:w="0" w:type="auto"/>
            <w:noWrap w:val="0"/>
            <w:vAlign w:val="center"/>
          </w:tcPr>
          <w:p w14:paraId="1D48F228">
            <w:pPr>
              <w:jc w:val="center"/>
              <w:rPr>
                <w:rFonts w:hint="eastAsia" w:ascii="仿宋" w:hAnsi="仿宋" w:eastAsia="仿宋" w:cs="仿宋"/>
              </w:rPr>
            </w:pPr>
            <w:r>
              <w:rPr>
                <w:rFonts w:hint="eastAsia" w:ascii="仿宋" w:hAnsi="仿宋" w:eastAsia="仿宋" w:cs="仿宋"/>
              </w:rPr>
              <w:t>名称</w:t>
            </w:r>
          </w:p>
        </w:tc>
        <w:tc>
          <w:tcPr>
            <w:tcW w:w="0" w:type="auto"/>
            <w:noWrap w:val="0"/>
            <w:vAlign w:val="center"/>
          </w:tcPr>
          <w:p w14:paraId="51BFB34A">
            <w:pPr>
              <w:jc w:val="center"/>
              <w:rPr>
                <w:rFonts w:hint="eastAsia" w:ascii="仿宋" w:hAnsi="仿宋" w:eastAsia="仿宋" w:cs="仿宋"/>
              </w:rPr>
            </w:pPr>
            <w:r>
              <w:rPr>
                <w:rFonts w:hint="eastAsia" w:ascii="仿宋" w:hAnsi="仿宋" w:eastAsia="仿宋" w:cs="仿宋"/>
              </w:rPr>
              <w:t>最高分值</w:t>
            </w:r>
          </w:p>
        </w:tc>
        <w:tc>
          <w:tcPr>
            <w:tcW w:w="0" w:type="auto"/>
            <w:noWrap w:val="0"/>
            <w:vAlign w:val="center"/>
          </w:tcPr>
          <w:p w14:paraId="1AB363BF">
            <w:pPr>
              <w:jc w:val="center"/>
              <w:rPr>
                <w:rFonts w:hint="eastAsia" w:ascii="仿宋" w:hAnsi="仿宋" w:eastAsia="仿宋" w:cs="仿宋"/>
              </w:rPr>
            </w:pPr>
          </w:p>
          <w:p w14:paraId="029164E7">
            <w:pPr>
              <w:jc w:val="center"/>
              <w:rPr>
                <w:rFonts w:hint="eastAsia" w:ascii="仿宋" w:hAnsi="仿宋" w:eastAsia="仿宋" w:cs="仿宋"/>
              </w:rPr>
            </w:pPr>
            <w:r>
              <w:rPr>
                <w:rFonts w:hint="eastAsia" w:ascii="仿宋" w:hAnsi="仿宋" w:eastAsia="仿宋" w:cs="仿宋"/>
              </w:rPr>
              <w:t>评审要素</w:t>
            </w:r>
          </w:p>
        </w:tc>
        <w:tc>
          <w:tcPr>
            <w:tcW w:w="0" w:type="auto"/>
            <w:noWrap w:val="0"/>
            <w:vAlign w:val="center"/>
          </w:tcPr>
          <w:p w14:paraId="0AD92099">
            <w:pPr>
              <w:jc w:val="center"/>
              <w:rPr>
                <w:rFonts w:hint="eastAsia" w:ascii="仿宋" w:hAnsi="仿宋" w:eastAsia="仿宋" w:cs="仿宋"/>
              </w:rPr>
            </w:pPr>
          </w:p>
          <w:p w14:paraId="58E7E75F">
            <w:pPr>
              <w:jc w:val="center"/>
              <w:rPr>
                <w:rFonts w:hint="eastAsia" w:ascii="仿宋" w:hAnsi="仿宋" w:eastAsia="仿宋" w:cs="仿宋"/>
              </w:rPr>
            </w:pPr>
            <w:r>
              <w:rPr>
                <w:rFonts w:hint="eastAsia" w:ascii="仿宋" w:hAnsi="仿宋" w:eastAsia="仿宋" w:cs="仿宋"/>
              </w:rPr>
              <w:t>备注</w:t>
            </w:r>
          </w:p>
        </w:tc>
      </w:tr>
      <w:tr w14:paraId="6235D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4AF70B66">
            <w:pPr>
              <w:jc w:val="center"/>
              <w:rPr>
                <w:rFonts w:hint="eastAsia" w:ascii="仿宋" w:hAnsi="仿宋" w:eastAsia="仿宋" w:cs="仿宋"/>
              </w:rPr>
            </w:pPr>
            <w:r>
              <w:rPr>
                <w:rFonts w:hint="eastAsia" w:ascii="仿宋" w:hAnsi="仿宋" w:eastAsia="仿宋" w:cs="仿宋"/>
              </w:rPr>
              <w:t>投标报价</w:t>
            </w:r>
          </w:p>
        </w:tc>
        <w:tc>
          <w:tcPr>
            <w:tcW w:w="0" w:type="auto"/>
            <w:noWrap w:val="0"/>
            <w:vAlign w:val="center"/>
          </w:tcPr>
          <w:p w14:paraId="4B698C56">
            <w:pPr>
              <w:jc w:val="center"/>
              <w:rPr>
                <w:rFonts w:hint="eastAsia" w:ascii="仿宋" w:hAnsi="仿宋" w:eastAsia="仿宋" w:cs="仿宋"/>
              </w:rPr>
            </w:pPr>
            <w:r>
              <w:rPr>
                <w:rFonts w:hint="eastAsia" w:ascii="仿宋" w:hAnsi="仿宋" w:eastAsia="仿宋" w:cs="仿宋"/>
              </w:rPr>
              <w:t>10</w:t>
            </w:r>
          </w:p>
        </w:tc>
        <w:tc>
          <w:tcPr>
            <w:tcW w:w="0" w:type="auto"/>
            <w:noWrap w:val="0"/>
            <w:vAlign w:val="center"/>
          </w:tcPr>
          <w:p w14:paraId="2CEDAFBA">
            <w:pPr>
              <w:jc w:val="left"/>
              <w:rPr>
                <w:rFonts w:hint="eastAsia" w:ascii="仿宋" w:hAnsi="仿宋" w:eastAsia="仿宋" w:cs="仿宋"/>
                <w:lang w:val="en-US" w:eastAsia="zh-CN"/>
              </w:rPr>
            </w:pPr>
            <w:r>
              <w:rPr>
                <w:rFonts w:hint="eastAsia" w:ascii="仿宋" w:hAnsi="仿宋" w:eastAsia="仿宋" w:cs="仿宋"/>
              </w:rPr>
              <w:t>满足投标文件要求且最后报价最低的中标人的价格为投标基准价得10分，其他各中标人的最后投标报价得分按下列公式计算：（评标基准价/最后投标报价）×10%×100。</w:t>
            </w:r>
          </w:p>
        </w:tc>
        <w:tc>
          <w:tcPr>
            <w:tcW w:w="0" w:type="auto"/>
            <w:noWrap w:val="0"/>
            <w:vAlign w:val="center"/>
          </w:tcPr>
          <w:p w14:paraId="581E1AB1">
            <w:pPr>
              <w:jc w:val="center"/>
              <w:rPr>
                <w:rFonts w:hint="eastAsia" w:ascii="仿宋" w:hAnsi="仿宋" w:eastAsia="仿宋" w:cs="仿宋"/>
              </w:rPr>
            </w:pPr>
          </w:p>
        </w:tc>
      </w:tr>
      <w:tr w14:paraId="6E96C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4F9E92C1">
            <w:pPr>
              <w:jc w:val="center"/>
              <w:rPr>
                <w:rFonts w:hint="eastAsia" w:ascii="仿宋" w:hAnsi="仿宋" w:eastAsia="仿宋" w:cs="仿宋"/>
              </w:rPr>
            </w:pPr>
            <w:r>
              <w:rPr>
                <w:rFonts w:hint="eastAsia" w:ascii="仿宋" w:hAnsi="仿宋" w:eastAsia="仿宋" w:cs="仿宋"/>
              </w:rPr>
              <w:t>总体方案</w:t>
            </w:r>
          </w:p>
        </w:tc>
        <w:tc>
          <w:tcPr>
            <w:tcW w:w="0" w:type="auto"/>
            <w:noWrap w:val="0"/>
            <w:vAlign w:val="center"/>
          </w:tcPr>
          <w:p w14:paraId="72C9940A">
            <w:pPr>
              <w:jc w:val="center"/>
              <w:rPr>
                <w:rFonts w:hint="eastAsia" w:ascii="仿宋" w:hAnsi="仿宋" w:eastAsia="仿宋" w:cs="仿宋"/>
                <w:lang w:eastAsia="zh-CN"/>
              </w:rPr>
            </w:pPr>
            <w:r>
              <w:rPr>
                <w:rFonts w:hint="eastAsia" w:ascii="仿宋" w:hAnsi="仿宋" w:eastAsia="仿宋" w:cs="仿宋"/>
                <w:lang w:val="en-US" w:eastAsia="zh-CN"/>
              </w:rPr>
              <w:t>6</w:t>
            </w:r>
          </w:p>
        </w:tc>
        <w:tc>
          <w:tcPr>
            <w:tcW w:w="0" w:type="auto"/>
            <w:noWrap w:val="0"/>
            <w:vAlign w:val="center"/>
          </w:tcPr>
          <w:p w14:paraId="11E41CCC">
            <w:pPr>
              <w:jc w:val="left"/>
              <w:rPr>
                <w:rFonts w:hint="eastAsia" w:ascii="仿宋" w:hAnsi="仿宋" w:eastAsia="仿宋" w:cs="仿宋"/>
              </w:rPr>
            </w:pPr>
            <w:r>
              <w:rPr>
                <w:rFonts w:hint="eastAsia" w:ascii="仿宋" w:hAnsi="仿宋" w:eastAsia="仿宋" w:cs="仿宋"/>
              </w:rPr>
              <w:t>一、评审内容</w:t>
            </w:r>
          </w:p>
          <w:p w14:paraId="6B7214A0">
            <w:pPr>
              <w:jc w:val="left"/>
              <w:rPr>
                <w:rFonts w:hint="eastAsia" w:ascii="仿宋" w:hAnsi="仿宋" w:eastAsia="仿宋" w:cs="仿宋"/>
              </w:rPr>
            </w:pPr>
            <w:r>
              <w:rPr>
                <w:rFonts w:hint="eastAsia" w:ascii="仿宋" w:hAnsi="仿宋" w:eastAsia="仿宋" w:cs="仿宋"/>
              </w:rPr>
              <w:t>提出针对于本项目的总体方案，方案内容包含①服务理念及特色②重难点分析及保障措施。</w:t>
            </w:r>
          </w:p>
          <w:p w14:paraId="5A7B6F70">
            <w:pPr>
              <w:jc w:val="left"/>
              <w:rPr>
                <w:rFonts w:hint="eastAsia" w:ascii="仿宋" w:hAnsi="仿宋" w:eastAsia="仿宋" w:cs="仿宋"/>
              </w:rPr>
            </w:pPr>
            <w:r>
              <w:rPr>
                <w:rFonts w:hint="eastAsia" w:ascii="仿宋" w:hAnsi="仿宋" w:eastAsia="仿宋" w:cs="仿宋"/>
              </w:rPr>
              <w:t>二、评审标准</w:t>
            </w:r>
          </w:p>
          <w:p w14:paraId="5AE140C5">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03300060">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22CB757F">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1C59371C">
            <w:pPr>
              <w:jc w:val="left"/>
              <w:rPr>
                <w:rFonts w:hint="eastAsia" w:ascii="仿宋" w:hAnsi="仿宋" w:eastAsia="仿宋" w:cs="仿宋"/>
              </w:rPr>
            </w:pPr>
            <w:r>
              <w:rPr>
                <w:rFonts w:hint="eastAsia" w:ascii="仿宋" w:hAnsi="仿宋" w:eastAsia="仿宋" w:cs="仿宋"/>
              </w:rPr>
              <w:t>三、赋分标准</w:t>
            </w:r>
          </w:p>
          <w:p w14:paraId="10E3436D">
            <w:pPr>
              <w:jc w:val="left"/>
              <w:rPr>
                <w:rFonts w:hint="eastAsia" w:ascii="仿宋" w:hAnsi="仿宋" w:eastAsia="仿宋" w:cs="仿宋"/>
              </w:rPr>
            </w:pPr>
            <w:r>
              <w:rPr>
                <w:rFonts w:hint="eastAsia" w:ascii="仿宋" w:hAnsi="仿宋" w:eastAsia="仿宋" w:cs="仿宋"/>
              </w:rPr>
              <w:t>①服务理念及特色：每完全满足一项评审标准得</w:t>
            </w:r>
            <w:r>
              <w:rPr>
                <w:rFonts w:hint="eastAsia" w:ascii="仿宋" w:hAnsi="仿宋" w:eastAsia="仿宋" w:cs="仿宋"/>
                <w:lang w:val="en-US" w:eastAsia="zh-CN"/>
              </w:rPr>
              <w:t>1分</w:t>
            </w:r>
            <w:r>
              <w:rPr>
                <w:rFonts w:hint="eastAsia" w:ascii="仿宋" w:hAnsi="仿宋" w:eastAsia="仿宋" w:cs="仿宋"/>
              </w:rPr>
              <w:t>，满分</w:t>
            </w:r>
            <w:r>
              <w:rPr>
                <w:rFonts w:hint="eastAsia" w:ascii="仿宋" w:hAnsi="仿宋" w:eastAsia="仿宋" w:cs="仿宋"/>
                <w:lang w:val="en-US" w:eastAsia="zh-CN"/>
              </w:rPr>
              <w:t>3</w:t>
            </w:r>
            <w:r>
              <w:rPr>
                <w:rFonts w:hint="eastAsia" w:ascii="仿宋" w:hAnsi="仿宋" w:eastAsia="仿宋" w:cs="仿宋"/>
              </w:rPr>
              <w:t>分；</w:t>
            </w:r>
          </w:p>
          <w:p w14:paraId="3726566B">
            <w:pPr>
              <w:jc w:val="left"/>
              <w:rPr>
                <w:rFonts w:hint="eastAsia" w:ascii="仿宋" w:hAnsi="仿宋" w:eastAsia="仿宋" w:cs="仿宋"/>
              </w:rPr>
            </w:pPr>
            <w:r>
              <w:rPr>
                <w:rFonts w:hint="eastAsia" w:ascii="仿宋" w:hAnsi="仿宋" w:eastAsia="仿宋" w:cs="仿宋"/>
              </w:rPr>
              <w:t>②重难点分析及保障措施:每完全满足一项评审标准得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p>
        </w:tc>
        <w:tc>
          <w:tcPr>
            <w:tcW w:w="0" w:type="auto"/>
            <w:noWrap w:val="0"/>
            <w:vAlign w:val="center"/>
          </w:tcPr>
          <w:p w14:paraId="531FB01B">
            <w:pPr>
              <w:jc w:val="center"/>
              <w:rPr>
                <w:rFonts w:hint="eastAsia" w:ascii="仿宋" w:hAnsi="仿宋" w:eastAsia="仿宋" w:cs="仿宋"/>
              </w:rPr>
            </w:pPr>
          </w:p>
        </w:tc>
      </w:tr>
      <w:tr w14:paraId="3ABC6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6E7D2BB2">
            <w:pPr>
              <w:jc w:val="center"/>
              <w:rPr>
                <w:rFonts w:hint="eastAsia" w:ascii="仿宋" w:hAnsi="仿宋" w:eastAsia="仿宋" w:cs="仿宋"/>
              </w:rPr>
            </w:pPr>
            <w:r>
              <w:rPr>
                <w:rFonts w:hint="eastAsia" w:ascii="仿宋" w:hAnsi="仿宋" w:eastAsia="仿宋" w:cs="仿宋"/>
              </w:rPr>
              <w:t>环境卫生服务方案</w:t>
            </w:r>
          </w:p>
        </w:tc>
        <w:tc>
          <w:tcPr>
            <w:tcW w:w="0" w:type="auto"/>
            <w:noWrap w:val="0"/>
            <w:vAlign w:val="center"/>
          </w:tcPr>
          <w:p w14:paraId="60143DB0">
            <w:pPr>
              <w:jc w:val="center"/>
              <w:rPr>
                <w:rFonts w:hint="eastAsia" w:ascii="仿宋" w:hAnsi="仿宋" w:eastAsia="仿宋" w:cs="仿宋"/>
              </w:rPr>
            </w:pPr>
            <w:r>
              <w:rPr>
                <w:rFonts w:hint="eastAsia" w:ascii="仿宋" w:hAnsi="仿宋" w:eastAsia="仿宋" w:cs="仿宋"/>
              </w:rPr>
              <w:t>9</w:t>
            </w:r>
          </w:p>
        </w:tc>
        <w:tc>
          <w:tcPr>
            <w:tcW w:w="0" w:type="auto"/>
            <w:noWrap w:val="0"/>
            <w:vAlign w:val="center"/>
          </w:tcPr>
          <w:p w14:paraId="2052FCA1">
            <w:pPr>
              <w:jc w:val="left"/>
              <w:rPr>
                <w:rFonts w:hint="eastAsia" w:ascii="仿宋" w:hAnsi="仿宋" w:eastAsia="仿宋" w:cs="仿宋"/>
              </w:rPr>
            </w:pPr>
            <w:r>
              <w:rPr>
                <w:rFonts w:hint="eastAsia" w:ascii="仿宋" w:hAnsi="仿宋" w:eastAsia="仿宋" w:cs="仿宋"/>
              </w:rPr>
              <w:t>一、评审内容</w:t>
            </w:r>
          </w:p>
          <w:p w14:paraId="795B5533">
            <w:pPr>
              <w:jc w:val="left"/>
              <w:rPr>
                <w:rFonts w:hint="eastAsia" w:ascii="仿宋" w:hAnsi="仿宋" w:eastAsia="仿宋" w:cs="仿宋"/>
              </w:rPr>
            </w:pPr>
            <w:r>
              <w:rPr>
                <w:rFonts w:hint="eastAsia" w:ascii="仿宋" w:hAnsi="仿宋" w:eastAsia="仿宋" w:cs="仿宋"/>
              </w:rPr>
              <w:t>针对本项目提出环境卫生服务方案，方案内容包含①室外公共区域保洁服务②展览区域和办公区保洁服务③卫生间保洁服务。</w:t>
            </w:r>
          </w:p>
          <w:p w14:paraId="4E769F05">
            <w:pPr>
              <w:jc w:val="left"/>
              <w:rPr>
                <w:rFonts w:hint="eastAsia" w:ascii="仿宋" w:hAnsi="仿宋" w:eastAsia="仿宋" w:cs="仿宋"/>
              </w:rPr>
            </w:pPr>
            <w:r>
              <w:rPr>
                <w:rFonts w:hint="eastAsia" w:ascii="仿宋" w:hAnsi="仿宋" w:eastAsia="仿宋" w:cs="仿宋"/>
              </w:rPr>
              <w:t>二、评审标准</w:t>
            </w:r>
          </w:p>
          <w:p w14:paraId="682BFAED">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212F8149">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08DD3296">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5A7FD81C">
            <w:pPr>
              <w:jc w:val="left"/>
              <w:rPr>
                <w:rFonts w:hint="eastAsia" w:ascii="仿宋" w:hAnsi="仿宋" w:eastAsia="仿宋" w:cs="仿宋"/>
              </w:rPr>
            </w:pPr>
            <w:r>
              <w:rPr>
                <w:rFonts w:hint="eastAsia" w:ascii="仿宋" w:hAnsi="仿宋" w:eastAsia="仿宋" w:cs="仿宋"/>
              </w:rPr>
              <w:t>三、赋分标准</w:t>
            </w:r>
          </w:p>
          <w:p w14:paraId="16327B3F">
            <w:pPr>
              <w:jc w:val="left"/>
              <w:rPr>
                <w:rFonts w:hint="eastAsia" w:ascii="仿宋" w:hAnsi="仿宋" w:eastAsia="仿宋" w:cs="仿宋"/>
              </w:rPr>
            </w:pPr>
            <w:r>
              <w:rPr>
                <w:rFonts w:hint="eastAsia" w:ascii="仿宋" w:hAnsi="仿宋" w:eastAsia="仿宋" w:cs="仿宋"/>
              </w:rPr>
              <w:t>①室外公共区域保洁服务：每完全满足一项评审标准得1分，满分3分；</w:t>
            </w:r>
          </w:p>
          <w:p w14:paraId="4F293928">
            <w:pPr>
              <w:jc w:val="left"/>
              <w:rPr>
                <w:rFonts w:hint="eastAsia" w:ascii="仿宋" w:hAnsi="仿宋" w:eastAsia="仿宋" w:cs="仿宋"/>
              </w:rPr>
            </w:pPr>
            <w:r>
              <w:rPr>
                <w:rFonts w:hint="eastAsia" w:ascii="仿宋" w:hAnsi="仿宋" w:eastAsia="仿宋" w:cs="仿宋"/>
              </w:rPr>
              <w:t>②展览区域和办公区域保洁服务：每完全满足一项评审标准得1分，满分3分；</w:t>
            </w:r>
          </w:p>
          <w:p w14:paraId="2B6A71CB">
            <w:pPr>
              <w:jc w:val="left"/>
              <w:rPr>
                <w:rFonts w:hint="eastAsia" w:ascii="仿宋" w:hAnsi="仿宋" w:eastAsia="仿宋" w:cs="仿宋"/>
              </w:rPr>
            </w:pPr>
            <w:r>
              <w:rPr>
                <w:rFonts w:hint="eastAsia" w:ascii="仿宋" w:hAnsi="仿宋" w:eastAsia="仿宋" w:cs="仿宋"/>
              </w:rPr>
              <w:t>③卫生间保洁服务：每完全满足一项评审标准得1分，满3分。</w:t>
            </w:r>
          </w:p>
        </w:tc>
        <w:tc>
          <w:tcPr>
            <w:tcW w:w="0" w:type="auto"/>
            <w:noWrap w:val="0"/>
            <w:vAlign w:val="center"/>
          </w:tcPr>
          <w:p w14:paraId="0720939D">
            <w:pPr>
              <w:jc w:val="center"/>
              <w:rPr>
                <w:rFonts w:hint="eastAsia" w:ascii="仿宋" w:hAnsi="仿宋" w:eastAsia="仿宋" w:cs="仿宋"/>
              </w:rPr>
            </w:pPr>
          </w:p>
        </w:tc>
      </w:tr>
      <w:tr w14:paraId="1159F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76E56C7A">
            <w:pPr>
              <w:jc w:val="center"/>
              <w:rPr>
                <w:rFonts w:hint="eastAsia" w:ascii="仿宋" w:hAnsi="仿宋" w:eastAsia="仿宋" w:cs="仿宋"/>
              </w:rPr>
            </w:pPr>
            <w:r>
              <w:rPr>
                <w:rFonts w:hint="eastAsia" w:ascii="仿宋" w:hAnsi="仿宋" w:eastAsia="仿宋" w:cs="仿宋"/>
              </w:rPr>
              <w:t>绿化养护服务方案</w:t>
            </w:r>
          </w:p>
        </w:tc>
        <w:tc>
          <w:tcPr>
            <w:tcW w:w="0" w:type="auto"/>
            <w:noWrap w:val="0"/>
            <w:vAlign w:val="center"/>
          </w:tcPr>
          <w:p w14:paraId="742877D5">
            <w:pPr>
              <w:jc w:val="center"/>
              <w:rPr>
                <w:rFonts w:hint="eastAsia" w:ascii="仿宋" w:hAnsi="仿宋" w:eastAsia="仿宋" w:cs="仿宋"/>
              </w:rPr>
            </w:pPr>
            <w:r>
              <w:rPr>
                <w:rFonts w:hint="eastAsia" w:ascii="仿宋" w:hAnsi="仿宋" w:eastAsia="仿宋" w:cs="仿宋"/>
              </w:rPr>
              <w:t>9</w:t>
            </w:r>
          </w:p>
        </w:tc>
        <w:tc>
          <w:tcPr>
            <w:tcW w:w="0" w:type="auto"/>
            <w:noWrap w:val="0"/>
            <w:vAlign w:val="center"/>
          </w:tcPr>
          <w:p w14:paraId="3550E79C">
            <w:pPr>
              <w:jc w:val="left"/>
              <w:rPr>
                <w:rFonts w:hint="eastAsia" w:ascii="仿宋" w:hAnsi="仿宋" w:eastAsia="仿宋" w:cs="仿宋"/>
              </w:rPr>
            </w:pPr>
            <w:r>
              <w:rPr>
                <w:rFonts w:hint="eastAsia" w:ascii="仿宋" w:hAnsi="仿宋" w:eastAsia="仿宋" w:cs="仿宋"/>
              </w:rPr>
              <w:t>一、评审内容</w:t>
            </w:r>
          </w:p>
          <w:p w14:paraId="7CD2F79E">
            <w:pPr>
              <w:jc w:val="left"/>
              <w:rPr>
                <w:rFonts w:hint="eastAsia" w:ascii="仿宋" w:hAnsi="仿宋" w:eastAsia="仿宋" w:cs="仿宋"/>
              </w:rPr>
            </w:pPr>
            <w:r>
              <w:rPr>
                <w:rFonts w:hint="eastAsia" w:ascii="仿宋" w:hAnsi="仿宋" w:eastAsia="仿宋" w:cs="仿宋"/>
              </w:rPr>
              <w:t>针对本项目提出绿化养护服务方案，方案内容包含①绿化服务的工作计划②室内外绿化养护③绿化垃圾的处理。</w:t>
            </w:r>
          </w:p>
          <w:p w14:paraId="438B8165">
            <w:pPr>
              <w:jc w:val="left"/>
              <w:rPr>
                <w:rFonts w:hint="eastAsia" w:ascii="仿宋" w:hAnsi="仿宋" w:eastAsia="仿宋" w:cs="仿宋"/>
              </w:rPr>
            </w:pPr>
            <w:r>
              <w:rPr>
                <w:rFonts w:hint="eastAsia" w:ascii="仿宋" w:hAnsi="仿宋" w:eastAsia="仿宋" w:cs="仿宋"/>
              </w:rPr>
              <w:t>二、评审标准</w:t>
            </w:r>
          </w:p>
          <w:p w14:paraId="044EFACD">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4DD04EE2">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532720E7">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02F3AFAB">
            <w:pPr>
              <w:jc w:val="left"/>
              <w:rPr>
                <w:rFonts w:hint="eastAsia" w:ascii="仿宋" w:hAnsi="仿宋" w:eastAsia="仿宋" w:cs="仿宋"/>
              </w:rPr>
            </w:pPr>
            <w:r>
              <w:rPr>
                <w:rFonts w:hint="eastAsia" w:ascii="仿宋" w:hAnsi="仿宋" w:eastAsia="仿宋" w:cs="仿宋"/>
              </w:rPr>
              <w:t>三、赋分标准</w:t>
            </w:r>
          </w:p>
          <w:p w14:paraId="69688080">
            <w:pPr>
              <w:jc w:val="left"/>
              <w:rPr>
                <w:rFonts w:hint="eastAsia" w:ascii="仿宋" w:hAnsi="仿宋" w:eastAsia="仿宋" w:cs="仿宋"/>
              </w:rPr>
            </w:pPr>
            <w:r>
              <w:rPr>
                <w:rFonts w:hint="eastAsia" w:ascii="仿宋" w:hAnsi="仿宋" w:eastAsia="仿宋" w:cs="仿宋"/>
              </w:rPr>
              <w:t>①绿化服务的工作计划：每完全满足一项评审标准得1分，满分3分；</w:t>
            </w:r>
          </w:p>
          <w:p w14:paraId="252AEFEF">
            <w:pPr>
              <w:jc w:val="left"/>
              <w:rPr>
                <w:rFonts w:hint="eastAsia" w:ascii="仿宋" w:hAnsi="仿宋" w:eastAsia="仿宋" w:cs="仿宋"/>
              </w:rPr>
            </w:pPr>
            <w:r>
              <w:rPr>
                <w:rFonts w:hint="eastAsia" w:ascii="仿宋" w:hAnsi="仿宋" w:eastAsia="仿宋" w:cs="仿宋"/>
              </w:rPr>
              <w:t>②室内外绿化养护：每完全满足一项评审标准得1分，满分3分；</w:t>
            </w:r>
          </w:p>
          <w:p w14:paraId="053DFB6B">
            <w:pPr>
              <w:jc w:val="left"/>
              <w:rPr>
                <w:rFonts w:hint="eastAsia" w:ascii="仿宋" w:hAnsi="仿宋" w:eastAsia="仿宋" w:cs="仿宋"/>
              </w:rPr>
            </w:pPr>
            <w:r>
              <w:rPr>
                <w:rFonts w:hint="eastAsia" w:ascii="仿宋" w:hAnsi="仿宋" w:eastAsia="仿宋" w:cs="仿宋"/>
              </w:rPr>
              <w:t>③绿化垃圾的处理：每完全满足一项评审标准得1分，满分3分。</w:t>
            </w:r>
          </w:p>
        </w:tc>
        <w:tc>
          <w:tcPr>
            <w:tcW w:w="0" w:type="auto"/>
            <w:noWrap w:val="0"/>
            <w:vAlign w:val="center"/>
          </w:tcPr>
          <w:p w14:paraId="77B8CFDE">
            <w:pPr>
              <w:jc w:val="center"/>
              <w:rPr>
                <w:rFonts w:hint="eastAsia" w:ascii="仿宋" w:hAnsi="仿宋" w:eastAsia="仿宋" w:cs="仿宋"/>
              </w:rPr>
            </w:pPr>
          </w:p>
        </w:tc>
      </w:tr>
      <w:tr w14:paraId="42919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1A3AE348">
            <w:pPr>
              <w:jc w:val="center"/>
              <w:rPr>
                <w:rFonts w:hint="eastAsia" w:ascii="仿宋" w:hAnsi="仿宋" w:eastAsia="仿宋" w:cs="仿宋"/>
              </w:rPr>
            </w:pPr>
            <w:r>
              <w:rPr>
                <w:rFonts w:hint="eastAsia" w:ascii="仿宋" w:hAnsi="仿宋" w:eastAsia="仿宋" w:cs="仿宋"/>
              </w:rPr>
              <w:t>安保及安防管理方案</w:t>
            </w:r>
          </w:p>
        </w:tc>
        <w:tc>
          <w:tcPr>
            <w:tcW w:w="0" w:type="auto"/>
            <w:noWrap w:val="0"/>
            <w:vAlign w:val="center"/>
          </w:tcPr>
          <w:p w14:paraId="71105890">
            <w:pPr>
              <w:jc w:val="center"/>
              <w:rPr>
                <w:rFonts w:hint="eastAsia" w:ascii="仿宋" w:hAnsi="仿宋" w:eastAsia="仿宋" w:cs="仿宋"/>
              </w:rPr>
            </w:pPr>
            <w:r>
              <w:rPr>
                <w:rFonts w:hint="eastAsia" w:ascii="仿宋" w:hAnsi="仿宋" w:eastAsia="仿宋" w:cs="仿宋"/>
              </w:rPr>
              <w:t>9</w:t>
            </w:r>
          </w:p>
        </w:tc>
        <w:tc>
          <w:tcPr>
            <w:tcW w:w="0" w:type="auto"/>
            <w:noWrap w:val="0"/>
            <w:vAlign w:val="center"/>
          </w:tcPr>
          <w:p w14:paraId="4368EBD7">
            <w:pPr>
              <w:jc w:val="left"/>
              <w:rPr>
                <w:rFonts w:hint="eastAsia" w:ascii="仿宋" w:hAnsi="仿宋" w:eastAsia="仿宋" w:cs="仿宋"/>
              </w:rPr>
            </w:pPr>
            <w:r>
              <w:rPr>
                <w:rFonts w:hint="eastAsia" w:ascii="仿宋" w:hAnsi="仿宋" w:eastAsia="仿宋" w:cs="仿宋"/>
              </w:rPr>
              <w:t>一、评审内容</w:t>
            </w:r>
          </w:p>
          <w:p w14:paraId="25F8476E">
            <w:pPr>
              <w:jc w:val="left"/>
              <w:rPr>
                <w:rFonts w:hint="eastAsia" w:ascii="仿宋" w:hAnsi="仿宋" w:eastAsia="仿宋" w:cs="仿宋"/>
              </w:rPr>
            </w:pPr>
            <w:r>
              <w:rPr>
                <w:rFonts w:hint="eastAsia" w:ascii="仿宋" w:hAnsi="仿宋" w:eastAsia="仿宋" w:cs="仿宋"/>
              </w:rPr>
              <w:t>针对本项目提出秩序维护管理方案，方案内容包含①</w:t>
            </w:r>
            <w:r>
              <w:rPr>
                <w:rFonts w:hint="eastAsia" w:ascii="仿宋" w:hAnsi="仿宋" w:eastAsia="仿宋" w:cs="仿宋"/>
                <w:color w:val="000000"/>
                <w:highlight w:val="none"/>
                <w:shd w:val="clear" w:color="auto" w:fill="auto"/>
              </w:rPr>
              <w:t>西北局</w:t>
            </w:r>
            <w:r>
              <w:rPr>
                <w:rFonts w:hint="eastAsia" w:ascii="仿宋" w:hAnsi="仿宋" w:eastAsia="仿宋" w:cs="仿宋"/>
                <w:color w:val="000000"/>
                <w:highlight w:val="none"/>
                <w:shd w:val="clear" w:color="auto" w:fill="auto"/>
                <w:lang w:val="en-US" w:eastAsia="zh-CN"/>
              </w:rPr>
              <w:t>管辖区域</w:t>
            </w:r>
            <w:r>
              <w:rPr>
                <w:rFonts w:hint="eastAsia" w:ascii="仿宋" w:hAnsi="仿宋" w:eastAsia="仿宋" w:cs="仿宋"/>
              </w:rPr>
              <w:t>秩序维护及安防②监控系统管理③消防报警及联动系统。</w:t>
            </w:r>
          </w:p>
          <w:p w14:paraId="6C2EA249">
            <w:pPr>
              <w:jc w:val="left"/>
              <w:rPr>
                <w:rFonts w:hint="eastAsia" w:ascii="仿宋" w:hAnsi="仿宋" w:eastAsia="仿宋" w:cs="仿宋"/>
              </w:rPr>
            </w:pPr>
            <w:r>
              <w:rPr>
                <w:rFonts w:hint="eastAsia" w:ascii="仿宋" w:hAnsi="仿宋" w:eastAsia="仿宋" w:cs="仿宋"/>
              </w:rPr>
              <w:t>二、评审标准</w:t>
            </w:r>
          </w:p>
          <w:p w14:paraId="061E52BE">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4E3111F2">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1A28C3FD">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7D521D6E">
            <w:pPr>
              <w:jc w:val="left"/>
              <w:rPr>
                <w:rFonts w:hint="eastAsia" w:ascii="仿宋" w:hAnsi="仿宋" w:eastAsia="仿宋" w:cs="仿宋"/>
              </w:rPr>
            </w:pPr>
            <w:r>
              <w:rPr>
                <w:rFonts w:hint="eastAsia" w:ascii="仿宋" w:hAnsi="仿宋" w:eastAsia="仿宋" w:cs="仿宋"/>
              </w:rPr>
              <w:t>三、赋分标准</w:t>
            </w:r>
          </w:p>
          <w:p w14:paraId="047D6220">
            <w:pPr>
              <w:jc w:val="left"/>
              <w:rPr>
                <w:rFonts w:hint="eastAsia" w:ascii="仿宋" w:hAnsi="仿宋" w:eastAsia="仿宋" w:cs="仿宋"/>
              </w:rPr>
            </w:pPr>
            <w:r>
              <w:rPr>
                <w:rFonts w:hint="eastAsia" w:ascii="仿宋" w:hAnsi="仿宋" w:eastAsia="仿宋" w:cs="仿宋"/>
              </w:rPr>
              <w:t>①</w:t>
            </w:r>
            <w:r>
              <w:rPr>
                <w:rFonts w:hint="eastAsia" w:ascii="仿宋" w:hAnsi="仿宋" w:eastAsia="仿宋" w:cs="仿宋"/>
                <w:highlight w:val="none"/>
                <w:lang w:val="en-US" w:eastAsia="zh-CN"/>
              </w:rPr>
              <w:t>西北局管辖区域</w:t>
            </w:r>
            <w:r>
              <w:rPr>
                <w:rFonts w:hint="eastAsia" w:ascii="仿宋" w:hAnsi="仿宋" w:eastAsia="仿宋" w:cs="仿宋"/>
              </w:rPr>
              <w:t>秩序维护：每完全满足一项评审标准得1分，满分3分；</w:t>
            </w:r>
          </w:p>
          <w:p w14:paraId="23898DC0">
            <w:pPr>
              <w:jc w:val="left"/>
              <w:rPr>
                <w:rFonts w:hint="eastAsia" w:ascii="仿宋" w:hAnsi="仿宋" w:eastAsia="仿宋" w:cs="仿宋"/>
                <w:lang w:eastAsia="zh-CN"/>
              </w:rPr>
            </w:pPr>
            <w:r>
              <w:rPr>
                <w:rFonts w:hint="eastAsia" w:ascii="仿宋" w:hAnsi="仿宋" w:eastAsia="仿宋" w:cs="仿宋"/>
              </w:rPr>
              <w:t>②监控系统管理：每完全满足一项评审标准得1分，满分3分</w:t>
            </w:r>
            <w:r>
              <w:rPr>
                <w:rFonts w:hint="eastAsia" w:ascii="仿宋" w:hAnsi="仿宋" w:eastAsia="仿宋" w:cs="仿宋"/>
                <w:lang w:eastAsia="zh-CN"/>
              </w:rPr>
              <w:t>；</w:t>
            </w:r>
          </w:p>
          <w:p w14:paraId="1E97083F">
            <w:pPr>
              <w:jc w:val="left"/>
              <w:rPr>
                <w:rFonts w:hint="eastAsia" w:ascii="仿宋" w:hAnsi="仿宋" w:eastAsia="仿宋" w:cs="仿宋"/>
              </w:rPr>
            </w:pPr>
            <w:r>
              <w:rPr>
                <w:rFonts w:hint="eastAsia" w:ascii="仿宋" w:hAnsi="仿宋" w:eastAsia="仿宋" w:cs="仿宋"/>
              </w:rPr>
              <w:t>③消防报警及联动系统：每完全满足一项评审标准得1分,满分3分。</w:t>
            </w:r>
          </w:p>
        </w:tc>
        <w:tc>
          <w:tcPr>
            <w:tcW w:w="0" w:type="auto"/>
            <w:noWrap w:val="0"/>
            <w:vAlign w:val="center"/>
          </w:tcPr>
          <w:p w14:paraId="2C69339C">
            <w:pPr>
              <w:jc w:val="center"/>
              <w:rPr>
                <w:rFonts w:hint="eastAsia" w:ascii="仿宋" w:hAnsi="仿宋" w:eastAsia="仿宋" w:cs="仿宋"/>
              </w:rPr>
            </w:pPr>
          </w:p>
        </w:tc>
      </w:tr>
      <w:tr w14:paraId="72D60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6779AE33">
            <w:pPr>
              <w:jc w:val="center"/>
              <w:rPr>
                <w:rFonts w:hint="eastAsia" w:ascii="仿宋" w:hAnsi="仿宋" w:eastAsia="仿宋" w:cs="仿宋"/>
              </w:rPr>
            </w:pPr>
            <w:r>
              <w:rPr>
                <w:rFonts w:hint="eastAsia" w:ascii="仿宋" w:hAnsi="仿宋" w:eastAsia="仿宋" w:cs="仿宋"/>
              </w:rPr>
              <w:t>综合服务管理方案</w:t>
            </w:r>
          </w:p>
        </w:tc>
        <w:tc>
          <w:tcPr>
            <w:tcW w:w="0" w:type="auto"/>
            <w:noWrap w:val="0"/>
            <w:vAlign w:val="center"/>
          </w:tcPr>
          <w:p w14:paraId="01F5483B">
            <w:pPr>
              <w:jc w:val="center"/>
              <w:rPr>
                <w:rFonts w:hint="eastAsia" w:ascii="仿宋" w:hAnsi="仿宋" w:eastAsia="仿宋" w:cs="仿宋"/>
                <w:highlight w:val="yellow"/>
              </w:rPr>
            </w:pPr>
            <w:r>
              <w:rPr>
                <w:rFonts w:hint="eastAsia" w:ascii="仿宋" w:hAnsi="仿宋" w:eastAsia="仿宋" w:cs="仿宋"/>
              </w:rPr>
              <w:t>15</w:t>
            </w:r>
          </w:p>
        </w:tc>
        <w:tc>
          <w:tcPr>
            <w:tcW w:w="0" w:type="auto"/>
            <w:noWrap w:val="0"/>
            <w:vAlign w:val="center"/>
          </w:tcPr>
          <w:p w14:paraId="684FF039">
            <w:pPr>
              <w:jc w:val="left"/>
              <w:rPr>
                <w:rFonts w:hint="eastAsia" w:ascii="仿宋" w:hAnsi="仿宋" w:eastAsia="仿宋" w:cs="仿宋"/>
              </w:rPr>
            </w:pPr>
            <w:r>
              <w:rPr>
                <w:rFonts w:hint="eastAsia" w:ascii="仿宋" w:hAnsi="仿宋" w:eastAsia="仿宋" w:cs="仿宋"/>
              </w:rPr>
              <w:t>一、评审内容</w:t>
            </w:r>
          </w:p>
          <w:p w14:paraId="77ABC6F6">
            <w:pPr>
              <w:jc w:val="left"/>
              <w:rPr>
                <w:rFonts w:hint="eastAsia" w:ascii="仿宋" w:hAnsi="仿宋" w:eastAsia="仿宋" w:cs="仿宋"/>
              </w:rPr>
            </w:pPr>
            <w:r>
              <w:rPr>
                <w:rFonts w:hint="eastAsia" w:ascii="仿宋" w:hAnsi="仿宋" w:eastAsia="仿宋" w:cs="仿宋"/>
              </w:rPr>
              <w:t>针对本项目提出综合服务管理方案，方案内容包含①给排水设备设施运行维护②供电系统运行管理③空调系统运行维护管理④安防系统运行维护管理⑤会议室服务保障⑥其他设备维护管理。</w:t>
            </w:r>
          </w:p>
          <w:p w14:paraId="7365B45F">
            <w:pPr>
              <w:jc w:val="left"/>
              <w:rPr>
                <w:rFonts w:hint="eastAsia" w:ascii="仿宋" w:hAnsi="仿宋" w:eastAsia="仿宋" w:cs="仿宋"/>
              </w:rPr>
            </w:pPr>
            <w:r>
              <w:rPr>
                <w:rFonts w:hint="eastAsia" w:ascii="仿宋" w:hAnsi="仿宋" w:eastAsia="仿宋" w:cs="仿宋"/>
              </w:rPr>
              <w:t>二、评审标准</w:t>
            </w:r>
          </w:p>
          <w:p w14:paraId="18DAFB86">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02BDAEF7">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2747AF79">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4C06BFFD">
            <w:pPr>
              <w:jc w:val="left"/>
              <w:rPr>
                <w:rFonts w:hint="eastAsia" w:ascii="仿宋" w:hAnsi="仿宋" w:eastAsia="仿宋" w:cs="仿宋"/>
              </w:rPr>
            </w:pPr>
            <w:r>
              <w:rPr>
                <w:rFonts w:hint="eastAsia" w:ascii="仿宋" w:hAnsi="仿宋" w:eastAsia="仿宋" w:cs="仿宋"/>
              </w:rPr>
              <w:t>三、赋分标准</w:t>
            </w:r>
          </w:p>
          <w:p w14:paraId="351CFE7A">
            <w:pPr>
              <w:jc w:val="left"/>
              <w:rPr>
                <w:rFonts w:hint="eastAsia" w:ascii="仿宋" w:hAnsi="仿宋" w:eastAsia="仿宋" w:cs="仿宋"/>
              </w:rPr>
            </w:pPr>
            <w:r>
              <w:rPr>
                <w:rFonts w:hint="eastAsia" w:ascii="仿宋" w:hAnsi="仿宋" w:eastAsia="仿宋" w:cs="仿宋"/>
              </w:rPr>
              <w:t>①给排水设备设施运行维护：每完全满足一项评审标准得1分，满分3分；</w:t>
            </w:r>
          </w:p>
          <w:p w14:paraId="4FEF4825">
            <w:pPr>
              <w:jc w:val="left"/>
              <w:rPr>
                <w:rFonts w:hint="eastAsia" w:ascii="仿宋" w:hAnsi="仿宋" w:eastAsia="仿宋" w:cs="仿宋"/>
              </w:rPr>
            </w:pPr>
            <w:r>
              <w:rPr>
                <w:rFonts w:hint="eastAsia" w:ascii="仿宋" w:hAnsi="仿宋" w:eastAsia="仿宋" w:cs="仿宋"/>
              </w:rPr>
              <w:t>②供电系统运行管理：每完全满足一项评审标准得1分，满分3分；</w:t>
            </w:r>
          </w:p>
          <w:p w14:paraId="0A7F114A">
            <w:pPr>
              <w:jc w:val="left"/>
              <w:rPr>
                <w:rFonts w:hint="eastAsia" w:ascii="仿宋" w:hAnsi="仿宋" w:eastAsia="仿宋" w:cs="仿宋"/>
              </w:rPr>
            </w:pPr>
            <w:r>
              <w:rPr>
                <w:rFonts w:hint="eastAsia" w:ascii="仿宋" w:hAnsi="仿宋" w:eastAsia="仿宋" w:cs="仿宋"/>
              </w:rPr>
              <w:t>③空调系统运行维护管理：每完全满足一项评审标准得1分，满分3分；</w:t>
            </w:r>
          </w:p>
          <w:p w14:paraId="0DD3F414">
            <w:pPr>
              <w:jc w:val="left"/>
              <w:rPr>
                <w:rFonts w:hint="eastAsia" w:ascii="仿宋" w:hAnsi="仿宋" w:eastAsia="仿宋" w:cs="仿宋"/>
              </w:rPr>
            </w:pPr>
            <w:r>
              <w:rPr>
                <w:rFonts w:hint="eastAsia" w:ascii="仿宋" w:hAnsi="仿宋" w:eastAsia="仿宋" w:cs="仿宋"/>
              </w:rPr>
              <w:t>④安防系统运行维护管理：每完全满足一项评审标准得1分，满分3分；</w:t>
            </w:r>
          </w:p>
          <w:p w14:paraId="42D96171">
            <w:pPr>
              <w:jc w:val="left"/>
              <w:rPr>
                <w:rFonts w:hint="eastAsia" w:ascii="仿宋" w:hAnsi="仿宋" w:eastAsia="仿宋" w:cs="仿宋"/>
              </w:rPr>
            </w:pPr>
            <w:r>
              <w:rPr>
                <w:rFonts w:hint="eastAsia" w:ascii="仿宋" w:hAnsi="仿宋" w:eastAsia="仿宋" w:cs="仿宋"/>
              </w:rPr>
              <w:t>⑤会议室服务保障：每完全满足一项评审标准得0.5分，满分1.5分；</w:t>
            </w:r>
          </w:p>
          <w:p w14:paraId="4F94CC61">
            <w:pPr>
              <w:jc w:val="left"/>
              <w:rPr>
                <w:rFonts w:hint="eastAsia" w:ascii="仿宋" w:hAnsi="仿宋" w:eastAsia="仿宋" w:cs="仿宋"/>
              </w:rPr>
            </w:pPr>
            <w:r>
              <w:rPr>
                <w:rFonts w:hint="eastAsia" w:ascii="仿宋" w:hAnsi="仿宋" w:eastAsia="仿宋" w:cs="仿宋"/>
              </w:rPr>
              <w:t>⑥</w:t>
            </w:r>
            <w:r>
              <w:rPr>
                <w:rFonts w:hint="eastAsia" w:ascii="仿宋" w:hAnsi="仿宋" w:eastAsia="仿宋" w:cs="仿宋"/>
                <w:lang w:val="en-US" w:eastAsia="zh-CN"/>
              </w:rPr>
              <w:t>锅炉等</w:t>
            </w:r>
            <w:r>
              <w:rPr>
                <w:rFonts w:hint="eastAsia" w:ascii="仿宋" w:hAnsi="仿宋" w:eastAsia="仿宋" w:cs="仿宋"/>
              </w:rPr>
              <w:t>其他设备维护管理：每完全满足一项评审标准得0.5分，满分1.5分。</w:t>
            </w:r>
          </w:p>
        </w:tc>
        <w:tc>
          <w:tcPr>
            <w:tcW w:w="0" w:type="auto"/>
            <w:noWrap w:val="0"/>
            <w:vAlign w:val="center"/>
          </w:tcPr>
          <w:p w14:paraId="4100F37F">
            <w:pPr>
              <w:jc w:val="center"/>
              <w:rPr>
                <w:rFonts w:hint="eastAsia" w:ascii="仿宋" w:hAnsi="仿宋" w:eastAsia="仿宋" w:cs="仿宋"/>
              </w:rPr>
            </w:pPr>
          </w:p>
        </w:tc>
      </w:tr>
      <w:tr w14:paraId="712A8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128932A2">
            <w:pPr>
              <w:jc w:val="center"/>
              <w:rPr>
                <w:rFonts w:hint="default" w:ascii="仿宋" w:hAnsi="仿宋" w:eastAsia="仿宋" w:cs="仿宋"/>
                <w:lang w:val="en-US" w:eastAsia="zh-CN"/>
              </w:rPr>
            </w:pPr>
            <w:r>
              <w:rPr>
                <w:rFonts w:hint="eastAsia" w:ascii="仿宋" w:hAnsi="仿宋" w:eastAsia="仿宋" w:cs="仿宋"/>
                <w:lang w:val="en-US" w:eastAsia="zh-CN"/>
              </w:rPr>
              <w:t>人员配置与分工方案</w:t>
            </w:r>
          </w:p>
        </w:tc>
        <w:tc>
          <w:tcPr>
            <w:tcW w:w="0" w:type="auto"/>
            <w:noWrap w:val="0"/>
            <w:vAlign w:val="center"/>
          </w:tcPr>
          <w:p w14:paraId="4F10BEAC">
            <w:pPr>
              <w:jc w:val="center"/>
              <w:rPr>
                <w:rFonts w:hint="eastAsia" w:ascii="仿宋" w:hAnsi="仿宋" w:eastAsia="仿宋" w:cs="仿宋"/>
              </w:rPr>
            </w:pPr>
            <w:r>
              <w:rPr>
                <w:rFonts w:hint="eastAsia" w:ascii="仿宋" w:hAnsi="仿宋" w:eastAsia="仿宋" w:cs="仿宋"/>
              </w:rPr>
              <w:t>6</w:t>
            </w:r>
          </w:p>
        </w:tc>
        <w:tc>
          <w:tcPr>
            <w:tcW w:w="0" w:type="auto"/>
            <w:noWrap w:val="0"/>
            <w:vAlign w:val="center"/>
          </w:tcPr>
          <w:p w14:paraId="1B519226">
            <w:pPr>
              <w:jc w:val="left"/>
              <w:rPr>
                <w:rFonts w:hint="eastAsia" w:ascii="仿宋" w:hAnsi="仿宋" w:eastAsia="仿宋" w:cs="仿宋"/>
              </w:rPr>
            </w:pPr>
            <w:r>
              <w:rPr>
                <w:rFonts w:hint="eastAsia" w:ascii="仿宋" w:hAnsi="仿宋" w:eastAsia="仿宋" w:cs="仿宋"/>
              </w:rPr>
              <w:t>一、评审内容</w:t>
            </w:r>
          </w:p>
          <w:p w14:paraId="4EAD0B74">
            <w:pPr>
              <w:jc w:val="left"/>
              <w:rPr>
                <w:rFonts w:hint="eastAsia" w:ascii="仿宋" w:hAnsi="仿宋" w:eastAsia="仿宋" w:cs="仿宋"/>
              </w:rPr>
            </w:pPr>
            <w:r>
              <w:rPr>
                <w:rFonts w:hint="eastAsia" w:ascii="仿宋" w:hAnsi="仿宋" w:eastAsia="仿宋" w:cs="仿宋"/>
              </w:rPr>
              <w:t>根据物业服务工作特点提供机构建设方案，方案内容包括：①人员配置</w:t>
            </w:r>
            <w:r>
              <w:rPr>
                <w:rFonts w:hint="eastAsia" w:ascii="仿宋" w:hAnsi="仿宋" w:eastAsia="仿宋" w:cs="仿宋"/>
                <w:lang w:eastAsia="zh-CN"/>
              </w:rPr>
              <w:t>；</w:t>
            </w:r>
            <w:r>
              <w:rPr>
                <w:rFonts w:hint="eastAsia" w:ascii="仿宋" w:hAnsi="仿宋" w:eastAsia="仿宋" w:cs="仿宋"/>
              </w:rPr>
              <w:t>②</w:t>
            </w:r>
            <w:r>
              <w:rPr>
                <w:rFonts w:hint="eastAsia" w:ascii="仿宋" w:hAnsi="仿宋" w:eastAsia="仿宋" w:cs="仿宋"/>
                <w:lang w:val="en-US" w:eastAsia="zh-CN"/>
              </w:rPr>
              <w:t>岗位落实</w:t>
            </w:r>
            <w:r>
              <w:rPr>
                <w:rFonts w:hint="eastAsia" w:ascii="仿宋" w:hAnsi="仿宋" w:eastAsia="仿宋" w:cs="仿宋"/>
              </w:rPr>
              <w:t>。</w:t>
            </w:r>
          </w:p>
          <w:p w14:paraId="1FA5851D">
            <w:pPr>
              <w:jc w:val="left"/>
              <w:rPr>
                <w:rFonts w:hint="eastAsia" w:ascii="仿宋" w:hAnsi="仿宋" w:eastAsia="仿宋" w:cs="仿宋"/>
              </w:rPr>
            </w:pPr>
            <w:r>
              <w:rPr>
                <w:rFonts w:hint="eastAsia" w:ascii="仿宋" w:hAnsi="仿宋" w:eastAsia="仿宋" w:cs="仿宋"/>
              </w:rPr>
              <w:t>二、评审标准</w:t>
            </w:r>
          </w:p>
          <w:p w14:paraId="6DC0155A">
            <w:pPr>
              <w:jc w:val="left"/>
              <w:rPr>
                <w:rFonts w:hint="eastAsia" w:ascii="仿宋" w:hAnsi="仿宋" w:eastAsia="仿宋" w:cs="仿宋"/>
              </w:rPr>
            </w:pPr>
            <w:r>
              <w:rPr>
                <w:rFonts w:hint="eastAsia" w:ascii="仿宋" w:hAnsi="仿宋" w:eastAsia="仿宋" w:cs="仿宋"/>
              </w:rPr>
              <w:t>1.完整性：方案必须全面，对评审内容中的各项要求有详细描述；</w:t>
            </w:r>
          </w:p>
          <w:p w14:paraId="5376359E">
            <w:pPr>
              <w:jc w:val="left"/>
              <w:rPr>
                <w:rFonts w:hint="eastAsia" w:ascii="仿宋" w:hAnsi="仿宋" w:eastAsia="仿宋" w:cs="仿宋"/>
              </w:rPr>
            </w:pPr>
            <w:r>
              <w:rPr>
                <w:rFonts w:hint="eastAsia" w:ascii="仿宋" w:hAnsi="仿宋" w:eastAsia="仿宋" w:cs="仿宋"/>
              </w:rPr>
              <w:t>2.可实施性：切合本项目实际情况，提出步骤清晰、合理的方案；</w:t>
            </w:r>
          </w:p>
          <w:p w14:paraId="75CD7AA7">
            <w:pPr>
              <w:jc w:val="left"/>
              <w:rPr>
                <w:rFonts w:hint="eastAsia" w:ascii="仿宋" w:hAnsi="仿宋" w:eastAsia="仿宋" w:cs="仿宋"/>
              </w:rPr>
            </w:pPr>
            <w:r>
              <w:rPr>
                <w:rFonts w:hint="eastAsia" w:ascii="仿宋" w:hAnsi="仿宋" w:eastAsia="仿宋" w:cs="仿宋"/>
              </w:rPr>
              <w:t>3.针对性：方案能够紧扣标段实际情况，内容科学合理。</w:t>
            </w:r>
          </w:p>
          <w:p w14:paraId="2E73FE63">
            <w:pPr>
              <w:jc w:val="left"/>
              <w:rPr>
                <w:rFonts w:hint="eastAsia" w:ascii="仿宋" w:hAnsi="仿宋" w:eastAsia="仿宋" w:cs="仿宋"/>
              </w:rPr>
            </w:pPr>
            <w:r>
              <w:rPr>
                <w:rFonts w:hint="eastAsia" w:ascii="仿宋" w:hAnsi="仿宋" w:eastAsia="仿宋" w:cs="仿宋"/>
              </w:rPr>
              <w:t>三、赋分标准</w:t>
            </w:r>
          </w:p>
          <w:p w14:paraId="22A60F23">
            <w:pPr>
              <w:jc w:val="left"/>
              <w:rPr>
                <w:rFonts w:hint="eastAsia" w:ascii="仿宋" w:hAnsi="仿宋" w:eastAsia="仿宋" w:cs="仿宋"/>
              </w:rPr>
            </w:pPr>
            <w:r>
              <w:rPr>
                <w:rFonts w:hint="eastAsia" w:ascii="仿宋" w:hAnsi="仿宋" w:eastAsia="仿宋" w:cs="仿宋"/>
                <w:lang w:val="en-US" w:eastAsia="zh-CN"/>
              </w:rPr>
              <w:t>1.</w:t>
            </w:r>
            <w:r>
              <w:rPr>
                <w:rFonts w:hint="eastAsia" w:ascii="仿宋" w:hAnsi="仿宋" w:eastAsia="仿宋" w:cs="仿宋"/>
              </w:rPr>
              <w:t>人员配置：每完全满足一个评审标准得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p>
          <w:p w14:paraId="6AB77E74">
            <w:pPr>
              <w:jc w:val="left"/>
              <w:rPr>
                <w:rFonts w:hint="eastAsia" w:ascii="仿宋" w:hAnsi="仿宋" w:eastAsia="仿宋" w:cs="仿宋"/>
                <w:lang w:eastAsia="zh-CN"/>
              </w:rPr>
            </w:pPr>
            <w:r>
              <w:rPr>
                <w:rFonts w:hint="eastAsia" w:ascii="仿宋" w:hAnsi="仿宋" w:eastAsia="仿宋" w:cs="仿宋"/>
                <w:lang w:val="en-US" w:eastAsia="zh-CN"/>
              </w:rPr>
              <w:t>2.岗位落实：</w:t>
            </w:r>
            <w:r>
              <w:rPr>
                <w:rFonts w:hint="eastAsia" w:ascii="仿宋" w:hAnsi="仿宋" w:eastAsia="仿宋" w:cs="仿宋"/>
              </w:rPr>
              <w:t>每完全满足一个评审标准得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r>
              <w:rPr>
                <w:rFonts w:hint="eastAsia" w:ascii="仿宋" w:hAnsi="仿宋" w:eastAsia="仿宋" w:cs="仿宋"/>
                <w:lang w:eastAsia="zh-CN"/>
              </w:rPr>
              <w:t>。</w:t>
            </w:r>
          </w:p>
        </w:tc>
        <w:tc>
          <w:tcPr>
            <w:tcW w:w="0" w:type="auto"/>
            <w:noWrap w:val="0"/>
            <w:vAlign w:val="center"/>
          </w:tcPr>
          <w:p w14:paraId="551156D7">
            <w:pPr>
              <w:jc w:val="center"/>
              <w:rPr>
                <w:rFonts w:hint="eastAsia" w:ascii="仿宋" w:hAnsi="仿宋" w:eastAsia="仿宋" w:cs="仿宋"/>
              </w:rPr>
            </w:pPr>
          </w:p>
        </w:tc>
      </w:tr>
      <w:tr w14:paraId="49FC2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55215A2C">
            <w:pPr>
              <w:jc w:val="center"/>
              <w:rPr>
                <w:rFonts w:hint="eastAsia" w:ascii="仿宋" w:hAnsi="仿宋" w:eastAsia="仿宋" w:cs="仿宋"/>
              </w:rPr>
            </w:pPr>
            <w:r>
              <w:rPr>
                <w:rFonts w:hint="eastAsia" w:ascii="仿宋" w:hAnsi="仿宋" w:eastAsia="仿宋" w:cs="仿宋"/>
              </w:rPr>
              <w:t>管理制度</w:t>
            </w:r>
          </w:p>
        </w:tc>
        <w:tc>
          <w:tcPr>
            <w:tcW w:w="0" w:type="auto"/>
            <w:noWrap w:val="0"/>
            <w:vAlign w:val="center"/>
          </w:tcPr>
          <w:p w14:paraId="0A18251D">
            <w:pPr>
              <w:jc w:val="center"/>
              <w:rPr>
                <w:rFonts w:hint="default" w:ascii="仿宋" w:hAnsi="仿宋" w:eastAsia="仿宋" w:cs="仿宋"/>
                <w:lang w:val="en-US" w:eastAsia="zh-CN"/>
              </w:rPr>
            </w:pPr>
            <w:r>
              <w:rPr>
                <w:rFonts w:hint="eastAsia" w:ascii="仿宋" w:hAnsi="仿宋" w:eastAsia="仿宋" w:cs="仿宋"/>
                <w:lang w:val="en-US" w:eastAsia="zh-CN"/>
              </w:rPr>
              <w:t>9</w:t>
            </w:r>
          </w:p>
        </w:tc>
        <w:tc>
          <w:tcPr>
            <w:tcW w:w="0" w:type="auto"/>
            <w:noWrap w:val="0"/>
            <w:vAlign w:val="center"/>
          </w:tcPr>
          <w:p w14:paraId="1A3D1F8D">
            <w:pPr>
              <w:jc w:val="left"/>
              <w:rPr>
                <w:rFonts w:hint="eastAsia" w:ascii="仿宋" w:hAnsi="仿宋" w:eastAsia="仿宋" w:cs="仿宋"/>
              </w:rPr>
            </w:pPr>
            <w:r>
              <w:rPr>
                <w:rFonts w:hint="eastAsia" w:ascii="仿宋" w:hAnsi="仿宋" w:eastAsia="仿宋" w:cs="仿宋"/>
              </w:rPr>
              <w:t>一、评审内容</w:t>
            </w:r>
          </w:p>
          <w:p w14:paraId="25BDDB40">
            <w:pPr>
              <w:jc w:val="left"/>
              <w:rPr>
                <w:rFonts w:hint="eastAsia" w:ascii="仿宋" w:hAnsi="仿宋" w:eastAsia="仿宋" w:cs="仿宋"/>
              </w:rPr>
            </w:pPr>
            <w:r>
              <w:rPr>
                <w:rFonts w:hint="eastAsia" w:ascii="仿宋" w:hAnsi="仿宋" w:eastAsia="仿宋" w:cs="仿宋"/>
              </w:rPr>
              <w:t>针对本项目具有良好的管理制度，制度内容包含①</w:t>
            </w:r>
            <w:r>
              <w:rPr>
                <w:rFonts w:hint="eastAsia" w:ascii="仿宋" w:hAnsi="仿宋" w:eastAsia="仿宋" w:cs="仿宋"/>
                <w:lang w:val="en-US" w:eastAsia="zh-CN"/>
              </w:rPr>
              <w:t>职能职责</w:t>
            </w:r>
            <w:r>
              <w:rPr>
                <w:rFonts w:hint="eastAsia" w:ascii="仿宋" w:hAnsi="仿宋" w:eastAsia="仿宋" w:cs="仿宋"/>
              </w:rPr>
              <w:t>：具有岗位职责、服务质量标准、作业流程及</w:t>
            </w:r>
            <w:r>
              <w:rPr>
                <w:rFonts w:hint="eastAsia" w:ascii="仿宋" w:hAnsi="仿宋" w:eastAsia="仿宋" w:cs="仿宋"/>
                <w:lang w:val="en-US" w:eastAsia="zh-CN"/>
              </w:rPr>
              <w:t>交接班</w:t>
            </w:r>
            <w:r>
              <w:rPr>
                <w:rFonts w:hint="eastAsia" w:ascii="仿宋" w:hAnsi="仿宋" w:eastAsia="仿宋" w:cs="仿宋"/>
              </w:rPr>
              <w:t>记录②内控制度：具有保密制度、廉洁敬业制度、监督机制、自查制度③人员管理制度：具有员工日常管理制度、请销假制度、奖惩措施、激励机制、仪容仪表制度。</w:t>
            </w:r>
          </w:p>
          <w:p w14:paraId="2128FB1F">
            <w:pPr>
              <w:jc w:val="left"/>
              <w:rPr>
                <w:rFonts w:hint="eastAsia" w:ascii="仿宋" w:hAnsi="仿宋" w:eastAsia="仿宋" w:cs="仿宋"/>
              </w:rPr>
            </w:pPr>
            <w:r>
              <w:rPr>
                <w:rFonts w:hint="eastAsia" w:ascii="仿宋" w:hAnsi="仿宋" w:eastAsia="仿宋" w:cs="仿宋"/>
              </w:rPr>
              <w:t>二、评审标准</w:t>
            </w:r>
          </w:p>
          <w:p w14:paraId="56C86C5D">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21361E4B">
            <w:pPr>
              <w:jc w:val="left"/>
              <w:rPr>
                <w:rFonts w:hint="eastAsia" w:ascii="仿宋" w:hAnsi="仿宋" w:eastAsia="仿宋" w:cs="仿宋"/>
              </w:rPr>
            </w:pPr>
            <w:r>
              <w:rPr>
                <w:rFonts w:hint="eastAsia" w:ascii="仿宋" w:hAnsi="仿宋" w:eastAsia="仿宋" w:cs="仿宋"/>
              </w:rPr>
              <w:t>2.可实施性：切合本项目实际情况，步骤清晰、合理，操作性强；</w:t>
            </w:r>
          </w:p>
          <w:p w14:paraId="700A4D84">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7E91F9C8">
            <w:pPr>
              <w:jc w:val="left"/>
              <w:rPr>
                <w:rFonts w:hint="eastAsia" w:ascii="仿宋" w:hAnsi="仿宋" w:eastAsia="仿宋" w:cs="仿宋"/>
              </w:rPr>
            </w:pPr>
            <w:r>
              <w:rPr>
                <w:rFonts w:hint="eastAsia" w:ascii="仿宋" w:hAnsi="仿宋" w:eastAsia="仿宋" w:cs="仿宋"/>
              </w:rPr>
              <w:t>三、赋分标准</w:t>
            </w:r>
          </w:p>
          <w:p w14:paraId="55DE9628">
            <w:pPr>
              <w:jc w:val="left"/>
              <w:rPr>
                <w:rFonts w:hint="eastAsia" w:ascii="仿宋" w:hAnsi="仿宋" w:eastAsia="仿宋" w:cs="仿宋"/>
              </w:rPr>
            </w:pPr>
            <w:r>
              <w:rPr>
                <w:rFonts w:hint="eastAsia" w:ascii="仿宋" w:hAnsi="仿宋" w:eastAsia="仿宋" w:cs="仿宋"/>
              </w:rPr>
              <w:t>①</w:t>
            </w:r>
            <w:r>
              <w:rPr>
                <w:rFonts w:hint="eastAsia" w:ascii="仿宋" w:hAnsi="仿宋" w:eastAsia="仿宋" w:cs="仿宋"/>
                <w:lang w:val="en-US" w:eastAsia="zh-CN"/>
              </w:rPr>
              <w:t>职能职责</w:t>
            </w:r>
            <w:r>
              <w:rPr>
                <w:rFonts w:hint="eastAsia" w:ascii="仿宋" w:hAnsi="仿宋" w:eastAsia="仿宋" w:cs="仿宋"/>
              </w:rPr>
              <w:t>：每完全满足一项评审标准得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p>
          <w:p w14:paraId="5859B5A8">
            <w:pPr>
              <w:jc w:val="left"/>
              <w:rPr>
                <w:rFonts w:hint="eastAsia" w:ascii="仿宋" w:hAnsi="仿宋" w:eastAsia="仿宋" w:cs="仿宋"/>
              </w:rPr>
            </w:pPr>
            <w:r>
              <w:rPr>
                <w:rFonts w:hint="eastAsia" w:ascii="仿宋" w:hAnsi="仿宋" w:eastAsia="仿宋" w:cs="仿宋"/>
              </w:rPr>
              <w:t>②内控制度:每完全满足一项评审标准得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p>
          <w:p w14:paraId="6278BFDA">
            <w:pPr>
              <w:jc w:val="left"/>
              <w:rPr>
                <w:rFonts w:hint="eastAsia" w:ascii="仿宋" w:hAnsi="仿宋" w:eastAsia="仿宋" w:cs="仿宋"/>
              </w:rPr>
            </w:pPr>
            <w:r>
              <w:rPr>
                <w:rFonts w:hint="eastAsia" w:ascii="仿宋" w:hAnsi="仿宋" w:eastAsia="仿宋" w:cs="仿宋"/>
              </w:rPr>
              <w:t>③人员管理制度：每完全满足一项评审标准得</w:t>
            </w:r>
            <w:r>
              <w:rPr>
                <w:rFonts w:hint="eastAsia" w:ascii="仿宋" w:hAnsi="仿宋" w:eastAsia="仿宋" w:cs="仿宋"/>
                <w:lang w:val="en-US" w:eastAsia="zh-CN"/>
              </w:rPr>
              <w:t>1</w:t>
            </w:r>
            <w:r>
              <w:rPr>
                <w:rFonts w:hint="eastAsia" w:ascii="仿宋" w:hAnsi="仿宋" w:eastAsia="仿宋" w:cs="仿宋"/>
              </w:rPr>
              <w:t>分，满分</w:t>
            </w:r>
            <w:r>
              <w:rPr>
                <w:rFonts w:hint="eastAsia" w:ascii="仿宋" w:hAnsi="仿宋" w:eastAsia="仿宋" w:cs="仿宋"/>
                <w:lang w:val="en-US" w:eastAsia="zh-CN"/>
              </w:rPr>
              <w:t>3</w:t>
            </w:r>
            <w:r>
              <w:rPr>
                <w:rFonts w:hint="eastAsia" w:ascii="仿宋" w:hAnsi="仿宋" w:eastAsia="仿宋" w:cs="仿宋"/>
              </w:rPr>
              <w:t>分。</w:t>
            </w:r>
          </w:p>
        </w:tc>
        <w:tc>
          <w:tcPr>
            <w:tcW w:w="0" w:type="auto"/>
            <w:noWrap w:val="0"/>
            <w:vAlign w:val="center"/>
          </w:tcPr>
          <w:p w14:paraId="189CDF09">
            <w:pPr>
              <w:jc w:val="center"/>
              <w:rPr>
                <w:rFonts w:hint="eastAsia" w:ascii="仿宋" w:hAnsi="仿宋" w:eastAsia="仿宋" w:cs="仿宋"/>
              </w:rPr>
            </w:pPr>
          </w:p>
        </w:tc>
      </w:tr>
      <w:tr w14:paraId="0D44D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5AC9D40E">
            <w:pPr>
              <w:jc w:val="center"/>
              <w:rPr>
                <w:rFonts w:hint="eastAsia" w:ascii="仿宋" w:hAnsi="仿宋" w:eastAsia="仿宋" w:cs="仿宋"/>
              </w:rPr>
            </w:pPr>
            <w:r>
              <w:rPr>
                <w:rFonts w:hint="eastAsia" w:ascii="仿宋" w:hAnsi="仿宋" w:eastAsia="仿宋" w:cs="仿宋"/>
              </w:rPr>
              <w:t>应急预案</w:t>
            </w:r>
          </w:p>
        </w:tc>
        <w:tc>
          <w:tcPr>
            <w:tcW w:w="0" w:type="auto"/>
            <w:noWrap w:val="0"/>
            <w:vAlign w:val="center"/>
          </w:tcPr>
          <w:p w14:paraId="26082DCC">
            <w:pPr>
              <w:jc w:val="center"/>
              <w:rPr>
                <w:rFonts w:hint="eastAsia" w:ascii="仿宋" w:hAnsi="仿宋" w:eastAsia="仿宋" w:cs="仿宋"/>
              </w:rPr>
            </w:pPr>
            <w:r>
              <w:rPr>
                <w:rFonts w:hint="eastAsia" w:ascii="仿宋" w:hAnsi="仿宋" w:eastAsia="仿宋" w:cs="仿宋"/>
              </w:rPr>
              <w:t>4.5</w:t>
            </w:r>
          </w:p>
        </w:tc>
        <w:tc>
          <w:tcPr>
            <w:tcW w:w="0" w:type="auto"/>
            <w:noWrap w:val="0"/>
            <w:vAlign w:val="center"/>
          </w:tcPr>
          <w:p w14:paraId="40DE2C26">
            <w:pPr>
              <w:jc w:val="left"/>
              <w:rPr>
                <w:rFonts w:hint="eastAsia" w:ascii="仿宋" w:hAnsi="仿宋" w:eastAsia="仿宋" w:cs="仿宋"/>
              </w:rPr>
            </w:pPr>
            <w:r>
              <w:rPr>
                <w:rFonts w:hint="eastAsia" w:ascii="仿宋" w:hAnsi="仿宋" w:eastAsia="仿宋" w:cs="仿宋"/>
              </w:rPr>
              <w:t>一、评审内容</w:t>
            </w:r>
          </w:p>
          <w:p w14:paraId="738DFDDE">
            <w:pPr>
              <w:jc w:val="left"/>
              <w:rPr>
                <w:rFonts w:hint="eastAsia" w:ascii="仿宋" w:hAnsi="仿宋" w:eastAsia="仿宋" w:cs="仿宋"/>
              </w:rPr>
            </w:pPr>
            <w:r>
              <w:rPr>
                <w:rFonts w:hint="eastAsia" w:ascii="仿宋" w:hAnsi="仿宋" w:eastAsia="仿宋" w:cs="仿宋"/>
              </w:rPr>
              <w:t>针对本项目特点提供应急预案，预案内容包含①自然极端天气的预防与处置：暴雨、暴雪、雷电、冰凌、大风、大雾、地震②紧急情况的预防处置：供电系统故障、给排水系统故障、防火③突发事件的预防及处置：盗窃、寻衅滋事、违法等事件。</w:t>
            </w:r>
          </w:p>
          <w:p w14:paraId="7DEE8A77">
            <w:pPr>
              <w:jc w:val="left"/>
              <w:rPr>
                <w:rFonts w:hint="eastAsia" w:ascii="仿宋" w:hAnsi="仿宋" w:eastAsia="仿宋" w:cs="仿宋"/>
              </w:rPr>
            </w:pPr>
            <w:r>
              <w:rPr>
                <w:rFonts w:hint="eastAsia" w:ascii="仿宋" w:hAnsi="仿宋" w:eastAsia="仿宋" w:cs="仿宋"/>
              </w:rPr>
              <w:t>二、评审标准</w:t>
            </w:r>
          </w:p>
          <w:p w14:paraId="4ED43FE1">
            <w:pPr>
              <w:jc w:val="left"/>
              <w:rPr>
                <w:rFonts w:hint="eastAsia" w:ascii="仿宋" w:hAnsi="仿宋" w:eastAsia="仿宋" w:cs="仿宋"/>
              </w:rPr>
            </w:pPr>
            <w:r>
              <w:rPr>
                <w:rFonts w:hint="eastAsia" w:ascii="仿宋" w:hAnsi="仿宋" w:eastAsia="仿宋" w:cs="仿宋"/>
              </w:rPr>
              <w:t>1.完整性：方案须全面，对评审内容中的各项要求有详细描述及说明；</w:t>
            </w:r>
          </w:p>
          <w:p w14:paraId="7E6515A5">
            <w:pPr>
              <w:jc w:val="left"/>
              <w:rPr>
                <w:rFonts w:hint="eastAsia" w:ascii="仿宋" w:hAnsi="仿宋" w:eastAsia="仿宋" w:cs="仿宋"/>
              </w:rPr>
            </w:pPr>
            <w:r>
              <w:rPr>
                <w:rFonts w:hint="eastAsia" w:ascii="仿宋" w:hAnsi="仿宋" w:eastAsia="仿宋" w:cs="仿宋"/>
              </w:rPr>
              <w:t>2.可实施性：切合本项目实际情况，步骤清晰、合理，操作性强；</w:t>
            </w:r>
          </w:p>
          <w:p w14:paraId="6899A24E">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236BCE71">
            <w:pPr>
              <w:jc w:val="left"/>
              <w:rPr>
                <w:rFonts w:hint="eastAsia" w:ascii="仿宋" w:hAnsi="仿宋" w:eastAsia="仿宋" w:cs="仿宋"/>
              </w:rPr>
            </w:pPr>
            <w:r>
              <w:rPr>
                <w:rFonts w:hint="eastAsia" w:ascii="仿宋" w:hAnsi="仿宋" w:eastAsia="仿宋" w:cs="仿宋"/>
              </w:rPr>
              <w:t>三、赋分标准</w:t>
            </w:r>
          </w:p>
          <w:p w14:paraId="278CD511">
            <w:pPr>
              <w:jc w:val="left"/>
              <w:rPr>
                <w:rFonts w:hint="eastAsia" w:ascii="仿宋" w:hAnsi="仿宋" w:eastAsia="仿宋" w:cs="仿宋"/>
              </w:rPr>
            </w:pPr>
            <w:r>
              <w:rPr>
                <w:rFonts w:hint="eastAsia" w:ascii="仿宋" w:hAnsi="仿宋" w:eastAsia="仿宋" w:cs="仿宋"/>
              </w:rPr>
              <w:t>①自然极端天气的预防与处置：每完全满足一项评审标准得0.5分，满分1.5分；</w:t>
            </w:r>
          </w:p>
          <w:p w14:paraId="7691D474">
            <w:pPr>
              <w:jc w:val="left"/>
              <w:rPr>
                <w:rFonts w:hint="eastAsia" w:ascii="仿宋" w:hAnsi="仿宋" w:eastAsia="仿宋" w:cs="仿宋"/>
              </w:rPr>
            </w:pPr>
            <w:r>
              <w:rPr>
                <w:rFonts w:hint="eastAsia" w:ascii="仿宋" w:hAnsi="仿宋" w:eastAsia="仿宋" w:cs="仿宋"/>
              </w:rPr>
              <w:t>②紧急情况的预防处置:每完全满足一项评审标准得0.5分，满分1.5分；</w:t>
            </w:r>
          </w:p>
          <w:p w14:paraId="2559ADC9">
            <w:pPr>
              <w:jc w:val="left"/>
              <w:rPr>
                <w:rFonts w:hint="eastAsia" w:ascii="仿宋" w:hAnsi="仿宋" w:eastAsia="仿宋" w:cs="仿宋"/>
              </w:rPr>
            </w:pPr>
            <w:r>
              <w:rPr>
                <w:rFonts w:hint="eastAsia" w:ascii="仿宋" w:hAnsi="仿宋" w:eastAsia="仿宋" w:cs="仿宋"/>
              </w:rPr>
              <w:t>③突发事件的预防及处置：每完全满足一项评审标准得0.5分，满分1.5分。</w:t>
            </w:r>
          </w:p>
        </w:tc>
        <w:tc>
          <w:tcPr>
            <w:tcW w:w="0" w:type="auto"/>
            <w:noWrap w:val="0"/>
            <w:vAlign w:val="center"/>
          </w:tcPr>
          <w:p w14:paraId="0CFAAAE6">
            <w:pPr>
              <w:jc w:val="center"/>
              <w:rPr>
                <w:rFonts w:hint="eastAsia" w:ascii="仿宋" w:hAnsi="仿宋" w:eastAsia="仿宋" w:cs="仿宋"/>
              </w:rPr>
            </w:pPr>
          </w:p>
        </w:tc>
      </w:tr>
      <w:tr w14:paraId="1494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037FCCF1">
            <w:pPr>
              <w:jc w:val="center"/>
              <w:rPr>
                <w:rFonts w:hint="eastAsia" w:ascii="仿宋" w:hAnsi="仿宋" w:eastAsia="仿宋" w:cs="仿宋"/>
              </w:rPr>
            </w:pPr>
            <w:r>
              <w:rPr>
                <w:rFonts w:hint="eastAsia" w:ascii="仿宋" w:hAnsi="仿宋" w:eastAsia="仿宋" w:cs="仿宋"/>
              </w:rPr>
              <w:t>培训考核方案</w:t>
            </w:r>
          </w:p>
        </w:tc>
        <w:tc>
          <w:tcPr>
            <w:tcW w:w="0" w:type="auto"/>
            <w:noWrap w:val="0"/>
            <w:vAlign w:val="center"/>
          </w:tcPr>
          <w:p w14:paraId="2B33E168">
            <w:pPr>
              <w:jc w:val="center"/>
              <w:rPr>
                <w:rFonts w:hint="eastAsia" w:ascii="仿宋" w:hAnsi="仿宋" w:eastAsia="仿宋" w:cs="仿宋"/>
              </w:rPr>
            </w:pPr>
            <w:r>
              <w:rPr>
                <w:rFonts w:hint="eastAsia" w:ascii="仿宋" w:hAnsi="仿宋" w:eastAsia="仿宋" w:cs="仿宋"/>
              </w:rPr>
              <w:t>4.5</w:t>
            </w:r>
          </w:p>
        </w:tc>
        <w:tc>
          <w:tcPr>
            <w:tcW w:w="0" w:type="auto"/>
            <w:noWrap w:val="0"/>
            <w:vAlign w:val="center"/>
          </w:tcPr>
          <w:p w14:paraId="3C74CA02">
            <w:pPr>
              <w:jc w:val="left"/>
              <w:rPr>
                <w:rFonts w:hint="eastAsia" w:ascii="仿宋" w:hAnsi="仿宋" w:eastAsia="仿宋" w:cs="仿宋"/>
              </w:rPr>
            </w:pPr>
            <w:r>
              <w:rPr>
                <w:rFonts w:hint="eastAsia" w:ascii="仿宋" w:hAnsi="仿宋" w:eastAsia="仿宋" w:cs="仿宋"/>
              </w:rPr>
              <w:t>一、评审内容</w:t>
            </w:r>
          </w:p>
          <w:p w14:paraId="7338A101">
            <w:pPr>
              <w:jc w:val="left"/>
              <w:rPr>
                <w:rFonts w:hint="eastAsia" w:ascii="仿宋" w:hAnsi="仿宋" w:eastAsia="仿宋" w:cs="仿宋"/>
              </w:rPr>
            </w:pPr>
            <w:r>
              <w:rPr>
                <w:rFonts w:hint="eastAsia" w:ascii="仿宋" w:hAnsi="仿宋" w:eastAsia="仿宋" w:cs="仿宋"/>
              </w:rPr>
              <w:t>根据本项目制定详细、可行的培训考核方案，保证上岗人员的专业素质、服务质量符合采购人要求，方案内容包含：①岗前培训②定期常态化培训③培训后的考核及奖惩措施。</w:t>
            </w:r>
          </w:p>
          <w:p w14:paraId="3B42FB28">
            <w:pPr>
              <w:jc w:val="left"/>
              <w:rPr>
                <w:rFonts w:hint="eastAsia" w:ascii="仿宋" w:hAnsi="仿宋" w:eastAsia="仿宋" w:cs="仿宋"/>
              </w:rPr>
            </w:pPr>
            <w:r>
              <w:rPr>
                <w:rFonts w:hint="eastAsia" w:ascii="仿宋" w:hAnsi="仿宋" w:eastAsia="仿宋" w:cs="仿宋"/>
              </w:rPr>
              <w:t>二、评审标准</w:t>
            </w:r>
          </w:p>
          <w:p w14:paraId="7DFCFE67">
            <w:pPr>
              <w:jc w:val="left"/>
              <w:rPr>
                <w:rFonts w:hint="eastAsia" w:ascii="仿宋" w:hAnsi="仿宋" w:eastAsia="仿宋" w:cs="仿宋"/>
              </w:rPr>
            </w:pPr>
            <w:r>
              <w:rPr>
                <w:rFonts w:hint="eastAsia" w:ascii="仿宋" w:hAnsi="仿宋" w:eastAsia="仿宋" w:cs="仿宋"/>
              </w:rPr>
              <w:t>1.完整性：方案必须全面，对评审内容中的各项要求有详细描述；</w:t>
            </w:r>
          </w:p>
          <w:p w14:paraId="243CA67B">
            <w:pPr>
              <w:jc w:val="left"/>
              <w:rPr>
                <w:rFonts w:hint="eastAsia" w:ascii="仿宋" w:hAnsi="仿宋" w:eastAsia="仿宋" w:cs="仿宋"/>
              </w:rPr>
            </w:pPr>
            <w:r>
              <w:rPr>
                <w:rFonts w:hint="eastAsia" w:ascii="仿宋" w:hAnsi="仿宋" w:eastAsia="仿宋" w:cs="仿宋"/>
              </w:rPr>
              <w:t>2.可实施性：切合本项目实际情况，提出步骤清晰、合理的方案；</w:t>
            </w:r>
          </w:p>
          <w:p w14:paraId="6FD828BC">
            <w:pPr>
              <w:jc w:val="left"/>
              <w:rPr>
                <w:rFonts w:hint="eastAsia" w:ascii="仿宋" w:hAnsi="仿宋" w:eastAsia="仿宋" w:cs="仿宋"/>
              </w:rPr>
            </w:pPr>
            <w:r>
              <w:rPr>
                <w:rFonts w:hint="eastAsia" w:ascii="仿宋" w:hAnsi="仿宋" w:eastAsia="仿宋" w:cs="仿宋"/>
              </w:rPr>
              <w:t>3.针对性：方案能够紧扣本项目实际情况，内容科学合理。</w:t>
            </w:r>
          </w:p>
          <w:p w14:paraId="40FA3C3D">
            <w:pPr>
              <w:jc w:val="left"/>
              <w:rPr>
                <w:rFonts w:hint="eastAsia" w:ascii="仿宋" w:hAnsi="仿宋" w:eastAsia="仿宋" w:cs="仿宋"/>
              </w:rPr>
            </w:pPr>
            <w:r>
              <w:rPr>
                <w:rFonts w:hint="eastAsia" w:ascii="仿宋" w:hAnsi="仿宋" w:eastAsia="仿宋" w:cs="仿宋"/>
              </w:rPr>
              <w:t>三、赋分标准</w:t>
            </w:r>
          </w:p>
          <w:p w14:paraId="4F48B9B8">
            <w:pPr>
              <w:jc w:val="left"/>
              <w:rPr>
                <w:rFonts w:hint="eastAsia" w:ascii="仿宋" w:hAnsi="仿宋" w:eastAsia="仿宋" w:cs="仿宋"/>
              </w:rPr>
            </w:pPr>
            <w:r>
              <w:rPr>
                <w:rFonts w:hint="eastAsia" w:ascii="仿宋" w:hAnsi="仿宋" w:eastAsia="仿宋" w:cs="仿宋"/>
              </w:rPr>
              <w:t>①岗前培训：每完全满足一个评审标准得0.5分，满分1.5分;</w:t>
            </w:r>
          </w:p>
          <w:p w14:paraId="7608E525">
            <w:pPr>
              <w:jc w:val="left"/>
              <w:rPr>
                <w:rFonts w:hint="eastAsia" w:ascii="仿宋" w:hAnsi="仿宋" w:eastAsia="仿宋" w:cs="仿宋"/>
              </w:rPr>
            </w:pPr>
            <w:r>
              <w:rPr>
                <w:rFonts w:hint="eastAsia" w:ascii="仿宋" w:hAnsi="仿宋" w:eastAsia="仿宋" w:cs="仿宋"/>
              </w:rPr>
              <w:t>②定期常态化培训:每完全满足一个评审标准得0.5分，满分1.5分；</w:t>
            </w:r>
          </w:p>
          <w:p w14:paraId="03F2FDFC">
            <w:pPr>
              <w:jc w:val="left"/>
              <w:rPr>
                <w:rFonts w:hint="eastAsia" w:ascii="仿宋" w:hAnsi="仿宋" w:eastAsia="仿宋" w:cs="仿宋"/>
              </w:rPr>
            </w:pPr>
            <w:r>
              <w:rPr>
                <w:rFonts w:hint="eastAsia" w:ascii="仿宋" w:hAnsi="仿宋" w:eastAsia="仿宋" w:cs="仿宋"/>
              </w:rPr>
              <w:t>③培训后的考核及奖惩措施:每完全满足一个评审标准得0.5分，满分1.5分。</w:t>
            </w:r>
          </w:p>
        </w:tc>
        <w:tc>
          <w:tcPr>
            <w:tcW w:w="0" w:type="auto"/>
            <w:noWrap w:val="0"/>
            <w:vAlign w:val="center"/>
          </w:tcPr>
          <w:p w14:paraId="07200DAC">
            <w:pPr>
              <w:jc w:val="center"/>
              <w:rPr>
                <w:rFonts w:hint="eastAsia" w:ascii="仿宋" w:hAnsi="仿宋" w:eastAsia="仿宋" w:cs="仿宋"/>
              </w:rPr>
            </w:pPr>
          </w:p>
        </w:tc>
      </w:tr>
      <w:tr w14:paraId="14FE3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11D8BBC3">
            <w:pPr>
              <w:jc w:val="center"/>
              <w:rPr>
                <w:rFonts w:hint="eastAsia" w:ascii="仿宋" w:hAnsi="仿宋" w:eastAsia="仿宋" w:cs="仿宋"/>
              </w:rPr>
            </w:pPr>
            <w:r>
              <w:rPr>
                <w:rFonts w:hint="eastAsia" w:ascii="仿宋" w:hAnsi="仿宋" w:eastAsia="仿宋" w:cs="仿宋"/>
              </w:rPr>
              <w:t>节能降耗方案</w:t>
            </w:r>
          </w:p>
        </w:tc>
        <w:tc>
          <w:tcPr>
            <w:tcW w:w="0" w:type="auto"/>
            <w:noWrap w:val="0"/>
            <w:vAlign w:val="center"/>
          </w:tcPr>
          <w:p w14:paraId="5C5F91E0">
            <w:pPr>
              <w:jc w:val="center"/>
              <w:rPr>
                <w:rFonts w:hint="eastAsia" w:ascii="仿宋" w:hAnsi="仿宋" w:eastAsia="仿宋" w:cs="仿宋"/>
              </w:rPr>
            </w:pPr>
            <w:r>
              <w:rPr>
                <w:rFonts w:hint="eastAsia" w:ascii="仿宋" w:hAnsi="仿宋" w:eastAsia="仿宋" w:cs="仿宋"/>
              </w:rPr>
              <w:t>3</w:t>
            </w:r>
          </w:p>
        </w:tc>
        <w:tc>
          <w:tcPr>
            <w:tcW w:w="0" w:type="auto"/>
            <w:noWrap w:val="0"/>
            <w:vAlign w:val="center"/>
          </w:tcPr>
          <w:p w14:paraId="44202438">
            <w:pPr>
              <w:jc w:val="left"/>
              <w:rPr>
                <w:rFonts w:hint="eastAsia" w:ascii="仿宋" w:hAnsi="仿宋" w:eastAsia="仿宋" w:cs="仿宋"/>
              </w:rPr>
            </w:pPr>
            <w:r>
              <w:rPr>
                <w:rFonts w:hint="eastAsia" w:ascii="仿宋" w:hAnsi="仿宋" w:eastAsia="仿宋" w:cs="仿宋"/>
              </w:rPr>
              <w:t>一、评审内容</w:t>
            </w:r>
          </w:p>
          <w:p w14:paraId="3BE14E8E">
            <w:pPr>
              <w:jc w:val="left"/>
              <w:rPr>
                <w:rFonts w:hint="eastAsia" w:ascii="仿宋" w:hAnsi="仿宋" w:eastAsia="仿宋" w:cs="仿宋"/>
              </w:rPr>
            </w:pPr>
            <w:r>
              <w:rPr>
                <w:rFonts w:hint="eastAsia" w:ascii="仿宋" w:hAnsi="仿宋" w:eastAsia="仿宋" w:cs="仿宋"/>
              </w:rPr>
              <w:t>根据本项目提出详细的水电等节能降耗方案，内容包括：①节能降耗原则②节能降耗的具体措施。</w:t>
            </w:r>
          </w:p>
          <w:p w14:paraId="4FAC4C43">
            <w:pPr>
              <w:jc w:val="left"/>
              <w:rPr>
                <w:rFonts w:hint="eastAsia" w:ascii="仿宋" w:hAnsi="仿宋" w:eastAsia="仿宋" w:cs="仿宋"/>
              </w:rPr>
            </w:pPr>
            <w:r>
              <w:rPr>
                <w:rFonts w:hint="eastAsia" w:ascii="仿宋" w:hAnsi="仿宋" w:eastAsia="仿宋" w:cs="仿宋"/>
              </w:rPr>
              <w:t>二、评审标准</w:t>
            </w:r>
          </w:p>
          <w:p w14:paraId="2EC35092">
            <w:pPr>
              <w:jc w:val="left"/>
              <w:rPr>
                <w:rFonts w:hint="eastAsia" w:ascii="仿宋" w:hAnsi="仿宋" w:eastAsia="仿宋" w:cs="仿宋"/>
              </w:rPr>
            </w:pPr>
            <w:r>
              <w:rPr>
                <w:rFonts w:hint="eastAsia" w:ascii="仿宋" w:hAnsi="仿宋" w:eastAsia="仿宋" w:cs="仿宋"/>
              </w:rPr>
              <w:t>1.完整性：方案须全面，对评审内容中的各项要求有详细描述；</w:t>
            </w:r>
          </w:p>
          <w:p w14:paraId="5A8CA16F">
            <w:pPr>
              <w:jc w:val="left"/>
              <w:rPr>
                <w:rFonts w:hint="eastAsia" w:ascii="仿宋" w:hAnsi="仿宋" w:eastAsia="仿宋" w:cs="仿宋"/>
              </w:rPr>
            </w:pPr>
            <w:r>
              <w:rPr>
                <w:rFonts w:hint="eastAsia" w:ascii="仿宋" w:hAnsi="仿宋" w:eastAsia="仿宋" w:cs="仿宋"/>
              </w:rPr>
              <w:t>2.可实施性：切合本项目实际情况，实施步骤清晰、合理；</w:t>
            </w:r>
          </w:p>
          <w:p w14:paraId="772A948C">
            <w:pPr>
              <w:jc w:val="left"/>
              <w:rPr>
                <w:rFonts w:hint="eastAsia" w:ascii="仿宋" w:hAnsi="仿宋" w:eastAsia="仿宋" w:cs="仿宋"/>
              </w:rPr>
            </w:pPr>
            <w:r>
              <w:rPr>
                <w:rFonts w:hint="eastAsia" w:ascii="仿宋" w:hAnsi="仿宋" w:eastAsia="仿宋" w:cs="仿宋"/>
              </w:rPr>
              <w:t>3.针对性：方案能够紧扣项目实际情况，内容科学合理。</w:t>
            </w:r>
          </w:p>
          <w:p w14:paraId="0DB98712">
            <w:pPr>
              <w:jc w:val="left"/>
              <w:rPr>
                <w:rFonts w:hint="eastAsia" w:ascii="仿宋" w:hAnsi="仿宋" w:eastAsia="仿宋" w:cs="仿宋"/>
              </w:rPr>
            </w:pPr>
            <w:r>
              <w:rPr>
                <w:rFonts w:hint="eastAsia" w:ascii="仿宋" w:hAnsi="仿宋" w:eastAsia="仿宋" w:cs="仿宋"/>
              </w:rPr>
              <w:t>三、赋分标准</w:t>
            </w:r>
          </w:p>
          <w:p w14:paraId="72974EC2">
            <w:pPr>
              <w:jc w:val="left"/>
              <w:rPr>
                <w:rFonts w:hint="eastAsia" w:ascii="仿宋" w:hAnsi="仿宋" w:eastAsia="仿宋" w:cs="仿宋"/>
              </w:rPr>
            </w:pPr>
            <w:r>
              <w:rPr>
                <w:rFonts w:hint="eastAsia" w:ascii="仿宋" w:hAnsi="仿宋" w:eastAsia="仿宋" w:cs="仿宋"/>
              </w:rPr>
              <w:t>①节能降耗原则：每完全满足一个评审标准得0.5分，满分1.5分；</w:t>
            </w:r>
          </w:p>
          <w:p w14:paraId="53596676">
            <w:pPr>
              <w:jc w:val="left"/>
              <w:rPr>
                <w:rFonts w:hint="eastAsia" w:ascii="仿宋" w:hAnsi="仿宋" w:eastAsia="仿宋" w:cs="仿宋"/>
              </w:rPr>
            </w:pPr>
            <w:r>
              <w:rPr>
                <w:rFonts w:hint="eastAsia" w:ascii="仿宋" w:hAnsi="仿宋" w:eastAsia="仿宋" w:cs="仿宋"/>
              </w:rPr>
              <w:t>②节能降耗的具体措施：每完全满足一个评审标准得0.5分，满分1.5分。</w:t>
            </w:r>
          </w:p>
        </w:tc>
        <w:tc>
          <w:tcPr>
            <w:tcW w:w="0" w:type="auto"/>
            <w:noWrap w:val="0"/>
            <w:vAlign w:val="center"/>
          </w:tcPr>
          <w:p w14:paraId="49DD9421">
            <w:pPr>
              <w:jc w:val="center"/>
              <w:rPr>
                <w:rFonts w:hint="eastAsia" w:ascii="仿宋" w:hAnsi="仿宋" w:eastAsia="仿宋" w:cs="仿宋"/>
              </w:rPr>
            </w:pPr>
          </w:p>
        </w:tc>
      </w:tr>
      <w:tr w14:paraId="6ABC9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614CC45F">
            <w:pPr>
              <w:jc w:val="center"/>
              <w:rPr>
                <w:rFonts w:hint="eastAsia" w:ascii="仿宋" w:hAnsi="仿宋" w:eastAsia="仿宋" w:cs="仿宋"/>
              </w:rPr>
            </w:pPr>
            <w:r>
              <w:rPr>
                <w:rFonts w:hint="eastAsia" w:ascii="仿宋" w:hAnsi="仿宋" w:eastAsia="仿宋" w:cs="仿宋"/>
              </w:rPr>
              <w:t>垃圾分类管理方案</w:t>
            </w:r>
          </w:p>
        </w:tc>
        <w:tc>
          <w:tcPr>
            <w:tcW w:w="0" w:type="auto"/>
            <w:noWrap w:val="0"/>
            <w:vAlign w:val="center"/>
          </w:tcPr>
          <w:p w14:paraId="39ECC680">
            <w:pPr>
              <w:jc w:val="center"/>
              <w:rPr>
                <w:rFonts w:hint="eastAsia" w:ascii="仿宋" w:hAnsi="仿宋" w:eastAsia="仿宋" w:cs="仿宋"/>
                <w:lang w:val="en-US" w:eastAsia="zh-CN"/>
              </w:rPr>
            </w:pPr>
            <w:r>
              <w:rPr>
                <w:rFonts w:hint="eastAsia" w:ascii="仿宋" w:hAnsi="仿宋" w:eastAsia="仿宋" w:cs="仿宋"/>
                <w:lang w:val="en-US" w:eastAsia="zh-CN"/>
              </w:rPr>
              <w:t>5</w:t>
            </w:r>
          </w:p>
        </w:tc>
        <w:tc>
          <w:tcPr>
            <w:tcW w:w="0" w:type="auto"/>
            <w:noWrap w:val="0"/>
            <w:vAlign w:val="center"/>
          </w:tcPr>
          <w:p w14:paraId="1BCD389C">
            <w:pPr>
              <w:jc w:val="left"/>
              <w:rPr>
                <w:rFonts w:hint="eastAsia" w:ascii="仿宋" w:hAnsi="仿宋" w:eastAsia="仿宋" w:cs="仿宋"/>
              </w:rPr>
            </w:pPr>
            <w:r>
              <w:rPr>
                <w:rFonts w:hint="eastAsia" w:ascii="仿宋" w:hAnsi="仿宋" w:eastAsia="仿宋" w:cs="仿宋"/>
              </w:rPr>
              <w:t>一、评审内容</w:t>
            </w:r>
          </w:p>
          <w:p w14:paraId="71989989">
            <w:pPr>
              <w:jc w:val="left"/>
              <w:rPr>
                <w:rFonts w:hint="eastAsia" w:ascii="仿宋" w:hAnsi="仿宋" w:eastAsia="仿宋" w:cs="仿宋"/>
              </w:rPr>
            </w:pPr>
            <w:r>
              <w:rPr>
                <w:rFonts w:hint="eastAsia" w:ascii="仿宋" w:hAnsi="仿宋" w:eastAsia="仿宋" w:cs="仿宋"/>
              </w:rPr>
              <w:t>针对本项目制定垃圾分类管理方案，内容包含：</w:t>
            </w:r>
          </w:p>
          <w:p w14:paraId="5029F973">
            <w:pPr>
              <w:jc w:val="left"/>
              <w:rPr>
                <w:rFonts w:hint="eastAsia" w:ascii="仿宋" w:hAnsi="仿宋" w:eastAsia="仿宋" w:cs="仿宋"/>
              </w:rPr>
            </w:pPr>
            <w:r>
              <w:rPr>
                <w:rFonts w:hint="eastAsia" w:ascii="仿宋" w:hAnsi="仿宋" w:eastAsia="仿宋" w:cs="仿宋"/>
              </w:rPr>
              <w:t>①垃圾分类宣传与引导</w:t>
            </w:r>
          </w:p>
          <w:p w14:paraId="7C7AFB08">
            <w:pPr>
              <w:jc w:val="left"/>
              <w:rPr>
                <w:rFonts w:hint="eastAsia" w:ascii="仿宋" w:hAnsi="仿宋" w:eastAsia="仿宋" w:cs="仿宋"/>
              </w:rPr>
            </w:pPr>
            <w:r>
              <w:rPr>
                <w:rFonts w:hint="eastAsia" w:ascii="仿宋" w:hAnsi="仿宋" w:eastAsia="仿宋" w:cs="仿宋"/>
              </w:rPr>
              <w:t>②垃圾分类收集与投放管理</w:t>
            </w:r>
          </w:p>
          <w:p w14:paraId="37C2F075">
            <w:pPr>
              <w:jc w:val="left"/>
              <w:rPr>
                <w:rFonts w:hint="eastAsia" w:ascii="仿宋" w:hAnsi="仿宋" w:eastAsia="仿宋" w:cs="仿宋"/>
              </w:rPr>
            </w:pPr>
            <w:r>
              <w:rPr>
                <w:rFonts w:hint="eastAsia" w:ascii="仿宋" w:hAnsi="仿宋" w:eastAsia="仿宋" w:cs="仿宋"/>
              </w:rPr>
              <w:t>③分类垃圾清运与处置</w:t>
            </w:r>
          </w:p>
          <w:p w14:paraId="387BE1F9">
            <w:pPr>
              <w:jc w:val="left"/>
              <w:rPr>
                <w:rFonts w:hint="eastAsia" w:ascii="仿宋" w:hAnsi="仿宋" w:eastAsia="仿宋" w:cs="仿宋"/>
              </w:rPr>
            </w:pPr>
            <w:r>
              <w:rPr>
                <w:rFonts w:hint="eastAsia" w:ascii="仿宋" w:hAnsi="仿宋" w:eastAsia="仿宋" w:cs="仿宋"/>
              </w:rPr>
              <w:t>④垃圾分类台账管理</w:t>
            </w:r>
          </w:p>
          <w:p w14:paraId="2CF27A0B">
            <w:pPr>
              <w:jc w:val="left"/>
              <w:rPr>
                <w:rFonts w:hint="eastAsia" w:ascii="仿宋" w:hAnsi="仿宋" w:eastAsia="仿宋" w:cs="仿宋"/>
              </w:rPr>
            </w:pPr>
            <w:r>
              <w:rPr>
                <w:rFonts w:hint="eastAsia" w:ascii="仿宋" w:hAnsi="仿宋" w:eastAsia="仿宋" w:cs="仿宋"/>
              </w:rPr>
              <w:t>二、评审标准</w:t>
            </w:r>
          </w:p>
          <w:p w14:paraId="15400E0B">
            <w:pPr>
              <w:jc w:val="left"/>
              <w:rPr>
                <w:rFonts w:hint="eastAsia" w:ascii="仿宋" w:hAnsi="仿宋" w:eastAsia="仿宋" w:cs="仿宋"/>
              </w:rPr>
            </w:pPr>
            <w:r>
              <w:rPr>
                <w:rFonts w:hint="eastAsia" w:ascii="仿宋" w:hAnsi="仿宋" w:eastAsia="仿宋" w:cs="仿宋"/>
                <w:lang w:val="en-US" w:eastAsia="zh-CN"/>
              </w:rPr>
              <w:t>1.</w:t>
            </w:r>
            <w:r>
              <w:rPr>
                <w:rFonts w:hint="eastAsia" w:ascii="仿宋" w:hAnsi="仿宋" w:eastAsia="仿宋" w:cs="仿宋"/>
              </w:rPr>
              <w:t>完整性：方案全面，各项内容描述详细</w:t>
            </w:r>
          </w:p>
          <w:p w14:paraId="6D8D3454">
            <w:pPr>
              <w:jc w:val="left"/>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可实施性：切合项目实际，步骤清晰合理</w:t>
            </w:r>
          </w:p>
          <w:p w14:paraId="547E126F">
            <w:pPr>
              <w:jc w:val="left"/>
              <w:rPr>
                <w:rFonts w:hint="eastAsia" w:ascii="仿宋" w:hAnsi="仿宋" w:eastAsia="仿宋" w:cs="仿宋"/>
              </w:rPr>
            </w:pPr>
            <w:r>
              <w:rPr>
                <w:rFonts w:hint="eastAsia" w:ascii="仿宋" w:hAnsi="仿宋" w:eastAsia="仿宋" w:cs="仿宋"/>
                <w:lang w:val="en-US" w:eastAsia="zh-CN"/>
              </w:rPr>
              <w:t>3.</w:t>
            </w:r>
            <w:r>
              <w:rPr>
                <w:rFonts w:hint="eastAsia" w:ascii="仿宋" w:hAnsi="仿宋" w:eastAsia="仿宋" w:cs="仿宋"/>
              </w:rPr>
              <w:t>针对性：紧扣本项目特点，科学可行</w:t>
            </w:r>
          </w:p>
          <w:p w14:paraId="2ED1834B">
            <w:pPr>
              <w:jc w:val="left"/>
              <w:rPr>
                <w:rFonts w:hint="eastAsia" w:ascii="仿宋" w:hAnsi="仿宋" w:eastAsia="仿宋" w:cs="仿宋"/>
              </w:rPr>
            </w:pPr>
            <w:r>
              <w:rPr>
                <w:rFonts w:hint="eastAsia" w:ascii="仿宋" w:hAnsi="仿宋" w:eastAsia="仿宋" w:cs="仿宋"/>
              </w:rPr>
              <w:t>三、赋分标准</w:t>
            </w:r>
          </w:p>
          <w:p w14:paraId="7D074497">
            <w:pPr>
              <w:jc w:val="left"/>
              <w:rPr>
                <w:rFonts w:hint="eastAsia" w:ascii="仿宋" w:hAnsi="仿宋" w:eastAsia="仿宋" w:cs="仿宋"/>
                <w:lang w:eastAsia="zh-CN"/>
              </w:rPr>
            </w:pPr>
            <w:r>
              <w:rPr>
                <w:rFonts w:hint="eastAsia" w:ascii="仿宋" w:hAnsi="仿宋" w:eastAsia="仿宋" w:cs="仿宋"/>
              </w:rPr>
              <w:t>①垃圾分类宣传与引导：</w:t>
            </w:r>
            <w:r>
              <w:rPr>
                <w:rFonts w:hint="eastAsia" w:ascii="仿宋" w:hAnsi="仿宋" w:eastAsia="仿宋" w:cs="仿宋"/>
                <w:lang w:val="en-US" w:eastAsia="zh-CN"/>
              </w:rPr>
              <w:t>每满足1个评审标准得0.5分，</w:t>
            </w:r>
            <w:r>
              <w:rPr>
                <w:rFonts w:hint="eastAsia" w:ascii="仿宋" w:hAnsi="仿宋" w:eastAsia="仿宋" w:cs="仿宋"/>
              </w:rPr>
              <w:t>满</w:t>
            </w:r>
            <w:r>
              <w:rPr>
                <w:rFonts w:hint="eastAsia" w:ascii="仿宋" w:hAnsi="仿宋" w:eastAsia="仿宋" w:cs="仿宋"/>
                <w:lang w:val="en-US" w:eastAsia="zh-CN"/>
              </w:rPr>
              <w:t>分</w:t>
            </w:r>
            <w:r>
              <w:rPr>
                <w:rFonts w:hint="eastAsia" w:ascii="仿宋" w:hAnsi="仿宋" w:eastAsia="仿宋" w:cs="仿宋"/>
              </w:rPr>
              <w:t>得1.5 分</w:t>
            </w:r>
            <w:r>
              <w:rPr>
                <w:rFonts w:hint="eastAsia" w:ascii="仿宋" w:hAnsi="仿宋" w:eastAsia="仿宋" w:cs="仿宋"/>
                <w:lang w:eastAsia="zh-CN"/>
              </w:rPr>
              <w:t>；</w:t>
            </w:r>
          </w:p>
          <w:p w14:paraId="3F9604BB">
            <w:pPr>
              <w:jc w:val="left"/>
              <w:rPr>
                <w:rFonts w:hint="eastAsia" w:ascii="仿宋" w:hAnsi="仿宋" w:eastAsia="仿宋" w:cs="仿宋"/>
                <w:lang w:eastAsia="zh-CN"/>
              </w:rPr>
            </w:pPr>
            <w:r>
              <w:rPr>
                <w:rFonts w:hint="eastAsia" w:ascii="仿宋" w:hAnsi="仿宋" w:eastAsia="仿宋" w:cs="仿宋"/>
              </w:rPr>
              <w:t>②垃圾分类收集与投放管理：每完全满足一个评审标准得</w:t>
            </w:r>
            <w:r>
              <w:rPr>
                <w:rFonts w:hint="eastAsia" w:ascii="仿宋" w:hAnsi="仿宋" w:eastAsia="仿宋" w:cs="仿宋"/>
                <w:lang w:val="en-US" w:eastAsia="zh-CN"/>
              </w:rPr>
              <w:t>0.5</w:t>
            </w:r>
            <w:r>
              <w:rPr>
                <w:rFonts w:hint="eastAsia" w:ascii="仿宋" w:hAnsi="仿宋" w:eastAsia="仿宋" w:cs="仿宋"/>
              </w:rPr>
              <w:t>分,满</w:t>
            </w:r>
            <w:r>
              <w:rPr>
                <w:rFonts w:hint="eastAsia" w:ascii="仿宋" w:hAnsi="仿宋" w:eastAsia="仿宋" w:cs="仿宋"/>
                <w:lang w:val="en-US" w:eastAsia="zh-CN"/>
              </w:rPr>
              <w:t>分</w:t>
            </w:r>
            <w:r>
              <w:rPr>
                <w:rFonts w:hint="eastAsia" w:ascii="仿宋" w:hAnsi="仿宋" w:eastAsia="仿宋" w:cs="仿宋"/>
              </w:rPr>
              <w:t>得1.5 分</w:t>
            </w:r>
            <w:r>
              <w:rPr>
                <w:rFonts w:hint="eastAsia" w:ascii="仿宋" w:hAnsi="仿宋" w:eastAsia="仿宋" w:cs="仿宋"/>
                <w:lang w:eastAsia="zh-CN"/>
              </w:rPr>
              <w:t>；</w:t>
            </w:r>
          </w:p>
          <w:p w14:paraId="27B0D304">
            <w:pPr>
              <w:jc w:val="left"/>
              <w:rPr>
                <w:rFonts w:hint="eastAsia" w:ascii="仿宋" w:hAnsi="仿宋" w:eastAsia="仿宋" w:cs="仿宋"/>
                <w:lang w:eastAsia="zh-CN"/>
              </w:rPr>
            </w:pPr>
            <w:r>
              <w:rPr>
                <w:rFonts w:hint="eastAsia" w:ascii="仿宋" w:hAnsi="仿宋" w:eastAsia="仿宋" w:cs="仿宋"/>
              </w:rPr>
              <w:t>③分类垃圾清运与处置：每完全满足一个评审标准得</w:t>
            </w:r>
            <w:r>
              <w:rPr>
                <w:rFonts w:hint="eastAsia" w:ascii="仿宋" w:hAnsi="仿宋" w:eastAsia="仿宋" w:cs="仿宋"/>
                <w:lang w:val="en-US" w:eastAsia="zh-CN"/>
              </w:rPr>
              <w:t>0.5</w:t>
            </w:r>
            <w:r>
              <w:rPr>
                <w:rFonts w:hint="eastAsia" w:ascii="仿宋" w:hAnsi="仿宋" w:eastAsia="仿宋" w:cs="仿宋"/>
              </w:rPr>
              <w:t>分,满</w:t>
            </w:r>
            <w:r>
              <w:rPr>
                <w:rFonts w:hint="eastAsia" w:ascii="仿宋" w:hAnsi="仿宋" w:eastAsia="仿宋" w:cs="仿宋"/>
                <w:lang w:val="en-US" w:eastAsia="zh-CN"/>
              </w:rPr>
              <w:t>分</w:t>
            </w:r>
            <w:r>
              <w:rPr>
                <w:rFonts w:hint="eastAsia" w:ascii="仿宋" w:hAnsi="仿宋" w:eastAsia="仿宋" w:cs="仿宋"/>
              </w:rPr>
              <w:t>得1分</w:t>
            </w:r>
            <w:r>
              <w:rPr>
                <w:rFonts w:hint="eastAsia" w:ascii="仿宋" w:hAnsi="仿宋" w:eastAsia="仿宋" w:cs="仿宋"/>
                <w:lang w:eastAsia="zh-CN"/>
              </w:rPr>
              <w:t>；</w:t>
            </w:r>
          </w:p>
          <w:p w14:paraId="29E64515">
            <w:pPr>
              <w:jc w:val="left"/>
              <w:rPr>
                <w:rFonts w:hint="eastAsia" w:ascii="仿宋" w:hAnsi="仿宋" w:eastAsia="仿宋" w:cs="仿宋"/>
                <w:lang w:eastAsia="zh-CN"/>
              </w:rPr>
            </w:pPr>
            <w:r>
              <w:rPr>
                <w:rFonts w:hint="eastAsia" w:ascii="仿宋" w:hAnsi="仿宋" w:eastAsia="仿宋" w:cs="仿宋"/>
              </w:rPr>
              <w:t>④垃圾分类台账管理：每完全满足一个评审标准得</w:t>
            </w:r>
            <w:r>
              <w:rPr>
                <w:rFonts w:hint="eastAsia" w:ascii="仿宋" w:hAnsi="仿宋" w:eastAsia="仿宋" w:cs="仿宋"/>
                <w:lang w:val="en-US" w:eastAsia="zh-CN"/>
              </w:rPr>
              <w:t>0.5</w:t>
            </w:r>
            <w:r>
              <w:rPr>
                <w:rFonts w:hint="eastAsia" w:ascii="仿宋" w:hAnsi="仿宋" w:eastAsia="仿宋" w:cs="仿宋"/>
              </w:rPr>
              <w:t>分,满</w:t>
            </w:r>
            <w:r>
              <w:rPr>
                <w:rFonts w:hint="eastAsia" w:ascii="仿宋" w:hAnsi="仿宋" w:eastAsia="仿宋" w:cs="仿宋"/>
                <w:lang w:val="en-US" w:eastAsia="zh-CN"/>
              </w:rPr>
              <w:t>分</w:t>
            </w:r>
            <w:r>
              <w:rPr>
                <w:rFonts w:hint="eastAsia" w:ascii="仿宋" w:hAnsi="仿宋" w:eastAsia="仿宋" w:cs="仿宋"/>
              </w:rPr>
              <w:t>得1分</w:t>
            </w:r>
            <w:r>
              <w:rPr>
                <w:rFonts w:hint="eastAsia" w:ascii="仿宋" w:hAnsi="仿宋" w:eastAsia="仿宋" w:cs="仿宋"/>
                <w:lang w:eastAsia="zh-CN"/>
              </w:rPr>
              <w:t>。</w:t>
            </w:r>
          </w:p>
          <w:p w14:paraId="5FD2E2AE">
            <w:pPr>
              <w:jc w:val="left"/>
              <w:rPr>
                <w:rFonts w:hint="eastAsia" w:ascii="仿宋" w:hAnsi="仿宋" w:eastAsia="仿宋" w:cs="仿宋"/>
              </w:rPr>
            </w:pPr>
          </w:p>
        </w:tc>
        <w:tc>
          <w:tcPr>
            <w:tcW w:w="0" w:type="auto"/>
            <w:noWrap w:val="0"/>
            <w:vAlign w:val="center"/>
          </w:tcPr>
          <w:p w14:paraId="7FB14657">
            <w:pPr>
              <w:jc w:val="center"/>
              <w:rPr>
                <w:rFonts w:hint="eastAsia" w:ascii="仿宋" w:hAnsi="仿宋" w:eastAsia="仿宋" w:cs="仿宋"/>
              </w:rPr>
            </w:pPr>
          </w:p>
        </w:tc>
      </w:tr>
      <w:tr w14:paraId="1A210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5F9FAEAF">
            <w:pPr>
              <w:jc w:val="center"/>
              <w:rPr>
                <w:rFonts w:hint="eastAsia" w:ascii="仿宋" w:hAnsi="仿宋" w:eastAsia="仿宋" w:cs="仿宋"/>
              </w:rPr>
            </w:pPr>
            <w:r>
              <w:rPr>
                <w:rFonts w:hint="eastAsia" w:ascii="仿宋" w:hAnsi="仿宋" w:eastAsia="仿宋" w:cs="仿宋"/>
              </w:rPr>
              <w:t>物料配备</w:t>
            </w:r>
          </w:p>
        </w:tc>
        <w:tc>
          <w:tcPr>
            <w:tcW w:w="0" w:type="auto"/>
            <w:noWrap w:val="0"/>
            <w:vAlign w:val="center"/>
          </w:tcPr>
          <w:p w14:paraId="29BB0EEF">
            <w:pPr>
              <w:jc w:val="center"/>
              <w:rPr>
                <w:rFonts w:hint="eastAsia" w:ascii="仿宋" w:hAnsi="仿宋" w:eastAsia="仿宋" w:cs="仿宋"/>
              </w:rPr>
            </w:pPr>
            <w:r>
              <w:rPr>
                <w:rFonts w:hint="eastAsia" w:ascii="仿宋" w:hAnsi="仿宋" w:eastAsia="仿宋" w:cs="仿宋"/>
              </w:rPr>
              <w:t>2</w:t>
            </w:r>
          </w:p>
        </w:tc>
        <w:tc>
          <w:tcPr>
            <w:tcW w:w="0" w:type="auto"/>
            <w:noWrap w:val="0"/>
            <w:vAlign w:val="center"/>
          </w:tcPr>
          <w:p w14:paraId="7650B39E">
            <w:pPr>
              <w:jc w:val="left"/>
              <w:rPr>
                <w:rFonts w:hint="eastAsia" w:ascii="仿宋" w:hAnsi="仿宋" w:eastAsia="仿宋" w:cs="仿宋"/>
              </w:rPr>
            </w:pPr>
            <w:r>
              <w:rPr>
                <w:rFonts w:hint="eastAsia" w:ascii="仿宋" w:hAnsi="仿宋" w:eastAsia="仿宋" w:cs="仿宋"/>
              </w:rPr>
              <w:t>一、评审内容</w:t>
            </w:r>
          </w:p>
          <w:p w14:paraId="5C49F762">
            <w:pPr>
              <w:jc w:val="left"/>
              <w:rPr>
                <w:rFonts w:hint="eastAsia" w:ascii="仿宋" w:hAnsi="仿宋" w:eastAsia="仿宋" w:cs="仿宋"/>
              </w:rPr>
            </w:pPr>
            <w:r>
              <w:rPr>
                <w:rFonts w:hint="eastAsia" w:ascii="仿宋" w:hAnsi="仿宋" w:eastAsia="仿宋" w:cs="仿宋"/>
                <w:lang w:val="en-US" w:eastAsia="zh-CN"/>
              </w:rPr>
              <w:t>供应商</w:t>
            </w:r>
            <w:r>
              <w:rPr>
                <w:rFonts w:hint="eastAsia" w:ascii="仿宋" w:hAnsi="仿宋" w:eastAsia="仿宋" w:cs="仿宋"/>
              </w:rPr>
              <w:t>提供本项目所需要的物料配备清单，应包含：①工作服装和办公设备②清洁工具、劳保用品和消耗品。</w:t>
            </w:r>
          </w:p>
          <w:p w14:paraId="05C16CB2">
            <w:pPr>
              <w:jc w:val="left"/>
              <w:rPr>
                <w:rFonts w:hint="eastAsia" w:ascii="仿宋" w:hAnsi="仿宋" w:eastAsia="仿宋" w:cs="仿宋"/>
              </w:rPr>
            </w:pPr>
            <w:r>
              <w:rPr>
                <w:rFonts w:hint="eastAsia" w:ascii="仿宋" w:hAnsi="仿宋" w:eastAsia="仿宋" w:cs="仿宋"/>
              </w:rPr>
              <w:t>二、评审标准</w:t>
            </w:r>
          </w:p>
          <w:p w14:paraId="7D1028FB">
            <w:pPr>
              <w:jc w:val="left"/>
              <w:rPr>
                <w:rFonts w:hint="eastAsia" w:ascii="仿宋" w:hAnsi="仿宋" w:eastAsia="仿宋" w:cs="仿宋"/>
              </w:rPr>
            </w:pPr>
            <w:r>
              <w:rPr>
                <w:rFonts w:hint="eastAsia" w:ascii="仿宋" w:hAnsi="仿宋" w:eastAsia="仿宋" w:cs="仿宋"/>
              </w:rPr>
              <w:t>1.完整性：清单必须全面，对评审内容中的各项服装、设备、工具、耗材配置合理；</w:t>
            </w:r>
          </w:p>
          <w:p w14:paraId="53A24A5C">
            <w:pPr>
              <w:jc w:val="left"/>
              <w:rPr>
                <w:rFonts w:hint="eastAsia" w:ascii="仿宋" w:hAnsi="仿宋" w:eastAsia="仿宋" w:cs="仿宋"/>
              </w:rPr>
            </w:pPr>
            <w:r>
              <w:rPr>
                <w:rFonts w:hint="eastAsia" w:ascii="仿宋" w:hAnsi="仿宋" w:eastAsia="仿宋" w:cs="仿宋"/>
              </w:rPr>
              <w:t>2.实用性：所配备的物料能够切合本项目实际情况，提供质量有保障、使用率高、环保性强、服装统一。</w:t>
            </w:r>
          </w:p>
          <w:p w14:paraId="34353508">
            <w:pPr>
              <w:jc w:val="left"/>
              <w:rPr>
                <w:rFonts w:hint="eastAsia" w:ascii="仿宋" w:hAnsi="仿宋" w:eastAsia="仿宋" w:cs="仿宋"/>
              </w:rPr>
            </w:pPr>
            <w:r>
              <w:rPr>
                <w:rFonts w:hint="eastAsia" w:ascii="仿宋" w:hAnsi="仿宋" w:eastAsia="仿宋" w:cs="仿宋"/>
              </w:rPr>
              <w:t>三、赋分标准</w:t>
            </w:r>
          </w:p>
          <w:p w14:paraId="47A59F69">
            <w:pPr>
              <w:jc w:val="left"/>
              <w:rPr>
                <w:rFonts w:hint="eastAsia" w:ascii="仿宋" w:hAnsi="仿宋" w:eastAsia="仿宋" w:cs="仿宋"/>
              </w:rPr>
            </w:pPr>
            <w:r>
              <w:rPr>
                <w:rFonts w:hint="eastAsia" w:ascii="仿宋" w:hAnsi="仿宋" w:eastAsia="仿宋" w:cs="仿宋"/>
              </w:rPr>
              <w:t>①工作服装和办公设备：每完全满足一个评审标准得0.5分，满分1分；</w:t>
            </w:r>
          </w:p>
          <w:p w14:paraId="2E071E4C">
            <w:pPr>
              <w:jc w:val="left"/>
              <w:rPr>
                <w:rFonts w:hint="eastAsia" w:ascii="仿宋" w:hAnsi="仿宋" w:eastAsia="仿宋" w:cs="仿宋"/>
              </w:rPr>
            </w:pPr>
            <w:r>
              <w:rPr>
                <w:rFonts w:hint="eastAsia" w:ascii="仿宋" w:hAnsi="仿宋" w:eastAsia="仿宋" w:cs="仿宋"/>
              </w:rPr>
              <w:t>②清洁工具、劳保用品和消耗品:每完全满足一个评审标准得0.5分，满分1分。</w:t>
            </w:r>
          </w:p>
        </w:tc>
        <w:tc>
          <w:tcPr>
            <w:tcW w:w="0" w:type="auto"/>
            <w:noWrap w:val="0"/>
            <w:vAlign w:val="center"/>
          </w:tcPr>
          <w:p w14:paraId="6057D256">
            <w:pPr>
              <w:jc w:val="center"/>
              <w:rPr>
                <w:rFonts w:hint="eastAsia" w:ascii="仿宋" w:hAnsi="仿宋" w:eastAsia="仿宋" w:cs="仿宋"/>
              </w:rPr>
            </w:pPr>
          </w:p>
        </w:tc>
      </w:tr>
      <w:tr w14:paraId="77E3B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4C370B2C">
            <w:pPr>
              <w:jc w:val="center"/>
              <w:rPr>
                <w:rFonts w:hint="eastAsia" w:ascii="仿宋" w:hAnsi="仿宋" w:eastAsia="仿宋" w:cs="仿宋"/>
                <w:highlight w:val="red"/>
              </w:rPr>
            </w:pPr>
            <w:r>
              <w:rPr>
                <w:rFonts w:hint="eastAsia" w:ascii="仿宋" w:hAnsi="仿宋" w:eastAsia="仿宋" w:cs="仿宋"/>
              </w:rPr>
              <w:t>商务响应</w:t>
            </w:r>
          </w:p>
        </w:tc>
        <w:tc>
          <w:tcPr>
            <w:tcW w:w="0" w:type="auto"/>
            <w:noWrap w:val="0"/>
            <w:vAlign w:val="center"/>
          </w:tcPr>
          <w:p w14:paraId="04ED0273">
            <w:pPr>
              <w:jc w:val="center"/>
              <w:rPr>
                <w:rFonts w:hint="eastAsia" w:ascii="仿宋" w:hAnsi="仿宋" w:eastAsia="仿宋" w:cs="仿宋"/>
                <w:highlight w:val="red"/>
              </w:rPr>
            </w:pPr>
            <w:r>
              <w:rPr>
                <w:rFonts w:hint="eastAsia" w:ascii="仿宋" w:hAnsi="仿宋" w:eastAsia="仿宋" w:cs="仿宋"/>
              </w:rPr>
              <w:t>2</w:t>
            </w:r>
          </w:p>
        </w:tc>
        <w:tc>
          <w:tcPr>
            <w:tcW w:w="0" w:type="auto"/>
            <w:noWrap w:val="0"/>
            <w:vAlign w:val="center"/>
          </w:tcPr>
          <w:p w14:paraId="0A13D4A2">
            <w:pPr>
              <w:jc w:val="left"/>
              <w:rPr>
                <w:rFonts w:hint="eastAsia" w:ascii="仿宋" w:hAnsi="仿宋" w:eastAsia="仿宋" w:cs="仿宋"/>
                <w:lang w:val="en-US" w:eastAsia="zh-CN"/>
              </w:rPr>
            </w:pPr>
            <w:r>
              <w:rPr>
                <w:rFonts w:hint="eastAsia" w:ascii="仿宋" w:hAnsi="仿宋" w:eastAsia="仿宋" w:cs="仿宋"/>
                <w:lang w:val="en-US" w:eastAsia="zh-CN"/>
              </w:rPr>
              <w:t>商务响应：做出详细说明，每优于一项得1分，最高分2分，</w:t>
            </w:r>
          </w:p>
          <w:p w14:paraId="5C088828">
            <w:pPr>
              <w:jc w:val="left"/>
              <w:rPr>
                <w:rFonts w:hint="default" w:ascii="仿宋" w:hAnsi="仿宋" w:eastAsia="仿宋" w:cs="仿宋"/>
                <w:highlight w:val="red"/>
                <w:lang w:val="en-US" w:eastAsia="zh-CN"/>
              </w:rPr>
            </w:pPr>
            <w:r>
              <w:rPr>
                <w:rFonts w:hint="eastAsia" w:ascii="仿宋" w:hAnsi="仿宋" w:eastAsia="仿宋" w:cs="仿宋"/>
                <w:lang w:val="en-US" w:eastAsia="zh-CN"/>
              </w:rPr>
              <w:t>只做了一句话或者响应含糊不清的不得分。</w:t>
            </w:r>
          </w:p>
        </w:tc>
        <w:tc>
          <w:tcPr>
            <w:tcW w:w="0" w:type="auto"/>
            <w:tcBorders>
              <w:bottom w:val="nil"/>
            </w:tcBorders>
            <w:noWrap w:val="0"/>
            <w:vAlign w:val="center"/>
          </w:tcPr>
          <w:p w14:paraId="3C2BF316">
            <w:pPr>
              <w:jc w:val="center"/>
              <w:rPr>
                <w:rFonts w:hint="eastAsia" w:ascii="仿宋" w:hAnsi="仿宋" w:eastAsia="仿宋" w:cs="仿宋"/>
              </w:rPr>
            </w:pPr>
          </w:p>
        </w:tc>
      </w:tr>
      <w:tr w14:paraId="1A171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46EDC637">
            <w:pPr>
              <w:jc w:val="center"/>
              <w:rPr>
                <w:rFonts w:hint="eastAsia" w:ascii="仿宋" w:hAnsi="仿宋" w:eastAsia="仿宋" w:cs="仿宋"/>
                <w:color w:val="000000"/>
                <w:highlight w:val="none"/>
              </w:rPr>
            </w:pPr>
            <w:r>
              <w:rPr>
                <w:rFonts w:hint="eastAsia" w:ascii="仿宋" w:hAnsi="仿宋" w:eastAsia="仿宋" w:cs="仿宋"/>
                <w:color w:val="000000"/>
                <w:highlight w:val="none"/>
              </w:rPr>
              <w:t>其他人员</w:t>
            </w:r>
          </w:p>
        </w:tc>
        <w:tc>
          <w:tcPr>
            <w:tcW w:w="0" w:type="auto"/>
            <w:noWrap w:val="0"/>
            <w:vAlign w:val="center"/>
          </w:tcPr>
          <w:p w14:paraId="7F3B46E5">
            <w:pPr>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w:t>
            </w:r>
          </w:p>
        </w:tc>
        <w:tc>
          <w:tcPr>
            <w:tcW w:w="0" w:type="auto"/>
            <w:noWrap w:val="0"/>
            <w:vAlign w:val="center"/>
          </w:tcPr>
          <w:p w14:paraId="016FF8B9">
            <w:pPr>
              <w:jc w:val="left"/>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保卫部主管具有退伍复转军人证书或退役军人优待证，提供一个得</w:t>
            </w:r>
            <w:r>
              <w:rPr>
                <w:rFonts w:hint="eastAsia" w:ascii="仿宋" w:hAnsi="仿宋" w:eastAsia="仿宋" w:cs="仿宋"/>
                <w:color w:val="000000"/>
                <w:highlight w:val="none"/>
                <w:lang w:val="en-US" w:eastAsia="zh-CN"/>
              </w:rPr>
              <w:t>0.5</w:t>
            </w:r>
            <w:r>
              <w:rPr>
                <w:rFonts w:hint="eastAsia" w:ascii="仿宋" w:hAnsi="仿宋" w:eastAsia="仿宋" w:cs="仿宋"/>
                <w:color w:val="000000"/>
                <w:highlight w:val="none"/>
              </w:rPr>
              <w:t>分，最多得</w:t>
            </w: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rPr>
              <w:t>分；</w:t>
            </w:r>
          </w:p>
          <w:p w14:paraId="79579358">
            <w:pPr>
              <w:jc w:val="left"/>
              <w:rPr>
                <w:rFonts w:hint="eastAsia" w:ascii="仿宋" w:hAnsi="仿宋" w:eastAsia="仿宋" w:cs="仿宋"/>
                <w:color w:val="000000"/>
                <w:highlight w:val="none"/>
              </w:rPr>
            </w:pPr>
            <w:r>
              <w:rPr>
                <w:rFonts w:hint="eastAsia" w:ascii="仿宋" w:hAnsi="仿宋" w:eastAsia="仿宋" w:cs="仿宋"/>
                <w:color w:val="000000"/>
                <w:highlight w:val="none"/>
              </w:rPr>
              <w:t>赋分依据：需提供加盖公章的证书原件的扫描件。</w:t>
            </w:r>
          </w:p>
        </w:tc>
        <w:tc>
          <w:tcPr>
            <w:tcW w:w="0" w:type="auto"/>
            <w:tcBorders>
              <w:bottom w:val="nil"/>
            </w:tcBorders>
            <w:noWrap w:val="0"/>
            <w:vAlign w:val="center"/>
          </w:tcPr>
          <w:p w14:paraId="67D074EB">
            <w:pPr>
              <w:jc w:val="center"/>
              <w:rPr>
                <w:rFonts w:hint="eastAsia" w:ascii="仿宋" w:hAnsi="仿宋" w:eastAsia="仿宋" w:cs="仿宋"/>
              </w:rPr>
            </w:pPr>
          </w:p>
        </w:tc>
      </w:tr>
      <w:tr w14:paraId="64959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7EF2BCE1">
            <w:pPr>
              <w:jc w:val="center"/>
              <w:rPr>
                <w:rFonts w:hint="eastAsia" w:ascii="仿宋" w:hAnsi="仿宋" w:eastAsia="仿宋" w:cs="仿宋"/>
              </w:rPr>
            </w:pPr>
            <w:r>
              <w:rPr>
                <w:rFonts w:hint="eastAsia" w:ascii="仿宋" w:hAnsi="仿宋" w:eastAsia="仿宋" w:cs="仿宋"/>
              </w:rPr>
              <w:t>服务承诺</w:t>
            </w:r>
          </w:p>
        </w:tc>
        <w:tc>
          <w:tcPr>
            <w:tcW w:w="0" w:type="auto"/>
            <w:noWrap w:val="0"/>
            <w:vAlign w:val="center"/>
          </w:tcPr>
          <w:p w14:paraId="61ED40CE">
            <w:pPr>
              <w:jc w:val="center"/>
              <w:rPr>
                <w:rFonts w:hint="eastAsia" w:ascii="仿宋" w:hAnsi="仿宋" w:eastAsia="仿宋" w:cs="仿宋"/>
                <w:lang w:eastAsia="zh-CN"/>
              </w:rPr>
            </w:pPr>
            <w:r>
              <w:rPr>
                <w:rFonts w:hint="eastAsia" w:ascii="仿宋" w:hAnsi="仿宋" w:eastAsia="仿宋" w:cs="仿宋"/>
                <w:lang w:val="en-US" w:eastAsia="zh-CN"/>
              </w:rPr>
              <w:t>3</w:t>
            </w:r>
          </w:p>
        </w:tc>
        <w:tc>
          <w:tcPr>
            <w:tcW w:w="0" w:type="auto"/>
            <w:noWrap w:val="0"/>
            <w:vAlign w:val="center"/>
          </w:tcPr>
          <w:p w14:paraId="60309FBA">
            <w:pPr>
              <w:jc w:val="left"/>
              <w:rPr>
                <w:rFonts w:hint="eastAsia" w:ascii="仿宋" w:hAnsi="仿宋" w:eastAsia="仿宋" w:cs="仿宋"/>
              </w:rPr>
            </w:pPr>
            <w:r>
              <w:rPr>
                <w:rFonts w:hint="eastAsia" w:ascii="仿宋" w:hAnsi="仿宋" w:eastAsia="仿宋" w:cs="仿宋"/>
              </w:rPr>
              <w:t>1.承诺：接受采购人对服务的考核、监督及管理，并对服务质量加以改进，确保服务工作的优质高效，得</w:t>
            </w:r>
            <w:r>
              <w:rPr>
                <w:rFonts w:hint="eastAsia" w:ascii="仿宋" w:hAnsi="仿宋" w:eastAsia="仿宋" w:cs="仿宋"/>
                <w:lang w:val="en-US" w:eastAsia="zh-CN"/>
              </w:rPr>
              <w:t>1</w:t>
            </w:r>
            <w:r>
              <w:rPr>
                <w:rFonts w:hint="eastAsia" w:ascii="仿宋" w:hAnsi="仿宋" w:eastAsia="仿宋" w:cs="仿宋"/>
              </w:rPr>
              <w:t>分。无承诺不得分；</w:t>
            </w:r>
          </w:p>
          <w:p w14:paraId="501AF53D">
            <w:pPr>
              <w:jc w:val="left"/>
              <w:rPr>
                <w:rFonts w:hint="eastAsia" w:ascii="仿宋" w:hAnsi="仿宋" w:eastAsia="仿宋" w:cs="仿宋"/>
              </w:rPr>
            </w:pPr>
            <w:r>
              <w:rPr>
                <w:rFonts w:hint="eastAsia" w:ascii="仿宋" w:hAnsi="仿宋" w:eastAsia="仿宋" w:cs="仿宋"/>
              </w:rPr>
              <w:t>2.承诺：若人员因事、病不能及时上岗时，请调其他服务人员补充，确保各项服务工作正常进行，得</w:t>
            </w:r>
            <w:r>
              <w:rPr>
                <w:rFonts w:hint="eastAsia" w:ascii="仿宋" w:hAnsi="仿宋" w:eastAsia="仿宋" w:cs="仿宋"/>
                <w:lang w:val="en-US" w:eastAsia="zh-CN"/>
              </w:rPr>
              <w:t>1</w:t>
            </w:r>
            <w:r>
              <w:rPr>
                <w:rFonts w:hint="eastAsia" w:ascii="仿宋" w:hAnsi="仿宋" w:eastAsia="仿宋" w:cs="仿宋"/>
              </w:rPr>
              <w:t>分。无承诺不得分；</w:t>
            </w:r>
          </w:p>
          <w:p w14:paraId="2D43D870">
            <w:pPr>
              <w:jc w:val="left"/>
              <w:rPr>
                <w:rFonts w:hint="eastAsia" w:ascii="仿宋" w:hAnsi="仿宋" w:eastAsia="仿宋" w:cs="仿宋"/>
              </w:rPr>
            </w:pPr>
            <w:r>
              <w:rPr>
                <w:rFonts w:hint="eastAsia" w:ascii="仿宋" w:hAnsi="仿宋" w:eastAsia="仿宋" w:cs="仿宋"/>
              </w:rPr>
              <w:t>3.承诺：</w:t>
            </w:r>
            <w:r>
              <w:rPr>
                <w:rFonts w:hint="eastAsia" w:ascii="仿宋" w:hAnsi="仿宋" w:eastAsia="仿宋" w:cs="仿宋"/>
                <w:lang w:val="en-US" w:eastAsia="zh-CN"/>
              </w:rPr>
              <w:t>供应商</w:t>
            </w:r>
            <w:r>
              <w:rPr>
                <w:rFonts w:hint="eastAsia" w:ascii="仿宋" w:hAnsi="仿宋" w:eastAsia="仿宋" w:cs="仿宋"/>
              </w:rPr>
              <w:t>具有足够的可调度人员储备，以应对重大、突发事件等的保洁任务，得</w:t>
            </w:r>
            <w:r>
              <w:rPr>
                <w:rFonts w:hint="eastAsia" w:ascii="仿宋" w:hAnsi="仿宋" w:eastAsia="仿宋" w:cs="仿宋"/>
                <w:lang w:val="en-US" w:eastAsia="zh-CN"/>
              </w:rPr>
              <w:t>1</w:t>
            </w:r>
            <w:r>
              <w:rPr>
                <w:rFonts w:hint="eastAsia" w:ascii="仿宋" w:hAnsi="仿宋" w:eastAsia="仿宋" w:cs="仿宋"/>
              </w:rPr>
              <w:t>分，无承诺不得分。</w:t>
            </w:r>
          </w:p>
        </w:tc>
        <w:tc>
          <w:tcPr>
            <w:tcW w:w="0" w:type="auto"/>
            <w:noWrap w:val="0"/>
            <w:vAlign w:val="center"/>
          </w:tcPr>
          <w:p w14:paraId="58BE74A8">
            <w:pPr>
              <w:jc w:val="center"/>
              <w:rPr>
                <w:rFonts w:hint="eastAsia" w:ascii="仿宋" w:hAnsi="仿宋" w:eastAsia="仿宋" w:cs="仿宋"/>
              </w:rPr>
            </w:pPr>
          </w:p>
        </w:tc>
      </w:tr>
      <w:tr w14:paraId="5C3F6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50" w:hRule="atLeast"/>
          <w:jc w:val="center"/>
        </w:trPr>
        <w:tc>
          <w:tcPr>
            <w:tcW w:w="0" w:type="auto"/>
            <w:noWrap w:val="0"/>
            <w:vAlign w:val="center"/>
          </w:tcPr>
          <w:p w14:paraId="64532FFA">
            <w:pPr>
              <w:jc w:val="center"/>
              <w:rPr>
                <w:rFonts w:hint="eastAsia" w:ascii="仿宋" w:hAnsi="仿宋" w:eastAsia="仿宋" w:cs="仿宋"/>
                <w:color w:val="000000"/>
                <w:highlight w:val="none"/>
              </w:rPr>
            </w:pPr>
            <w:r>
              <w:rPr>
                <w:rFonts w:hint="eastAsia" w:ascii="仿宋" w:hAnsi="仿宋" w:eastAsia="仿宋" w:cs="仿宋"/>
                <w:color w:val="000000"/>
                <w:highlight w:val="none"/>
              </w:rPr>
              <w:t>合理化建议</w:t>
            </w:r>
          </w:p>
        </w:tc>
        <w:tc>
          <w:tcPr>
            <w:tcW w:w="0" w:type="auto"/>
            <w:noWrap w:val="0"/>
            <w:vAlign w:val="center"/>
          </w:tcPr>
          <w:p w14:paraId="07F6F64D">
            <w:pPr>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2</w:t>
            </w:r>
          </w:p>
        </w:tc>
        <w:tc>
          <w:tcPr>
            <w:tcW w:w="0" w:type="auto"/>
            <w:noWrap w:val="0"/>
            <w:vAlign w:val="center"/>
          </w:tcPr>
          <w:p w14:paraId="2793E482">
            <w:pPr>
              <w:jc w:val="left"/>
              <w:rPr>
                <w:rFonts w:hint="eastAsia" w:ascii="仿宋" w:hAnsi="仿宋" w:eastAsia="仿宋" w:cs="仿宋"/>
                <w:color w:val="000000"/>
                <w:highlight w:val="none"/>
              </w:rPr>
            </w:pPr>
            <w:r>
              <w:rPr>
                <w:rFonts w:hint="eastAsia" w:ascii="仿宋" w:hAnsi="仿宋" w:eastAsia="仿宋" w:cs="仿宋"/>
                <w:color w:val="000000"/>
                <w:highlight w:val="none"/>
              </w:rPr>
              <w:t>合理化建议：投标单位针对本项目在服务方面的优势及对本项目的合理化建议，根据投标人提出的建议的实用性、可操作性等进行比较，每个0.5分，最多得</w:t>
            </w:r>
            <w:r>
              <w:rPr>
                <w:rFonts w:hint="eastAsia" w:ascii="仿宋" w:hAnsi="仿宋" w:eastAsia="仿宋" w:cs="仿宋"/>
                <w:color w:val="000000"/>
                <w:highlight w:val="none"/>
                <w:lang w:val="en-US" w:eastAsia="zh-CN"/>
              </w:rPr>
              <w:t>2</w:t>
            </w:r>
            <w:r>
              <w:rPr>
                <w:rFonts w:hint="eastAsia" w:ascii="仿宋" w:hAnsi="仿宋" w:eastAsia="仿宋" w:cs="仿宋"/>
                <w:color w:val="000000"/>
                <w:highlight w:val="none"/>
              </w:rPr>
              <w:t>分。</w:t>
            </w:r>
          </w:p>
        </w:tc>
        <w:tc>
          <w:tcPr>
            <w:tcW w:w="0" w:type="auto"/>
            <w:noWrap w:val="0"/>
            <w:vAlign w:val="center"/>
          </w:tcPr>
          <w:p w14:paraId="360D6B2A">
            <w:pPr>
              <w:jc w:val="center"/>
              <w:rPr>
                <w:rFonts w:hint="eastAsia" w:ascii="仿宋" w:hAnsi="仿宋" w:eastAsia="仿宋" w:cs="仿宋"/>
              </w:rPr>
            </w:pPr>
          </w:p>
        </w:tc>
      </w:tr>
      <w:tr w14:paraId="2BF77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3" w:hRule="atLeast"/>
          <w:jc w:val="center"/>
        </w:trPr>
        <w:tc>
          <w:tcPr>
            <w:tcW w:w="0" w:type="auto"/>
            <w:noWrap w:val="0"/>
            <w:vAlign w:val="center"/>
          </w:tcPr>
          <w:p w14:paraId="418CB55D">
            <w:pPr>
              <w:rPr>
                <w:rFonts w:hint="eastAsia" w:ascii="仿宋" w:hAnsi="仿宋" w:eastAsia="仿宋" w:cs="仿宋"/>
              </w:rPr>
            </w:pPr>
            <w:r>
              <w:rPr>
                <w:rFonts w:hint="eastAsia" w:ascii="仿宋" w:hAnsi="仿宋" w:eastAsia="仿宋" w:cs="仿宋"/>
              </w:rPr>
              <w:t>说明</w:t>
            </w:r>
          </w:p>
        </w:tc>
        <w:tc>
          <w:tcPr>
            <w:tcW w:w="0" w:type="auto"/>
            <w:gridSpan w:val="3"/>
            <w:noWrap w:val="0"/>
            <w:vAlign w:val="center"/>
          </w:tcPr>
          <w:p w14:paraId="02AC704E">
            <w:pPr>
              <w:jc w:val="center"/>
              <w:rPr>
                <w:rFonts w:hint="eastAsia" w:ascii="仿宋" w:hAnsi="仿宋" w:eastAsia="仿宋" w:cs="仿宋"/>
              </w:rPr>
            </w:pPr>
          </w:p>
          <w:p w14:paraId="33BD736D">
            <w:pPr>
              <w:jc w:val="center"/>
              <w:rPr>
                <w:rFonts w:hint="eastAsia" w:ascii="仿宋" w:hAnsi="仿宋" w:eastAsia="仿宋" w:cs="仿宋"/>
              </w:rPr>
            </w:pPr>
            <w:r>
              <w:rPr>
                <w:rFonts w:hint="eastAsia" w:ascii="仿宋" w:hAnsi="仿宋" w:eastAsia="仿宋" w:cs="仿宋"/>
                <w:lang w:val="en-US" w:eastAsia="zh-CN"/>
              </w:rPr>
              <w:t>磋商小组</w:t>
            </w:r>
            <w:r>
              <w:rPr>
                <w:rFonts w:hint="eastAsia" w:ascii="仿宋" w:hAnsi="仿宋" w:eastAsia="仿宋" w:cs="仿宋"/>
              </w:rPr>
              <w:t>成员须按照本评审要素据实打分。</w:t>
            </w:r>
          </w:p>
        </w:tc>
      </w:tr>
    </w:tbl>
    <w:p w14:paraId="6E6F5A18">
      <w:pPr>
        <w:spacing w:line="240" w:lineRule="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p w14:paraId="230218C9">
      <w:pPr>
        <w:keepNext w:val="0"/>
        <w:keepLines w:val="0"/>
        <w:pageBreakBefore w:val="0"/>
        <w:widowControl w:val="0"/>
        <w:kinsoku w:val="0"/>
        <w:wordWrap/>
        <w:overflowPunct w:val="0"/>
        <w:topLinePunct w:val="0"/>
        <w:autoSpaceDE/>
        <w:autoSpaceDN/>
        <w:bidi w:val="0"/>
        <w:adjustRightInd/>
        <w:snapToGrid/>
        <w:spacing w:line="500" w:lineRule="exact"/>
        <w:ind w:firstLine="566" w:firstLineChars="200"/>
        <w:textAlignment w:val="auto"/>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30924"/>
      <w:bookmarkStart w:id="124" w:name="_Toc17612"/>
      <w:bookmarkStart w:id="125" w:name="_Toc22712"/>
      <w:bookmarkStart w:id="126" w:name="_Toc28384"/>
      <w:bookmarkStart w:id="127" w:name="_Toc4670"/>
      <w:bookmarkStart w:id="128" w:name="_Toc25855"/>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28870"/>
      <w:bookmarkStart w:id="130" w:name="_Toc31537"/>
      <w:bookmarkStart w:id="131" w:name="_Toc3100"/>
      <w:bookmarkStart w:id="132" w:name="_Toc10386"/>
      <w:bookmarkStart w:id="133" w:name="_Toc14009"/>
      <w:bookmarkStart w:id="134" w:name="_Toc2004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21906"/>
      <w:bookmarkStart w:id="136" w:name="_Toc1272"/>
      <w:bookmarkStart w:id="137" w:name="_Toc864"/>
      <w:bookmarkStart w:id="138" w:name="_Toc3153"/>
      <w:bookmarkStart w:id="139" w:name="_Toc16965"/>
      <w:bookmarkStart w:id="140" w:name="_Toc2334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24433"/>
      <w:bookmarkStart w:id="143" w:name="_Toc10627"/>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7DC945D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一、.采购项目清单</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3717"/>
        <w:gridCol w:w="1037"/>
        <w:gridCol w:w="893"/>
        <w:gridCol w:w="2731"/>
      </w:tblGrid>
      <w:tr w14:paraId="03DA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noWrap w:val="0"/>
            <w:vAlign w:val="center"/>
          </w:tcPr>
          <w:p w14:paraId="4A4FC33C">
            <w:pPr>
              <w:numPr>
                <w:ilvl w:val="0"/>
                <w:numId w:val="0"/>
              </w:numPr>
              <w:spacing w:line="500" w:lineRule="exact"/>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序号</w:t>
            </w:r>
          </w:p>
        </w:tc>
        <w:tc>
          <w:tcPr>
            <w:tcW w:w="3717" w:type="dxa"/>
            <w:noWrap w:val="0"/>
            <w:vAlign w:val="center"/>
          </w:tcPr>
          <w:p w14:paraId="7167D550">
            <w:pPr>
              <w:numPr>
                <w:ilvl w:val="0"/>
                <w:numId w:val="0"/>
              </w:numPr>
              <w:spacing w:line="500" w:lineRule="exact"/>
              <w:ind w:firstLine="566" w:firstLineChars="200"/>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项目名称</w:t>
            </w:r>
          </w:p>
        </w:tc>
        <w:tc>
          <w:tcPr>
            <w:tcW w:w="1037" w:type="dxa"/>
            <w:noWrap w:val="0"/>
            <w:vAlign w:val="center"/>
          </w:tcPr>
          <w:p w14:paraId="6A01C4FF">
            <w:pPr>
              <w:numPr>
                <w:ilvl w:val="0"/>
                <w:numId w:val="0"/>
              </w:numPr>
              <w:spacing w:line="500" w:lineRule="exact"/>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数量(单位)</w:t>
            </w:r>
          </w:p>
        </w:tc>
        <w:tc>
          <w:tcPr>
            <w:tcW w:w="893" w:type="dxa"/>
            <w:noWrap w:val="0"/>
            <w:vAlign w:val="center"/>
          </w:tcPr>
          <w:p w14:paraId="377DCEC9">
            <w:pPr>
              <w:numPr>
                <w:ilvl w:val="0"/>
                <w:numId w:val="0"/>
              </w:numPr>
              <w:spacing w:line="500" w:lineRule="exact"/>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服务期</w:t>
            </w:r>
          </w:p>
        </w:tc>
        <w:tc>
          <w:tcPr>
            <w:tcW w:w="0" w:type="auto"/>
            <w:noWrap w:val="0"/>
            <w:vAlign w:val="center"/>
          </w:tcPr>
          <w:p w14:paraId="5316BFA1">
            <w:pPr>
              <w:numPr>
                <w:ilvl w:val="0"/>
                <w:numId w:val="0"/>
              </w:numPr>
              <w:spacing w:line="500" w:lineRule="exact"/>
              <w:ind w:firstLine="566" w:firstLineChars="200"/>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备  注</w:t>
            </w:r>
          </w:p>
        </w:tc>
      </w:tr>
      <w:tr w14:paraId="5297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noWrap w:val="0"/>
            <w:vAlign w:val="center"/>
          </w:tcPr>
          <w:p w14:paraId="69784DE3">
            <w:pPr>
              <w:numPr>
                <w:ilvl w:val="0"/>
                <w:numId w:val="0"/>
              </w:numPr>
              <w:spacing w:line="500" w:lineRule="exact"/>
              <w:ind w:firstLine="566" w:firstLineChars="200"/>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w:t>
            </w:r>
          </w:p>
        </w:tc>
        <w:tc>
          <w:tcPr>
            <w:tcW w:w="3717" w:type="dxa"/>
            <w:noWrap w:val="0"/>
            <w:vAlign w:val="center"/>
          </w:tcPr>
          <w:p w14:paraId="2264E9EB">
            <w:pPr>
              <w:numPr>
                <w:ilvl w:val="0"/>
                <w:numId w:val="0"/>
              </w:numPr>
              <w:spacing w:line="500" w:lineRule="exact"/>
              <w:jc w:val="both"/>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延安西北局革命旧址管理处管辖区域物业化管理服务</w:t>
            </w:r>
          </w:p>
        </w:tc>
        <w:tc>
          <w:tcPr>
            <w:tcW w:w="1037" w:type="dxa"/>
            <w:noWrap w:val="0"/>
            <w:vAlign w:val="center"/>
          </w:tcPr>
          <w:p w14:paraId="694803BB">
            <w:pPr>
              <w:numPr>
                <w:ilvl w:val="0"/>
                <w:numId w:val="0"/>
              </w:numPr>
              <w:spacing w:line="500" w:lineRule="exact"/>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1项</w:t>
            </w:r>
          </w:p>
        </w:tc>
        <w:tc>
          <w:tcPr>
            <w:tcW w:w="893" w:type="dxa"/>
            <w:noWrap w:val="0"/>
            <w:vAlign w:val="center"/>
          </w:tcPr>
          <w:p w14:paraId="4765CC05">
            <w:pPr>
              <w:numPr>
                <w:ilvl w:val="0"/>
                <w:numId w:val="0"/>
              </w:numPr>
              <w:spacing w:line="500" w:lineRule="exact"/>
              <w:jc w:val="center"/>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1年</w:t>
            </w:r>
          </w:p>
        </w:tc>
        <w:tc>
          <w:tcPr>
            <w:tcW w:w="0" w:type="auto"/>
            <w:noWrap w:val="0"/>
            <w:vAlign w:val="center"/>
          </w:tcPr>
          <w:p w14:paraId="33F7EB1D">
            <w:pPr>
              <w:numPr>
                <w:ilvl w:val="0"/>
                <w:numId w:val="0"/>
              </w:numPr>
              <w:spacing w:line="500" w:lineRule="exact"/>
              <w:jc w:val="center"/>
              <w:outlineLvl w:val="9"/>
              <w:rPr>
                <w:rFonts w:hint="default"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服务期不超过三年，合同一年一签。</w:t>
            </w:r>
          </w:p>
        </w:tc>
      </w:tr>
    </w:tbl>
    <w:p w14:paraId="531B5C3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二、服务内容</w:t>
      </w:r>
    </w:p>
    <w:p w14:paraId="4466DF6C">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（一）延安西北局景区概况</w:t>
      </w:r>
    </w:p>
    <w:p w14:paraId="1127B7F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1.基本情况</w:t>
      </w:r>
    </w:p>
    <w:p w14:paraId="2E21DB23">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中共中央西北局旧址于2006年5月25日被国务院公布为全国重点文物保护单位。2007年实施延安爱国主义教育基地“一号工程”，对旧址进行了维修和陈列布展，2009年9月正式对外开放。2012年底，按照市委、市政府“十大遗址”保护建设要求，在旧址的基础上修建了中共中央西北局纪念馆，2014年3月18日落成并对外开放。西北局纪念馆的建成与旧址形成了互补，为延安红色旅游事业增添了新的内涵。</w:t>
      </w:r>
    </w:p>
    <w:p w14:paraId="04CE08A1">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2.管理单位基本情况</w:t>
      </w:r>
    </w:p>
    <w:p w14:paraId="4667C09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延安西北局革命旧址管理处成立于2010年9月，副处级建制，财政全额拨款事业单位，旧址与纪念馆，两块牌子一套机构。单位核定编制19个，在编20人，设主任1名，副主任2名，下设科室4个，在编讲解员11人。西北局旧址党支部成立于2014年4月，现共有党员14名。管理处主要负责西北局旧址、纪念馆、游客服务中心、陕甘宁边区政府交际处、光华农场、自然科学院等旧址的管护工作，以及南区合作社的业务指导工作。</w:t>
      </w:r>
    </w:p>
    <w:p w14:paraId="1A6136C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（二）人员分工如下：</w:t>
      </w:r>
    </w:p>
    <w:p w14:paraId="59D2403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服务处主管及副主管各1人，主要负责保洁、安保管理工作。</w:t>
      </w:r>
    </w:p>
    <w:p w14:paraId="0DF55D62">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保洁员13人、安保员26人，消防操作管控2人，水、电工各1人，锅炉管控员2人，空调管控操作员1人。</w:t>
      </w:r>
    </w:p>
    <w:p w14:paraId="034CCDC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（三）保洁频次及检查方法</w:t>
      </w:r>
    </w:p>
    <w:tbl>
      <w:tblPr>
        <w:tblStyle w:val="22"/>
        <w:tblW w:w="8785" w:type="dxa"/>
        <w:jc w:val="center"/>
        <w:tblLayout w:type="fixed"/>
        <w:tblCellMar>
          <w:top w:w="0" w:type="dxa"/>
          <w:left w:w="108" w:type="dxa"/>
          <w:bottom w:w="0" w:type="dxa"/>
          <w:right w:w="108" w:type="dxa"/>
        </w:tblCellMar>
      </w:tblPr>
      <w:tblGrid>
        <w:gridCol w:w="593"/>
        <w:gridCol w:w="1317"/>
        <w:gridCol w:w="2880"/>
        <w:gridCol w:w="1442"/>
        <w:gridCol w:w="1683"/>
        <w:gridCol w:w="870"/>
      </w:tblGrid>
      <w:tr w14:paraId="48F3DD33">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4" w:space="0"/>
              <w:right w:val="single" w:color="auto" w:sz="6" w:space="0"/>
            </w:tcBorders>
            <w:noWrap w:val="0"/>
            <w:vAlign w:val="center"/>
          </w:tcPr>
          <w:p w14:paraId="353CEE9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序号</w:t>
            </w:r>
          </w:p>
        </w:tc>
        <w:tc>
          <w:tcPr>
            <w:tcW w:w="1317" w:type="dxa"/>
            <w:tcBorders>
              <w:top w:val="single" w:color="auto" w:sz="6" w:space="0"/>
              <w:left w:val="nil"/>
              <w:bottom w:val="single" w:color="auto" w:sz="4" w:space="0"/>
              <w:right w:val="single" w:color="auto" w:sz="6" w:space="0"/>
            </w:tcBorders>
            <w:noWrap w:val="0"/>
            <w:vAlign w:val="center"/>
          </w:tcPr>
          <w:p w14:paraId="0F402C6D">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项目</w:t>
            </w:r>
          </w:p>
        </w:tc>
        <w:tc>
          <w:tcPr>
            <w:tcW w:w="2880" w:type="dxa"/>
            <w:tcBorders>
              <w:top w:val="single" w:color="auto" w:sz="6" w:space="0"/>
              <w:left w:val="nil"/>
              <w:bottom w:val="single" w:color="auto" w:sz="4" w:space="0"/>
              <w:right w:val="single" w:color="auto" w:sz="6" w:space="0"/>
            </w:tcBorders>
            <w:noWrap w:val="0"/>
            <w:vAlign w:val="center"/>
          </w:tcPr>
          <w:p w14:paraId="3663E698">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保洁标准</w:t>
            </w:r>
          </w:p>
        </w:tc>
        <w:tc>
          <w:tcPr>
            <w:tcW w:w="1442" w:type="dxa"/>
            <w:tcBorders>
              <w:top w:val="single" w:color="auto" w:sz="6" w:space="0"/>
              <w:left w:val="nil"/>
              <w:bottom w:val="single" w:color="auto" w:sz="4" w:space="0"/>
              <w:right w:val="single" w:color="auto" w:sz="6" w:space="0"/>
            </w:tcBorders>
            <w:noWrap w:val="0"/>
            <w:vAlign w:val="center"/>
          </w:tcPr>
          <w:p w14:paraId="75D182D5">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常态不低于频次</w:t>
            </w:r>
          </w:p>
        </w:tc>
        <w:tc>
          <w:tcPr>
            <w:tcW w:w="1683" w:type="dxa"/>
            <w:tcBorders>
              <w:top w:val="single" w:color="auto" w:sz="6" w:space="0"/>
              <w:left w:val="nil"/>
              <w:bottom w:val="single" w:color="auto" w:sz="4" w:space="0"/>
              <w:right w:val="single" w:color="auto" w:sz="6" w:space="0"/>
            </w:tcBorders>
            <w:noWrap w:val="0"/>
            <w:vAlign w:val="center"/>
          </w:tcPr>
          <w:p w14:paraId="042E24A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作业时间</w:t>
            </w:r>
          </w:p>
        </w:tc>
        <w:tc>
          <w:tcPr>
            <w:tcW w:w="870" w:type="dxa"/>
            <w:tcBorders>
              <w:top w:val="single" w:color="auto" w:sz="6" w:space="0"/>
              <w:left w:val="nil"/>
              <w:bottom w:val="single" w:color="auto" w:sz="4" w:space="0"/>
              <w:right w:val="single" w:color="auto" w:sz="6" w:space="0"/>
            </w:tcBorders>
            <w:noWrap w:val="0"/>
            <w:vAlign w:val="center"/>
          </w:tcPr>
          <w:p w14:paraId="02482AF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检查</w:t>
            </w:r>
            <w:r>
              <w:rPr>
                <w:rFonts w:hint="eastAsia" w:ascii="仿宋" w:hAnsi="仿宋" w:eastAsia="仿宋" w:cs="仿宋"/>
                <w:sz w:val="21"/>
                <w:szCs w:val="22"/>
              </w:rPr>
              <w:br w:type="textWrapping"/>
            </w:r>
            <w:r>
              <w:rPr>
                <w:rFonts w:hint="eastAsia" w:ascii="仿宋" w:hAnsi="仿宋" w:eastAsia="仿宋" w:cs="仿宋"/>
                <w:sz w:val="21"/>
                <w:szCs w:val="22"/>
              </w:rPr>
              <w:t>方法</w:t>
            </w:r>
          </w:p>
        </w:tc>
      </w:tr>
      <w:tr w14:paraId="627794C0">
        <w:tblPrEx>
          <w:tblCellMar>
            <w:top w:w="0" w:type="dxa"/>
            <w:left w:w="108" w:type="dxa"/>
            <w:bottom w:w="0" w:type="dxa"/>
            <w:right w:w="108" w:type="dxa"/>
          </w:tblCellMar>
        </w:tblPrEx>
        <w:trPr>
          <w:trHeight w:val="469" w:hRule="atLeast"/>
          <w:jc w:val="center"/>
        </w:trPr>
        <w:tc>
          <w:tcPr>
            <w:tcW w:w="593" w:type="dxa"/>
            <w:tcBorders>
              <w:top w:val="nil"/>
              <w:left w:val="single" w:color="auto" w:sz="6" w:space="0"/>
              <w:bottom w:val="single" w:color="auto" w:sz="6" w:space="0"/>
              <w:right w:val="single" w:color="auto" w:sz="6" w:space="0"/>
            </w:tcBorders>
            <w:noWrap w:val="0"/>
            <w:vAlign w:val="center"/>
          </w:tcPr>
          <w:p w14:paraId="0D3E7E06">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w:t>
            </w:r>
          </w:p>
        </w:tc>
        <w:tc>
          <w:tcPr>
            <w:tcW w:w="1317" w:type="dxa"/>
            <w:tcBorders>
              <w:top w:val="nil"/>
              <w:left w:val="nil"/>
              <w:bottom w:val="single" w:color="auto" w:sz="6" w:space="0"/>
              <w:right w:val="single" w:color="auto" w:sz="6" w:space="0"/>
            </w:tcBorders>
            <w:noWrap w:val="0"/>
            <w:vAlign w:val="center"/>
          </w:tcPr>
          <w:p w14:paraId="35F26F3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摆放花木</w:t>
            </w:r>
          </w:p>
        </w:tc>
        <w:tc>
          <w:tcPr>
            <w:tcW w:w="2880" w:type="dxa"/>
            <w:tcBorders>
              <w:top w:val="nil"/>
              <w:left w:val="nil"/>
              <w:bottom w:val="single" w:color="auto" w:sz="6" w:space="0"/>
              <w:right w:val="single" w:color="auto" w:sz="6" w:space="0"/>
            </w:tcBorders>
            <w:noWrap w:val="0"/>
            <w:vAlign w:val="center"/>
          </w:tcPr>
          <w:p w14:paraId="05CAE1D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花木无明显灰尘、花盆无泥沙、无污迹</w:t>
            </w:r>
          </w:p>
        </w:tc>
        <w:tc>
          <w:tcPr>
            <w:tcW w:w="1442" w:type="dxa"/>
            <w:tcBorders>
              <w:top w:val="nil"/>
              <w:left w:val="nil"/>
              <w:bottom w:val="single" w:color="auto" w:sz="6" w:space="0"/>
              <w:right w:val="single" w:color="auto" w:sz="6" w:space="0"/>
            </w:tcBorders>
            <w:noWrap w:val="0"/>
            <w:vAlign w:val="center"/>
          </w:tcPr>
          <w:p w14:paraId="63020228">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每周保洁1次</w:t>
            </w:r>
          </w:p>
        </w:tc>
        <w:tc>
          <w:tcPr>
            <w:tcW w:w="1683" w:type="dxa"/>
            <w:tcBorders>
              <w:top w:val="nil"/>
              <w:left w:val="nil"/>
              <w:bottom w:val="single" w:color="auto" w:sz="6" w:space="0"/>
              <w:right w:val="single" w:color="auto" w:sz="6" w:space="0"/>
            </w:tcBorders>
            <w:noWrap w:val="0"/>
            <w:vAlign w:val="center"/>
          </w:tcPr>
          <w:p w14:paraId="05E9372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不定时巡视</w:t>
            </w:r>
          </w:p>
        </w:tc>
        <w:tc>
          <w:tcPr>
            <w:tcW w:w="870" w:type="dxa"/>
            <w:tcBorders>
              <w:top w:val="nil"/>
              <w:left w:val="nil"/>
              <w:bottom w:val="single" w:color="auto" w:sz="6" w:space="0"/>
              <w:right w:val="single" w:color="auto" w:sz="6" w:space="0"/>
            </w:tcBorders>
            <w:noWrap w:val="0"/>
            <w:vAlign w:val="center"/>
          </w:tcPr>
          <w:p w14:paraId="32BFA27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703D78AC">
        <w:tblPrEx>
          <w:tblCellMar>
            <w:top w:w="0" w:type="dxa"/>
            <w:left w:w="108" w:type="dxa"/>
            <w:bottom w:w="0" w:type="dxa"/>
            <w:right w:w="108" w:type="dxa"/>
          </w:tblCellMar>
        </w:tblPrEx>
        <w:trPr>
          <w:trHeight w:val="469" w:hRule="atLeast"/>
          <w:jc w:val="center"/>
        </w:trPr>
        <w:tc>
          <w:tcPr>
            <w:tcW w:w="593" w:type="dxa"/>
            <w:tcBorders>
              <w:top w:val="nil"/>
              <w:left w:val="single" w:color="auto" w:sz="6" w:space="0"/>
              <w:bottom w:val="single" w:color="auto" w:sz="6" w:space="0"/>
              <w:right w:val="single" w:color="auto" w:sz="6" w:space="0"/>
            </w:tcBorders>
            <w:noWrap w:val="0"/>
            <w:vAlign w:val="center"/>
          </w:tcPr>
          <w:p w14:paraId="3FE3E5B8">
            <w:pPr>
              <w:widowControl w:val="0"/>
              <w:spacing w:line="240" w:lineRule="auto"/>
              <w:rPr>
                <w:rFonts w:ascii="仿宋" w:hAnsi="仿宋" w:eastAsia="仿宋" w:cs="仿宋"/>
                <w:sz w:val="21"/>
                <w:szCs w:val="22"/>
              </w:rPr>
            </w:pPr>
            <w:r>
              <w:rPr>
                <w:rFonts w:hint="eastAsia" w:ascii="仿宋" w:hAnsi="仿宋" w:eastAsia="仿宋" w:cs="仿宋"/>
                <w:sz w:val="21"/>
                <w:szCs w:val="22"/>
              </w:rPr>
              <w:t>2</w:t>
            </w:r>
          </w:p>
        </w:tc>
        <w:tc>
          <w:tcPr>
            <w:tcW w:w="1317" w:type="dxa"/>
            <w:tcBorders>
              <w:top w:val="nil"/>
              <w:left w:val="nil"/>
              <w:bottom w:val="single" w:color="auto" w:sz="6" w:space="0"/>
              <w:right w:val="single" w:color="auto" w:sz="6" w:space="0"/>
            </w:tcBorders>
            <w:noWrap w:val="0"/>
            <w:vAlign w:val="center"/>
          </w:tcPr>
          <w:p w14:paraId="3BCD2B99">
            <w:pPr>
              <w:widowControl w:val="0"/>
              <w:spacing w:line="240" w:lineRule="auto"/>
              <w:rPr>
                <w:rFonts w:ascii="仿宋" w:hAnsi="仿宋" w:eastAsia="仿宋" w:cs="仿宋"/>
                <w:sz w:val="21"/>
                <w:szCs w:val="22"/>
              </w:rPr>
            </w:pPr>
            <w:r>
              <w:rPr>
                <w:rFonts w:hint="eastAsia" w:ascii="仿宋" w:hAnsi="仿宋" w:eastAsia="仿宋" w:cs="仿宋"/>
                <w:sz w:val="21"/>
                <w:szCs w:val="22"/>
              </w:rPr>
              <w:t>绿化管护</w:t>
            </w:r>
          </w:p>
        </w:tc>
        <w:tc>
          <w:tcPr>
            <w:tcW w:w="2880" w:type="dxa"/>
            <w:tcBorders>
              <w:top w:val="nil"/>
              <w:left w:val="nil"/>
              <w:bottom w:val="single" w:color="auto" w:sz="6" w:space="0"/>
              <w:right w:val="single" w:color="auto" w:sz="6" w:space="0"/>
            </w:tcBorders>
            <w:noWrap w:val="0"/>
            <w:vAlign w:val="center"/>
          </w:tcPr>
          <w:p w14:paraId="7D6A8BFF">
            <w:pPr>
              <w:widowControl w:val="0"/>
              <w:spacing w:line="240" w:lineRule="auto"/>
              <w:rPr>
                <w:rFonts w:ascii="仿宋" w:hAnsi="仿宋" w:eastAsia="仿宋" w:cs="仿宋"/>
                <w:sz w:val="21"/>
                <w:szCs w:val="22"/>
              </w:rPr>
            </w:pPr>
            <w:r>
              <w:rPr>
                <w:rFonts w:hint="eastAsia" w:ascii="仿宋" w:hAnsi="仿宋" w:eastAsia="仿宋" w:cs="仿宋"/>
                <w:sz w:val="21"/>
                <w:szCs w:val="22"/>
              </w:rPr>
              <w:t>树木草坪修剪、浇灌等常规养护</w:t>
            </w:r>
          </w:p>
        </w:tc>
        <w:tc>
          <w:tcPr>
            <w:tcW w:w="1442" w:type="dxa"/>
            <w:tcBorders>
              <w:top w:val="nil"/>
              <w:left w:val="nil"/>
              <w:bottom w:val="single" w:color="auto" w:sz="6" w:space="0"/>
              <w:right w:val="single" w:color="auto" w:sz="6" w:space="0"/>
            </w:tcBorders>
            <w:noWrap w:val="0"/>
            <w:vAlign w:val="center"/>
          </w:tcPr>
          <w:p w14:paraId="05D41F72">
            <w:pPr>
              <w:widowControl w:val="0"/>
              <w:spacing w:line="240" w:lineRule="auto"/>
              <w:rPr>
                <w:rFonts w:ascii="仿宋" w:hAnsi="仿宋" w:eastAsia="仿宋" w:cs="仿宋"/>
                <w:sz w:val="21"/>
                <w:szCs w:val="22"/>
              </w:rPr>
            </w:pPr>
            <w:r>
              <w:rPr>
                <w:rFonts w:hint="eastAsia" w:ascii="仿宋" w:hAnsi="仿宋" w:eastAsia="仿宋" w:cs="仿宋"/>
                <w:sz w:val="21"/>
                <w:szCs w:val="22"/>
              </w:rPr>
              <w:t>每日清理绿化带、草坪、花坛内垃圾、枯枝落叶、杂草</w:t>
            </w:r>
          </w:p>
        </w:tc>
        <w:tc>
          <w:tcPr>
            <w:tcW w:w="1683" w:type="dxa"/>
            <w:tcBorders>
              <w:top w:val="nil"/>
              <w:left w:val="nil"/>
              <w:bottom w:val="single" w:color="auto" w:sz="6" w:space="0"/>
              <w:right w:val="single" w:color="auto" w:sz="6" w:space="0"/>
            </w:tcBorders>
            <w:noWrap w:val="0"/>
            <w:vAlign w:val="center"/>
          </w:tcPr>
          <w:p w14:paraId="3BD87FE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不定时巡视</w:t>
            </w:r>
          </w:p>
        </w:tc>
        <w:tc>
          <w:tcPr>
            <w:tcW w:w="870" w:type="dxa"/>
            <w:tcBorders>
              <w:top w:val="nil"/>
              <w:left w:val="nil"/>
              <w:bottom w:val="single" w:color="auto" w:sz="6" w:space="0"/>
              <w:right w:val="single" w:color="auto" w:sz="6" w:space="0"/>
            </w:tcBorders>
            <w:noWrap w:val="0"/>
            <w:vAlign w:val="center"/>
          </w:tcPr>
          <w:p w14:paraId="11EBBEE6">
            <w:pPr>
              <w:widowControl w:val="0"/>
              <w:spacing w:line="240" w:lineRule="auto"/>
              <w:rPr>
                <w:rFonts w:ascii="仿宋" w:hAnsi="仿宋" w:eastAsia="仿宋" w:cs="仿宋"/>
                <w:sz w:val="21"/>
                <w:szCs w:val="22"/>
              </w:rPr>
            </w:pPr>
            <w:r>
              <w:rPr>
                <w:rFonts w:hint="eastAsia" w:ascii="仿宋" w:hAnsi="仿宋" w:eastAsia="仿宋" w:cs="仿宋"/>
                <w:sz w:val="21"/>
                <w:szCs w:val="22"/>
              </w:rPr>
              <w:t>目视</w:t>
            </w:r>
          </w:p>
        </w:tc>
      </w:tr>
      <w:tr w14:paraId="7B268B25">
        <w:tblPrEx>
          <w:tblCellMar>
            <w:top w:w="0" w:type="dxa"/>
            <w:left w:w="108" w:type="dxa"/>
            <w:bottom w:w="0" w:type="dxa"/>
            <w:right w:w="108" w:type="dxa"/>
          </w:tblCellMar>
        </w:tblPrEx>
        <w:trPr>
          <w:trHeight w:val="469" w:hRule="atLeast"/>
          <w:jc w:val="center"/>
        </w:trPr>
        <w:tc>
          <w:tcPr>
            <w:tcW w:w="593" w:type="dxa"/>
            <w:tcBorders>
              <w:top w:val="nil"/>
              <w:left w:val="single" w:color="auto" w:sz="6" w:space="0"/>
              <w:bottom w:val="single" w:color="auto" w:sz="6" w:space="0"/>
              <w:right w:val="single" w:color="auto" w:sz="6" w:space="0"/>
            </w:tcBorders>
            <w:noWrap w:val="0"/>
            <w:vAlign w:val="center"/>
          </w:tcPr>
          <w:p w14:paraId="3356BF0B">
            <w:pPr>
              <w:widowControl w:val="0"/>
              <w:spacing w:line="240" w:lineRule="auto"/>
              <w:rPr>
                <w:rFonts w:ascii="仿宋" w:hAnsi="仿宋" w:eastAsia="仿宋" w:cs="仿宋"/>
                <w:sz w:val="21"/>
                <w:szCs w:val="22"/>
              </w:rPr>
            </w:pPr>
            <w:r>
              <w:rPr>
                <w:rFonts w:hint="eastAsia" w:ascii="仿宋" w:hAnsi="仿宋" w:eastAsia="仿宋" w:cs="仿宋"/>
                <w:sz w:val="21"/>
                <w:szCs w:val="22"/>
              </w:rPr>
              <w:t>3</w:t>
            </w:r>
          </w:p>
        </w:tc>
        <w:tc>
          <w:tcPr>
            <w:tcW w:w="1317" w:type="dxa"/>
            <w:tcBorders>
              <w:top w:val="nil"/>
              <w:left w:val="nil"/>
              <w:bottom w:val="single" w:color="auto" w:sz="6" w:space="0"/>
              <w:right w:val="single" w:color="auto" w:sz="6" w:space="0"/>
            </w:tcBorders>
            <w:noWrap w:val="0"/>
            <w:vAlign w:val="center"/>
          </w:tcPr>
          <w:p w14:paraId="3D4519F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楼梯扶手</w:t>
            </w:r>
          </w:p>
        </w:tc>
        <w:tc>
          <w:tcPr>
            <w:tcW w:w="2880" w:type="dxa"/>
            <w:tcBorders>
              <w:top w:val="nil"/>
              <w:left w:val="nil"/>
              <w:bottom w:val="single" w:color="auto" w:sz="6" w:space="0"/>
              <w:right w:val="single" w:color="auto" w:sz="6" w:space="0"/>
            </w:tcBorders>
            <w:noWrap w:val="0"/>
            <w:vAlign w:val="center"/>
          </w:tcPr>
          <w:p w14:paraId="3528201A">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无灰尘</w:t>
            </w:r>
          </w:p>
        </w:tc>
        <w:tc>
          <w:tcPr>
            <w:tcW w:w="1442" w:type="dxa"/>
            <w:tcBorders>
              <w:top w:val="nil"/>
              <w:left w:val="nil"/>
              <w:bottom w:val="single" w:color="auto" w:sz="6" w:space="0"/>
              <w:right w:val="single" w:color="auto" w:sz="6" w:space="0"/>
            </w:tcBorders>
            <w:noWrap w:val="0"/>
            <w:vAlign w:val="center"/>
          </w:tcPr>
          <w:p w14:paraId="4628E743">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每天保洁2次</w:t>
            </w:r>
          </w:p>
        </w:tc>
        <w:tc>
          <w:tcPr>
            <w:tcW w:w="1683" w:type="dxa"/>
            <w:tcBorders>
              <w:top w:val="nil"/>
              <w:left w:val="nil"/>
              <w:bottom w:val="single" w:color="auto" w:sz="6" w:space="0"/>
              <w:right w:val="single" w:color="auto" w:sz="6" w:space="0"/>
            </w:tcBorders>
            <w:noWrap w:val="0"/>
            <w:vAlign w:val="center"/>
          </w:tcPr>
          <w:p w14:paraId="6E16806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上、下午各1次保洁</w:t>
            </w:r>
          </w:p>
        </w:tc>
        <w:tc>
          <w:tcPr>
            <w:tcW w:w="870" w:type="dxa"/>
            <w:tcBorders>
              <w:top w:val="nil"/>
              <w:left w:val="nil"/>
              <w:bottom w:val="single" w:color="auto" w:sz="6" w:space="0"/>
              <w:right w:val="single" w:color="auto" w:sz="6" w:space="0"/>
            </w:tcBorders>
            <w:noWrap w:val="0"/>
            <w:vAlign w:val="center"/>
          </w:tcPr>
          <w:p w14:paraId="42697F5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手触</w:t>
            </w:r>
          </w:p>
        </w:tc>
      </w:tr>
      <w:tr w14:paraId="57B32AE6">
        <w:tblPrEx>
          <w:tblCellMar>
            <w:top w:w="0" w:type="dxa"/>
            <w:left w:w="108" w:type="dxa"/>
            <w:bottom w:w="0" w:type="dxa"/>
            <w:right w:w="108" w:type="dxa"/>
          </w:tblCellMar>
        </w:tblPrEx>
        <w:trPr>
          <w:trHeight w:val="469" w:hRule="atLeast"/>
          <w:jc w:val="center"/>
        </w:trPr>
        <w:tc>
          <w:tcPr>
            <w:tcW w:w="593" w:type="dxa"/>
            <w:tcBorders>
              <w:top w:val="nil"/>
              <w:left w:val="single" w:color="auto" w:sz="6" w:space="0"/>
              <w:bottom w:val="single" w:color="auto" w:sz="6" w:space="0"/>
              <w:right w:val="single" w:color="auto" w:sz="6" w:space="0"/>
            </w:tcBorders>
            <w:noWrap w:val="0"/>
            <w:vAlign w:val="center"/>
          </w:tcPr>
          <w:p w14:paraId="00F969E4">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4</w:t>
            </w:r>
          </w:p>
        </w:tc>
        <w:tc>
          <w:tcPr>
            <w:tcW w:w="1317" w:type="dxa"/>
            <w:tcBorders>
              <w:top w:val="nil"/>
              <w:left w:val="nil"/>
              <w:bottom w:val="single" w:color="auto" w:sz="6" w:space="0"/>
              <w:right w:val="single" w:color="auto" w:sz="6" w:space="0"/>
            </w:tcBorders>
            <w:noWrap w:val="0"/>
            <w:vAlign w:val="center"/>
          </w:tcPr>
          <w:p w14:paraId="02892C9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步梯</w:t>
            </w:r>
          </w:p>
        </w:tc>
        <w:tc>
          <w:tcPr>
            <w:tcW w:w="2880" w:type="dxa"/>
            <w:tcBorders>
              <w:top w:val="nil"/>
              <w:left w:val="nil"/>
              <w:bottom w:val="single" w:color="auto" w:sz="6" w:space="0"/>
              <w:right w:val="single" w:color="auto" w:sz="6" w:space="0"/>
            </w:tcBorders>
            <w:noWrap w:val="0"/>
            <w:vAlign w:val="center"/>
          </w:tcPr>
          <w:p w14:paraId="69A8399D">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无污渍、无垃圾、无污渍</w:t>
            </w:r>
          </w:p>
        </w:tc>
        <w:tc>
          <w:tcPr>
            <w:tcW w:w="1442" w:type="dxa"/>
            <w:tcBorders>
              <w:top w:val="nil"/>
              <w:left w:val="nil"/>
              <w:bottom w:val="single" w:color="auto" w:sz="6" w:space="0"/>
              <w:right w:val="single" w:color="auto" w:sz="6" w:space="0"/>
            </w:tcBorders>
            <w:noWrap w:val="0"/>
            <w:vAlign w:val="center"/>
          </w:tcPr>
          <w:p w14:paraId="6799614C">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每周拖2次</w:t>
            </w:r>
          </w:p>
        </w:tc>
        <w:tc>
          <w:tcPr>
            <w:tcW w:w="1683" w:type="dxa"/>
            <w:tcBorders>
              <w:top w:val="nil"/>
              <w:left w:val="nil"/>
              <w:bottom w:val="single" w:color="auto" w:sz="6" w:space="0"/>
              <w:right w:val="single" w:color="auto" w:sz="6" w:space="0"/>
            </w:tcBorders>
            <w:noWrap w:val="0"/>
            <w:vAlign w:val="center"/>
          </w:tcPr>
          <w:p w14:paraId="027C2852">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周一、周四拖洗</w:t>
            </w:r>
          </w:p>
        </w:tc>
        <w:tc>
          <w:tcPr>
            <w:tcW w:w="870" w:type="dxa"/>
            <w:tcBorders>
              <w:top w:val="nil"/>
              <w:left w:val="nil"/>
              <w:bottom w:val="single" w:color="auto" w:sz="6" w:space="0"/>
              <w:right w:val="single" w:color="auto" w:sz="6" w:space="0"/>
            </w:tcBorders>
            <w:noWrap w:val="0"/>
            <w:vAlign w:val="center"/>
          </w:tcPr>
          <w:p w14:paraId="2FE98E7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63DC78AB">
        <w:tblPrEx>
          <w:tblCellMar>
            <w:top w:w="0" w:type="dxa"/>
            <w:left w:w="108" w:type="dxa"/>
            <w:bottom w:w="0" w:type="dxa"/>
            <w:right w:w="108" w:type="dxa"/>
          </w:tblCellMar>
        </w:tblPrEx>
        <w:trPr>
          <w:trHeight w:val="600" w:hRule="atLeast"/>
          <w:jc w:val="center"/>
        </w:trPr>
        <w:tc>
          <w:tcPr>
            <w:tcW w:w="593" w:type="dxa"/>
            <w:tcBorders>
              <w:top w:val="nil"/>
              <w:left w:val="single" w:color="auto" w:sz="6" w:space="0"/>
              <w:bottom w:val="single" w:color="auto" w:sz="6" w:space="0"/>
              <w:right w:val="single" w:color="auto" w:sz="6" w:space="0"/>
            </w:tcBorders>
            <w:noWrap w:val="0"/>
            <w:vAlign w:val="center"/>
          </w:tcPr>
          <w:p w14:paraId="3D2616B1">
            <w:pPr>
              <w:widowControl w:val="0"/>
              <w:spacing w:line="240" w:lineRule="auto"/>
              <w:rPr>
                <w:rFonts w:ascii="仿宋" w:hAnsi="仿宋" w:eastAsia="仿宋" w:cs="仿宋"/>
                <w:sz w:val="21"/>
                <w:szCs w:val="22"/>
              </w:rPr>
            </w:pPr>
            <w:r>
              <w:rPr>
                <w:rFonts w:hint="eastAsia" w:ascii="仿宋" w:hAnsi="仿宋" w:eastAsia="仿宋" w:cs="仿宋"/>
                <w:sz w:val="21"/>
                <w:szCs w:val="22"/>
              </w:rPr>
              <w:t>5</w:t>
            </w:r>
          </w:p>
        </w:tc>
        <w:tc>
          <w:tcPr>
            <w:tcW w:w="1317" w:type="dxa"/>
            <w:tcBorders>
              <w:top w:val="nil"/>
              <w:left w:val="nil"/>
              <w:bottom w:val="single" w:color="auto" w:sz="6" w:space="0"/>
              <w:right w:val="single" w:color="auto" w:sz="6" w:space="0"/>
            </w:tcBorders>
            <w:noWrap w:val="0"/>
            <w:vAlign w:val="center"/>
          </w:tcPr>
          <w:p w14:paraId="4D76529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铁艺</w:t>
            </w:r>
          </w:p>
        </w:tc>
        <w:tc>
          <w:tcPr>
            <w:tcW w:w="2880" w:type="dxa"/>
            <w:tcBorders>
              <w:top w:val="nil"/>
              <w:left w:val="nil"/>
              <w:bottom w:val="single" w:color="auto" w:sz="6" w:space="0"/>
              <w:right w:val="single" w:color="auto" w:sz="6" w:space="0"/>
            </w:tcBorders>
            <w:noWrap w:val="0"/>
            <w:vAlign w:val="center"/>
          </w:tcPr>
          <w:p w14:paraId="0EC6568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无明显灰尘</w:t>
            </w:r>
          </w:p>
        </w:tc>
        <w:tc>
          <w:tcPr>
            <w:tcW w:w="1442" w:type="dxa"/>
            <w:tcBorders>
              <w:top w:val="nil"/>
              <w:left w:val="nil"/>
              <w:bottom w:val="single" w:color="auto" w:sz="6" w:space="0"/>
              <w:right w:val="single" w:color="auto" w:sz="6" w:space="0"/>
            </w:tcBorders>
            <w:noWrap w:val="0"/>
            <w:vAlign w:val="center"/>
          </w:tcPr>
          <w:p w14:paraId="24E98D2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每周2次</w:t>
            </w:r>
          </w:p>
        </w:tc>
        <w:tc>
          <w:tcPr>
            <w:tcW w:w="1683" w:type="dxa"/>
            <w:tcBorders>
              <w:top w:val="nil"/>
              <w:left w:val="nil"/>
              <w:bottom w:val="single" w:color="auto" w:sz="6" w:space="0"/>
              <w:right w:val="single" w:color="auto" w:sz="6" w:space="0"/>
            </w:tcBorders>
            <w:noWrap w:val="0"/>
            <w:vAlign w:val="center"/>
          </w:tcPr>
          <w:p w14:paraId="7B5F69D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每周二、六保洁</w:t>
            </w:r>
          </w:p>
        </w:tc>
        <w:tc>
          <w:tcPr>
            <w:tcW w:w="870" w:type="dxa"/>
            <w:tcBorders>
              <w:top w:val="nil"/>
              <w:left w:val="nil"/>
              <w:bottom w:val="single" w:color="auto" w:sz="6" w:space="0"/>
              <w:right w:val="single" w:color="auto" w:sz="6" w:space="0"/>
            </w:tcBorders>
            <w:noWrap w:val="0"/>
            <w:vAlign w:val="center"/>
          </w:tcPr>
          <w:p w14:paraId="58EB53D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7164B579">
        <w:tblPrEx>
          <w:tblCellMar>
            <w:top w:w="0" w:type="dxa"/>
            <w:left w:w="108" w:type="dxa"/>
            <w:bottom w:w="0" w:type="dxa"/>
            <w:right w:w="108" w:type="dxa"/>
          </w:tblCellMar>
        </w:tblPrEx>
        <w:trPr>
          <w:trHeight w:val="390"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583A922D">
            <w:pPr>
              <w:widowControl w:val="0"/>
              <w:spacing w:line="240" w:lineRule="auto"/>
              <w:rPr>
                <w:rFonts w:ascii="仿宋" w:hAnsi="仿宋" w:eastAsia="仿宋" w:cs="仿宋"/>
                <w:sz w:val="21"/>
                <w:szCs w:val="22"/>
              </w:rPr>
            </w:pPr>
            <w:r>
              <w:rPr>
                <w:rFonts w:hint="eastAsia" w:ascii="仿宋" w:hAnsi="仿宋" w:eastAsia="仿宋" w:cs="仿宋"/>
                <w:sz w:val="21"/>
                <w:szCs w:val="22"/>
              </w:rPr>
              <w:t>6</w:t>
            </w:r>
          </w:p>
        </w:tc>
        <w:tc>
          <w:tcPr>
            <w:tcW w:w="1317" w:type="dxa"/>
            <w:tcBorders>
              <w:top w:val="single" w:color="auto" w:sz="6" w:space="0"/>
              <w:left w:val="nil"/>
              <w:bottom w:val="single" w:color="auto" w:sz="6" w:space="0"/>
              <w:right w:val="single" w:color="auto" w:sz="6" w:space="0"/>
            </w:tcBorders>
            <w:noWrap w:val="0"/>
            <w:vAlign w:val="center"/>
          </w:tcPr>
          <w:p w14:paraId="10496A5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消防栓</w:t>
            </w:r>
          </w:p>
        </w:tc>
        <w:tc>
          <w:tcPr>
            <w:tcW w:w="2880" w:type="dxa"/>
            <w:tcBorders>
              <w:top w:val="single" w:color="auto" w:sz="6" w:space="0"/>
              <w:left w:val="nil"/>
              <w:bottom w:val="single" w:color="auto" w:sz="6" w:space="0"/>
              <w:right w:val="single" w:color="auto" w:sz="6" w:space="0"/>
            </w:tcBorders>
            <w:noWrap w:val="0"/>
            <w:vAlign w:val="center"/>
          </w:tcPr>
          <w:p w14:paraId="498E0BC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无灰尘</w:t>
            </w:r>
          </w:p>
        </w:tc>
        <w:tc>
          <w:tcPr>
            <w:tcW w:w="1442" w:type="dxa"/>
            <w:tcBorders>
              <w:top w:val="single" w:color="auto" w:sz="6" w:space="0"/>
              <w:left w:val="nil"/>
              <w:bottom w:val="single" w:color="auto" w:sz="6" w:space="0"/>
              <w:right w:val="single" w:color="auto" w:sz="6" w:space="0"/>
            </w:tcBorders>
            <w:noWrap w:val="0"/>
            <w:vAlign w:val="center"/>
          </w:tcPr>
          <w:p w14:paraId="4D6E647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每天1次</w:t>
            </w:r>
          </w:p>
        </w:tc>
        <w:tc>
          <w:tcPr>
            <w:tcW w:w="1683" w:type="dxa"/>
            <w:tcBorders>
              <w:top w:val="single" w:color="auto" w:sz="6" w:space="0"/>
              <w:left w:val="nil"/>
              <w:bottom w:val="single" w:color="auto" w:sz="6" w:space="0"/>
              <w:right w:val="single" w:color="auto" w:sz="6" w:space="0"/>
            </w:tcBorders>
            <w:noWrap w:val="0"/>
            <w:vAlign w:val="center"/>
          </w:tcPr>
          <w:p w14:paraId="03FBE93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上午保洁</w:t>
            </w:r>
          </w:p>
        </w:tc>
        <w:tc>
          <w:tcPr>
            <w:tcW w:w="870" w:type="dxa"/>
            <w:tcBorders>
              <w:top w:val="single" w:color="auto" w:sz="6" w:space="0"/>
              <w:left w:val="nil"/>
              <w:bottom w:val="single" w:color="auto" w:sz="6" w:space="0"/>
              <w:right w:val="single" w:color="auto" w:sz="6" w:space="0"/>
            </w:tcBorders>
            <w:noWrap w:val="0"/>
            <w:vAlign w:val="center"/>
          </w:tcPr>
          <w:p w14:paraId="746CA52C">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手摸</w:t>
            </w:r>
          </w:p>
        </w:tc>
      </w:tr>
      <w:tr w14:paraId="09F809DD">
        <w:tblPrEx>
          <w:tblCellMar>
            <w:top w:w="0" w:type="dxa"/>
            <w:left w:w="108" w:type="dxa"/>
            <w:bottom w:w="0" w:type="dxa"/>
            <w:right w:w="108" w:type="dxa"/>
          </w:tblCellMar>
        </w:tblPrEx>
        <w:trPr>
          <w:trHeight w:val="469" w:hRule="atLeast"/>
          <w:jc w:val="center"/>
        </w:trPr>
        <w:tc>
          <w:tcPr>
            <w:tcW w:w="593" w:type="dxa"/>
            <w:tcBorders>
              <w:top w:val="nil"/>
              <w:left w:val="single" w:color="auto" w:sz="6" w:space="0"/>
              <w:bottom w:val="single" w:color="auto" w:sz="6" w:space="0"/>
              <w:right w:val="single" w:color="auto" w:sz="6" w:space="0"/>
            </w:tcBorders>
            <w:noWrap w:val="0"/>
            <w:vAlign w:val="center"/>
          </w:tcPr>
          <w:p w14:paraId="7FE833D0">
            <w:pPr>
              <w:widowControl w:val="0"/>
              <w:spacing w:line="240" w:lineRule="auto"/>
              <w:rPr>
                <w:rFonts w:ascii="仿宋" w:hAnsi="仿宋" w:eastAsia="仿宋" w:cs="仿宋"/>
                <w:sz w:val="21"/>
                <w:szCs w:val="22"/>
              </w:rPr>
            </w:pPr>
            <w:r>
              <w:rPr>
                <w:rFonts w:hint="eastAsia" w:ascii="仿宋" w:hAnsi="仿宋" w:eastAsia="仿宋" w:cs="仿宋"/>
                <w:sz w:val="21"/>
                <w:szCs w:val="22"/>
              </w:rPr>
              <w:t>7</w:t>
            </w:r>
          </w:p>
        </w:tc>
        <w:tc>
          <w:tcPr>
            <w:tcW w:w="1317" w:type="dxa"/>
            <w:tcBorders>
              <w:top w:val="nil"/>
              <w:left w:val="nil"/>
              <w:bottom w:val="single" w:color="auto" w:sz="6" w:space="0"/>
              <w:right w:val="single" w:color="auto" w:sz="6" w:space="0"/>
            </w:tcBorders>
            <w:noWrap w:val="0"/>
            <w:vAlign w:val="center"/>
          </w:tcPr>
          <w:p w14:paraId="77A8938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垃圾箱外表</w:t>
            </w:r>
          </w:p>
        </w:tc>
        <w:tc>
          <w:tcPr>
            <w:tcW w:w="2880" w:type="dxa"/>
            <w:tcBorders>
              <w:top w:val="nil"/>
              <w:left w:val="nil"/>
              <w:bottom w:val="single" w:color="auto" w:sz="6" w:space="0"/>
              <w:right w:val="single" w:color="auto" w:sz="6" w:space="0"/>
            </w:tcBorders>
            <w:noWrap w:val="0"/>
            <w:vAlign w:val="center"/>
          </w:tcPr>
          <w:p w14:paraId="369E426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无明显灰尘、无污渍</w:t>
            </w:r>
          </w:p>
        </w:tc>
        <w:tc>
          <w:tcPr>
            <w:tcW w:w="1442" w:type="dxa"/>
            <w:tcBorders>
              <w:top w:val="nil"/>
              <w:left w:val="nil"/>
              <w:bottom w:val="single" w:color="auto" w:sz="6" w:space="0"/>
              <w:right w:val="single" w:color="auto" w:sz="6" w:space="0"/>
            </w:tcBorders>
            <w:noWrap w:val="0"/>
            <w:vAlign w:val="center"/>
          </w:tcPr>
          <w:p w14:paraId="56812A26">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每天2次</w:t>
            </w:r>
          </w:p>
        </w:tc>
        <w:tc>
          <w:tcPr>
            <w:tcW w:w="1683" w:type="dxa"/>
            <w:tcBorders>
              <w:top w:val="nil"/>
              <w:left w:val="nil"/>
              <w:bottom w:val="single" w:color="auto" w:sz="6" w:space="0"/>
              <w:right w:val="single" w:color="auto" w:sz="6" w:space="0"/>
            </w:tcBorders>
            <w:noWrap w:val="0"/>
            <w:vAlign w:val="center"/>
          </w:tcPr>
          <w:p w14:paraId="60F67D9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上、下午各保洁1次</w:t>
            </w:r>
          </w:p>
        </w:tc>
        <w:tc>
          <w:tcPr>
            <w:tcW w:w="870" w:type="dxa"/>
            <w:tcBorders>
              <w:top w:val="nil"/>
              <w:left w:val="nil"/>
              <w:bottom w:val="single" w:color="auto" w:sz="6" w:space="0"/>
              <w:right w:val="single" w:color="auto" w:sz="6" w:space="0"/>
            </w:tcBorders>
            <w:noWrap w:val="0"/>
            <w:vAlign w:val="center"/>
          </w:tcPr>
          <w:p w14:paraId="6F8D6CB2">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31B0DC0A">
        <w:tblPrEx>
          <w:tblCellMar>
            <w:top w:w="0" w:type="dxa"/>
            <w:left w:w="108" w:type="dxa"/>
            <w:bottom w:w="0" w:type="dxa"/>
            <w:right w:w="108" w:type="dxa"/>
          </w:tblCellMar>
        </w:tblPrEx>
        <w:trPr>
          <w:trHeight w:val="1005" w:hRule="atLeast"/>
          <w:jc w:val="center"/>
        </w:trPr>
        <w:tc>
          <w:tcPr>
            <w:tcW w:w="593" w:type="dxa"/>
            <w:tcBorders>
              <w:top w:val="nil"/>
              <w:left w:val="single" w:color="auto" w:sz="6" w:space="0"/>
              <w:bottom w:val="single" w:color="auto" w:sz="6" w:space="0"/>
              <w:right w:val="single" w:color="auto" w:sz="6" w:space="0"/>
            </w:tcBorders>
            <w:noWrap w:val="0"/>
            <w:vAlign w:val="center"/>
          </w:tcPr>
          <w:p w14:paraId="2FFF02F6">
            <w:pPr>
              <w:widowControl w:val="0"/>
              <w:spacing w:line="240" w:lineRule="auto"/>
              <w:rPr>
                <w:rFonts w:ascii="仿宋" w:hAnsi="仿宋" w:eastAsia="仿宋" w:cs="仿宋"/>
                <w:sz w:val="21"/>
                <w:szCs w:val="22"/>
              </w:rPr>
            </w:pPr>
            <w:r>
              <w:rPr>
                <w:rFonts w:hint="eastAsia" w:ascii="仿宋" w:hAnsi="仿宋" w:eastAsia="仿宋" w:cs="仿宋"/>
                <w:sz w:val="21"/>
                <w:szCs w:val="22"/>
              </w:rPr>
              <w:t>8</w:t>
            </w:r>
          </w:p>
        </w:tc>
        <w:tc>
          <w:tcPr>
            <w:tcW w:w="1317" w:type="dxa"/>
            <w:tcBorders>
              <w:top w:val="nil"/>
              <w:left w:val="nil"/>
              <w:bottom w:val="single" w:color="auto" w:sz="6" w:space="0"/>
              <w:right w:val="single" w:color="auto" w:sz="6" w:space="0"/>
            </w:tcBorders>
            <w:noWrap w:val="0"/>
            <w:vAlign w:val="center"/>
          </w:tcPr>
          <w:p w14:paraId="3B80AAB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垃圾箱内胆</w:t>
            </w:r>
          </w:p>
        </w:tc>
        <w:tc>
          <w:tcPr>
            <w:tcW w:w="2880" w:type="dxa"/>
            <w:tcBorders>
              <w:top w:val="nil"/>
              <w:left w:val="nil"/>
              <w:bottom w:val="single" w:color="auto" w:sz="6" w:space="0"/>
              <w:right w:val="single" w:color="auto" w:sz="6" w:space="0"/>
            </w:tcBorders>
            <w:noWrap w:val="0"/>
            <w:vAlign w:val="center"/>
          </w:tcPr>
          <w:p w14:paraId="2425D4EC">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清理及时、周围无污渍、无积水</w:t>
            </w:r>
          </w:p>
        </w:tc>
        <w:tc>
          <w:tcPr>
            <w:tcW w:w="1442" w:type="dxa"/>
            <w:tcBorders>
              <w:top w:val="nil"/>
              <w:left w:val="nil"/>
              <w:bottom w:val="single" w:color="auto" w:sz="6" w:space="0"/>
              <w:right w:val="single" w:color="auto" w:sz="6" w:space="0"/>
            </w:tcBorders>
            <w:noWrap w:val="0"/>
            <w:vAlign w:val="center"/>
          </w:tcPr>
          <w:p w14:paraId="2BFB5EC3">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夏季每周刷1次，冬季每半月1次</w:t>
            </w:r>
          </w:p>
        </w:tc>
        <w:tc>
          <w:tcPr>
            <w:tcW w:w="1683" w:type="dxa"/>
            <w:tcBorders>
              <w:top w:val="nil"/>
              <w:left w:val="nil"/>
              <w:bottom w:val="single" w:color="auto" w:sz="6" w:space="0"/>
              <w:right w:val="single" w:color="auto" w:sz="6" w:space="0"/>
            </w:tcBorders>
            <w:noWrap w:val="0"/>
            <w:vAlign w:val="center"/>
          </w:tcPr>
          <w:p w14:paraId="0B015694">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夏季每周五保洁，冬季每月15号保洁</w:t>
            </w:r>
          </w:p>
        </w:tc>
        <w:tc>
          <w:tcPr>
            <w:tcW w:w="870" w:type="dxa"/>
            <w:tcBorders>
              <w:top w:val="nil"/>
              <w:left w:val="nil"/>
              <w:bottom w:val="single" w:color="auto" w:sz="6" w:space="0"/>
              <w:right w:val="single" w:color="auto" w:sz="6" w:space="0"/>
            </w:tcBorders>
            <w:noWrap w:val="0"/>
            <w:vAlign w:val="center"/>
          </w:tcPr>
          <w:p w14:paraId="0B72AFE5">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750350A7">
        <w:tblPrEx>
          <w:tblCellMar>
            <w:top w:w="0" w:type="dxa"/>
            <w:left w:w="108" w:type="dxa"/>
            <w:bottom w:w="0" w:type="dxa"/>
            <w:right w:w="108" w:type="dxa"/>
          </w:tblCellMar>
        </w:tblPrEx>
        <w:trPr>
          <w:trHeight w:val="840" w:hRule="atLeast"/>
          <w:jc w:val="center"/>
        </w:trPr>
        <w:tc>
          <w:tcPr>
            <w:tcW w:w="593" w:type="dxa"/>
            <w:tcBorders>
              <w:top w:val="nil"/>
              <w:left w:val="single" w:color="auto" w:sz="6" w:space="0"/>
              <w:bottom w:val="single" w:color="auto" w:sz="4" w:space="0"/>
              <w:right w:val="single" w:color="auto" w:sz="6" w:space="0"/>
            </w:tcBorders>
            <w:noWrap w:val="0"/>
            <w:vAlign w:val="center"/>
          </w:tcPr>
          <w:p w14:paraId="21F75667">
            <w:pPr>
              <w:widowControl w:val="0"/>
              <w:spacing w:line="240" w:lineRule="auto"/>
              <w:rPr>
                <w:rFonts w:ascii="仿宋" w:hAnsi="仿宋" w:eastAsia="仿宋" w:cs="仿宋"/>
                <w:sz w:val="21"/>
                <w:szCs w:val="22"/>
              </w:rPr>
            </w:pPr>
            <w:r>
              <w:rPr>
                <w:rFonts w:hint="eastAsia" w:ascii="仿宋" w:hAnsi="仿宋" w:eastAsia="仿宋" w:cs="仿宋"/>
                <w:sz w:val="21"/>
                <w:szCs w:val="22"/>
              </w:rPr>
              <w:t>9</w:t>
            </w:r>
          </w:p>
        </w:tc>
        <w:tc>
          <w:tcPr>
            <w:tcW w:w="1317" w:type="dxa"/>
            <w:tcBorders>
              <w:top w:val="nil"/>
              <w:left w:val="nil"/>
              <w:bottom w:val="single" w:color="auto" w:sz="4" w:space="0"/>
              <w:right w:val="single" w:color="auto" w:sz="6" w:space="0"/>
            </w:tcBorders>
            <w:noWrap w:val="0"/>
            <w:vAlign w:val="center"/>
          </w:tcPr>
          <w:p w14:paraId="6144A3B4">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外墙下部</w:t>
            </w:r>
          </w:p>
        </w:tc>
        <w:tc>
          <w:tcPr>
            <w:tcW w:w="2880" w:type="dxa"/>
            <w:tcBorders>
              <w:top w:val="nil"/>
              <w:left w:val="nil"/>
              <w:bottom w:val="single" w:color="auto" w:sz="4" w:space="0"/>
              <w:right w:val="single" w:color="auto" w:sz="6" w:space="0"/>
            </w:tcBorders>
            <w:noWrap w:val="0"/>
            <w:vAlign w:val="center"/>
          </w:tcPr>
          <w:p w14:paraId="72796B0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无明显灰尘、无广告、无蜘蛛网</w:t>
            </w:r>
          </w:p>
        </w:tc>
        <w:tc>
          <w:tcPr>
            <w:tcW w:w="1442" w:type="dxa"/>
            <w:tcBorders>
              <w:top w:val="nil"/>
              <w:left w:val="nil"/>
              <w:bottom w:val="single" w:color="auto" w:sz="4" w:space="0"/>
              <w:right w:val="single" w:color="auto" w:sz="6" w:space="0"/>
            </w:tcBorders>
            <w:noWrap w:val="0"/>
            <w:vAlign w:val="center"/>
          </w:tcPr>
          <w:p w14:paraId="3C075B3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每月1次（雨后必保洁）</w:t>
            </w:r>
          </w:p>
        </w:tc>
        <w:tc>
          <w:tcPr>
            <w:tcW w:w="1683" w:type="dxa"/>
            <w:tcBorders>
              <w:top w:val="nil"/>
              <w:left w:val="nil"/>
              <w:bottom w:val="single" w:color="auto" w:sz="4" w:space="0"/>
              <w:right w:val="single" w:color="auto" w:sz="6" w:space="0"/>
            </w:tcBorders>
            <w:noWrap w:val="0"/>
            <w:vAlign w:val="center"/>
          </w:tcPr>
          <w:p w14:paraId="49413AB2">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每月15 -30日保洁</w:t>
            </w:r>
          </w:p>
        </w:tc>
        <w:tc>
          <w:tcPr>
            <w:tcW w:w="870" w:type="dxa"/>
            <w:tcBorders>
              <w:top w:val="nil"/>
              <w:left w:val="nil"/>
              <w:bottom w:val="single" w:color="auto" w:sz="4" w:space="0"/>
              <w:right w:val="single" w:color="auto" w:sz="6" w:space="0"/>
            </w:tcBorders>
            <w:noWrap w:val="0"/>
            <w:vAlign w:val="center"/>
          </w:tcPr>
          <w:p w14:paraId="11936D5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抽查</w:t>
            </w:r>
          </w:p>
        </w:tc>
      </w:tr>
      <w:tr w14:paraId="331E3EF2">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2B45F4FB">
            <w:pPr>
              <w:widowControl w:val="0"/>
              <w:spacing w:line="240" w:lineRule="auto"/>
              <w:rPr>
                <w:rFonts w:ascii="仿宋" w:hAnsi="仿宋" w:eastAsia="仿宋" w:cs="仿宋"/>
                <w:sz w:val="21"/>
                <w:szCs w:val="22"/>
              </w:rPr>
            </w:pPr>
            <w:r>
              <w:rPr>
                <w:rFonts w:hint="eastAsia" w:ascii="仿宋" w:hAnsi="仿宋" w:eastAsia="仿宋" w:cs="仿宋"/>
                <w:sz w:val="21"/>
                <w:szCs w:val="22"/>
              </w:rPr>
              <w:t>10</w:t>
            </w:r>
          </w:p>
        </w:tc>
        <w:tc>
          <w:tcPr>
            <w:tcW w:w="1317" w:type="dxa"/>
            <w:tcBorders>
              <w:top w:val="single" w:color="auto" w:sz="6" w:space="0"/>
              <w:left w:val="nil"/>
              <w:bottom w:val="single" w:color="auto" w:sz="6" w:space="0"/>
              <w:right w:val="single" w:color="auto" w:sz="6" w:space="0"/>
            </w:tcBorders>
            <w:noWrap w:val="0"/>
            <w:vAlign w:val="top"/>
          </w:tcPr>
          <w:p w14:paraId="51478EF5">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休闲凳</w:t>
            </w:r>
          </w:p>
        </w:tc>
        <w:tc>
          <w:tcPr>
            <w:tcW w:w="2880" w:type="dxa"/>
            <w:tcBorders>
              <w:top w:val="single" w:color="auto" w:sz="6" w:space="0"/>
              <w:left w:val="nil"/>
              <w:bottom w:val="single" w:color="auto" w:sz="6" w:space="0"/>
              <w:right w:val="single" w:color="auto" w:sz="6" w:space="0"/>
            </w:tcBorders>
            <w:noWrap w:val="0"/>
            <w:vAlign w:val="top"/>
          </w:tcPr>
          <w:p w14:paraId="6A14195A">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用纸巾搽拭无明显灰尘</w:t>
            </w:r>
          </w:p>
        </w:tc>
        <w:tc>
          <w:tcPr>
            <w:tcW w:w="1442" w:type="dxa"/>
            <w:tcBorders>
              <w:top w:val="single" w:color="auto" w:sz="6" w:space="0"/>
              <w:left w:val="nil"/>
              <w:bottom w:val="single" w:color="auto" w:sz="6" w:space="0"/>
              <w:right w:val="single" w:color="auto" w:sz="6" w:space="0"/>
            </w:tcBorders>
            <w:noWrap w:val="0"/>
            <w:vAlign w:val="top"/>
          </w:tcPr>
          <w:p w14:paraId="6DD1FEF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每天保洁4次以上</w:t>
            </w:r>
          </w:p>
        </w:tc>
        <w:tc>
          <w:tcPr>
            <w:tcW w:w="1683" w:type="dxa"/>
            <w:tcBorders>
              <w:top w:val="single" w:color="auto" w:sz="6" w:space="0"/>
              <w:left w:val="nil"/>
              <w:bottom w:val="single" w:color="auto" w:sz="6" w:space="0"/>
              <w:right w:val="single" w:color="auto" w:sz="6" w:space="0"/>
            </w:tcBorders>
            <w:noWrap w:val="0"/>
            <w:vAlign w:val="top"/>
          </w:tcPr>
          <w:p w14:paraId="1AB39DBA">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上、下午各两次以上</w:t>
            </w:r>
          </w:p>
        </w:tc>
        <w:tc>
          <w:tcPr>
            <w:tcW w:w="870" w:type="dxa"/>
            <w:tcBorders>
              <w:top w:val="single" w:color="auto" w:sz="6" w:space="0"/>
              <w:left w:val="nil"/>
              <w:bottom w:val="single" w:color="auto" w:sz="6" w:space="0"/>
              <w:right w:val="single" w:color="auto" w:sz="6" w:space="0"/>
            </w:tcBorders>
            <w:noWrap w:val="0"/>
            <w:vAlign w:val="center"/>
          </w:tcPr>
          <w:p w14:paraId="7F2F447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466AC6E7">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3682A0E4">
            <w:pPr>
              <w:widowControl w:val="0"/>
              <w:spacing w:line="240" w:lineRule="auto"/>
              <w:rPr>
                <w:rFonts w:ascii="仿宋" w:hAnsi="仿宋" w:eastAsia="仿宋" w:cs="仿宋"/>
                <w:sz w:val="21"/>
                <w:szCs w:val="22"/>
              </w:rPr>
            </w:pPr>
            <w:r>
              <w:rPr>
                <w:rFonts w:hint="eastAsia" w:ascii="仿宋" w:hAnsi="仿宋" w:eastAsia="仿宋" w:cs="仿宋"/>
                <w:sz w:val="21"/>
                <w:szCs w:val="22"/>
              </w:rPr>
              <w:t>11</w:t>
            </w:r>
          </w:p>
        </w:tc>
        <w:tc>
          <w:tcPr>
            <w:tcW w:w="1317" w:type="dxa"/>
            <w:tcBorders>
              <w:top w:val="single" w:color="auto" w:sz="6" w:space="0"/>
              <w:left w:val="nil"/>
              <w:bottom w:val="single" w:color="auto" w:sz="6" w:space="0"/>
              <w:right w:val="single" w:color="auto" w:sz="6" w:space="0"/>
            </w:tcBorders>
            <w:noWrap w:val="0"/>
            <w:vAlign w:val="top"/>
          </w:tcPr>
          <w:p w14:paraId="498DCCF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（草坪内）青石板</w:t>
            </w:r>
          </w:p>
        </w:tc>
        <w:tc>
          <w:tcPr>
            <w:tcW w:w="2880" w:type="dxa"/>
            <w:tcBorders>
              <w:top w:val="single" w:color="auto" w:sz="6" w:space="0"/>
              <w:left w:val="nil"/>
              <w:bottom w:val="single" w:color="auto" w:sz="6" w:space="0"/>
              <w:right w:val="single" w:color="auto" w:sz="6" w:space="0"/>
            </w:tcBorders>
            <w:noWrap w:val="0"/>
            <w:vAlign w:val="top"/>
          </w:tcPr>
          <w:p w14:paraId="6D7BEFA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无垃圾、无积水、无污迹、无明显灰尘</w:t>
            </w:r>
          </w:p>
        </w:tc>
        <w:tc>
          <w:tcPr>
            <w:tcW w:w="1442" w:type="dxa"/>
            <w:tcBorders>
              <w:top w:val="single" w:color="auto" w:sz="6" w:space="0"/>
              <w:left w:val="nil"/>
              <w:bottom w:val="single" w:color="auto" w:sz="6" w:space="0"/>
              <w:right w:val="single" w:color="auto" w:sz="6" w:space="0"/>
            </w:tcBorders>
            <w:noWrap w:val="0"/>
            <w:vAlign w:val="top"/>
          </w:tcPr>
          <w:p w14:paraId="227AD75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每天保洁1次以上</w:t>
            </w:r>
          </w:p>
        </w:tc>
        <w:tc>
          <w:tcPr>
            <w:tcW w:w="1683" w:type="dxa"/>
            <w:tcBorders>
              <w:top w:val="single" w:color="auto" w:sz="6" w:space="0"/>
              <w:left w:val="nil"/>
              <w:bottom w:val="single" w:color="auto" w:sz="6" w:space="0"/>
              <w:right w:val="single" w:color="auto" w:sz="6" w:space="0"/>
            </w:tcBorders>
            <w:noWrap w:val="0"/>
            <w:vAlign w:val="top"/>
          </w:tcPr>
          <w:p w14:paraId="51CE703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上午拖一次</w:t>
            </w:r>
          </w:p>
        </w:tc>
        <w:tc>
          <w:tcPr>
            <w:tcW w:w="870" w:type="dxa"/>
            <w:tcBorders>
              <w:top w:val="single" w:color="auto" w:sz="6" w:space="0"/>
              <w:left w:val="nil"/>
              <w:bottom w:val="single" w:color="auto" w:sz="6" w:space="0"/>
              <w:right w:val="single" w:color="auto" w:sz="6" w:space="0"/>
            </w:tcBorders>
            <w:noWrap w:val="0"/>
            <w:vAlign w:val="center"/>
          </w:tcPr>
          <w:p w14:paraId="36F0C72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7823F303">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398A9C3A">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12</w:t>
            </w:r>
          </w:p>
        </w:tc>
        <w:tc>
          <w:tcPr>
            <w:tcW w:w="1317" w:type="dxa"/>
            <w:tcBorders>
              <w:top w:val="single" w:color="auto" w:sz="6" w:space="0"/>
              <w:left w:val="nil"/>
              <w:bottom w:val="single" w:color="auto" w:sz="6" w:space="0"/>
              <w:right w:val="single" w:color="auto" w:sz="6" w:space="0"/>
            </w:tcBorders>
            <w:noWrap w:val="0"/>
            <w:vAlign w:val="top"/>
          </w:tcPr>
          <w:p w14:paraId="42AA9CB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草坪灯、射灯、地灯、灯柱低处</w:t>
            </w:r>
          </w:p>
        </w:tc>
        <w:tc>
          <w:tcPr>
            <w:tcW w:w="2880" w:type="dxa"/>
            <w:tcBorders>
              <w:top w:val="single" w:color="auto" w:sz="6" w:space="0"/>
              <w:left w:val="nil"/>
              <w:bottom w:val="single" w:color="auto" w:sz="6" w:space="0"/>
              <w:right w:val="single" w:color="auto" w:sz="6" w:space="0"/>
            </w:tcBorders>
            <w:noWrap w:val="0"/>
            <w:vAlign w:val="top"/>
          </w:tcPr>
          <w:p w14:paraId="4F037AD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无污迹、无明显灰尘、无乱张帖</w:t>
            </w:r>
          </w:p>
        </w:tc>
        <w:tc>
          <w:tcPr>
            <w:tcW w:w="1442" w:type="dxa"/>
            <w:tcBorders>
              <w:top w:val="single" w:color="auto" w:sz="6" w:space="0"/>
              <w:left w:val="nil"/>
              <w:bottom w:val="single" w:color="auto" w:sz="6" w:space="0"/>
              <w:right w:val="single" w:color="auto" w:sz="6" w:space="0"/>
            </w:tcBorders>
            <w:noWrap w:val="0"/>
            <w:vAlign w:val="top"/>
          </w:tcPr>
          <w:p w14:paraId="7F223DD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 xml:space="preserve">微湿抹布每天保洁1次 </w:t>
            </w:r>
          </w:p>
        </w:tc>
        <w:tc>
          <w:tcPr>
            <w:tcW w:w="1683" w:type="dxa"/>
            <w:tcBorders>
              <w:top w:val="single" w:color="auto" w:sz="6" w:space="0"/>
              <w:left w:val="nil"/>
              <w:bottom w:val="single" w:color="auto" w:sz="6" w:space="0"/>
              <w:right w:val="single" w:color="auto" w:sz="6" w:space="0"/>
            </w:tcBorders>
            <w:noWrap w:val="0"/>
            <w:vAlign w:val="center"/>
          </w:tcPr>
          <w:p w14:paraId="23C0017A">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每天上午</w:t>
            </w:r>
          </w:p>
        </w:tc>
        <w:tc>
          <w:tcPr>
            <w:tcW w:w="870" w:type="dxa"/>
            <w:tcBorders>
              <w:top w:val="single" w:color="auto" w:sz="6" w:space="0"/>
              <w:left w:val="nil"/>
              <w:bottom w:val="single" w:color="auto" w:sz="6" w:space="0"/>
              <w:right w:val="single" w:color="auto" w:sz="6" w:space="0"/>
            </w:tcBorders>
            <w:noWrap w:val="0"/>
            <w:vAlign w:val="center"/>
          </w:tcPr>
          <w:p w14:paraId="47AB233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254D63E1">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71DFCCA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13</w:t>
            </w:r>
          </w:p>
        </w:tc>
        <w:tc>
          <w:tcPr>
            <w:tcW w:w="1317" w:type="dxa"/>
            <w:tcBorders>
              <w:top w:val="single" w:color="auto" w:sz="6" w:space="0"/>
              <w:left w:val="nil"/>
              <w:bottom w:val="single" w:color="auto" w:sz="6" w:space="0"/>
              <w:right w:val="single" w:color="auto" w:sz="6" w:space="0"/>
            </w:tcBorders>
            <w:noWrap w:val="0"/>
            <w:vAlign w:val="center"/>
          </w:tcPr>
          <w:p w14:paraId="6A7D7413">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灯柱高处</w:t>
            </w:r>
          </w:p>
        </w:tc>
        <w:tc>
          <w:tcPr>
            <w:tcW w:w="2880" w:type="dxa"/>
            <w:tcBorders>
              <w:top w:val="single" w:color="auto" w:sz="6" w:space="0"/>
              <w:left w:val="nil"/>
              <w:bottom w:val="single" w:color="auto" w:sz="6" w:space="0"/>
              <w:right w:val="single" w:color="auto" w:sz="6" w:space="0"/>
            </w:tcBorders>
            <w:noWrap w:val="0"/>
            <w:vAlign w:val="center"/>
          </w:tcPr>
          <w:p w14:paraId="5D1DD495">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无污迹、无明显灰尘、无蜘蛛网</w:t>
            </w:r>
          </w:p>
        </w:tc>
        <w:tc>
          <w:tcPr>
            <w:tcW w:w="1442" w:type="dxa"/>
            <w:tcBorders>
              <w:top w:val="single" w:color="auto" w:sz="6" w:space="0"/>
              <w:left w:val="nil"/>
              <w:bottom w:val="single" w:color="auto" w:sz="6" w:space="0"/>
              <w:right w:val="single" w:color="auto" w:sz="6" w:space="0"/>
            </w:tcBorders>
            <w:noWrap w:val="0"/>
            <w:vAlign w:val="center"/>
          </w:tcPr>
          <w:p w14:paraId="7C498B9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（区域）每月1次</w:t>
            </w:r>
          </w:p>
        </w:tc>
        <w:tc>
          <w:tcPr>
            <w:tcW w:w="1683" w:type="dxa"/>
            <w:tcBorders>
              <w:top w:val="single" w:color="auto" w:sz="6" w:space="0"/>
              <w:left w:val="nil"/>
              <w:bottom w:val="single" w:color="auto" w:sz="6" w:space="0"/>
              <w:right w:val="single" w:color="auto" w:sz="6" w:space="0"/>
            </w:tcBorders>
            <w:noWrap w:val="0"/>
            <w:vAlign w:val="center"/>
          </w:tcPr>
          <w:p w14:paraId="29945754">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每月20-30号保洁</w:t>
            </w:r>
          </w:p>
        </w:tc>
        <w:tc>
          <w:tcPr>
            <w:tcW w:w="870" w:type="dxa"/>
            <w:tcBorders>
              <w:top w:val="single" w:color="auto" w:sz="6" w:space="0"/>
              <w:left w:val="nil"/>
              <w:bottom w:val="single" w:color="auto" w:sz="6" w:space="0"/>
              <w:right w:val="single" w:color="auto" w:sz="6" w:space="0"/>
            </w:tcBorders>
            <w:noWrap w:val="0"/>
            <w:vAlign w:val="center"/>
          </w:tcPr>
          <w:p w14:paraId="4253C172">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6588A0DF">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7511A5B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14</w:t>
            </w:r>
          </w:p>
        </w:tc>
        <w:tc>
          <w:tcPr>
            <w:tcW w:w="1317" w:type="dxa"/>
            <w:tcBorders>
              <w:top w:val="single" w:color="auto" w:sz="6" w:space="0"/>
              <w:left w:val="nil"/>
              <w:bottom w:val="single" w:color="auto" w:sz="6" w:space="0"/>
              <w:right w:val="single" w:color="auto" w:sz="6" w:space="0"/>
            </w:tcBorders>
            <w:noWrap w:val="0"/>
            <w:vAlign w:val="center"/>
          </w:tcPr>
          <w:p w14:paraId="02C64DEA">
            <w:pPr>
              <w:widowControl w:val="0"/>
              <w:spacing w:line="240" w:lineRule="auto"/>
              <w:rPr>
                <w:rFonts w:ascii="仿宋" w:hAnsi="仿宋" w:eastAsia="仿宋" w:cs="仿宋"/>
                <w:sz w:val="21"/>
                <w:szCs w:val="22"/>
              </w:rPr>
            </w:pPr>
            <w:r>
              <w:rPr>
                <w:rFonts w:hint="eastAsia" w:ascii="仿宋" w:hAnsi="仿宋" w:eastAsia="仿宋" w:cs="仿宋"/>
                <w:sz w:val="21"/>
                <w:szCs w:val="22"/>
              </w:rPr>
              <w:t>道路、广场、游步道</w:t>
            </w:r>
          </w:p>
        </w:tc>
        <w:tc>
          <w:tcPr>
            <w:tcW w:w="2880" w:type="dxa"/>
            <w:tcBorders>
              <w:top w:val="single" w:color="auto" w:sz="6" w:space="0"/>
              <w:left w:val="nil"/>
              <w:bottom w:val="single" w:color="auto" w:sz="6" w:space="0"/>
              <w:right w:val="single" w:color="auto" w:sz="6" w:space="0"/>
            </w:tcBorders>
            <w:noWrap w:val="0"/>
            <w:vAlign w:val="center"/>
          </w:tcPr>
          <w:p w14:paraId="47EDC8B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无污迹、无明显灰尘、无乱张帖</w:t>
            </w:r>
          </w:p>
        </w:tc>
        <w:tc>
          <w:tcPr>
            <w:tcW w:w="1442" w:type="dxa"/>
            <w:tcBorders>
              <w:top w:val="single" w:color="auto" w:sz="6" w:space="0"/>
              <w:left w:val="nil"/>
              <w:bottom w:val="single" w:color="auto" w:sz="6" w:space="0"/>
              <w:right w:val="single" w:color="auto" w:sz="6" w:space="0"/>
            </w:tcBorders>
            <w:noWrap w:val="0"/>
            <w:vAlign w:val="center"/>
          </w:tcPr>
          <w:p w14:paraId="58AC752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每天4次以上，浇花后必保洁</w:t>
            </w:r>
          </w:p>
        </w:tc>
        <w:tc>
          <w:tcPr>
            <w:tcW w:w="1683" w:type="dxa"/>
            <w:tcBorders>
              <w:top w:val="single" w:color="auto" w:sz="6" w:space="0"/>
              <w:left w:val="nil"/>
              <w:bottom w:val="single" w:color="auto" w:sz="6" w:space="0"/>
              <w:right w:val="single" w:color="auto" w:sz="6" w:space="0"/>
            </w:tcBorders>
            <w:noWrap w:val="0"/>
            <w:vAlign w:val="center"/>
          </w:tcPr>
          <w:p w14:paraId="2CB5234B">
            <w:pPr>
              <w:widowControl w:val="0"/>
              <w:spacing w:line="240" w:lineRule="auto"/>
              <w:rPr>
                <w:rFonts w:ascii="仿宋" w:hAnsi="仿宋" w:eastAsia="仿宋" w:cs="仿宋"/>
                <w:sz w:val="21"/>
                <w:szCs w:val="22"/>
              </w:rPr>
            </w:pPr>
            <w:r>
              <w:rPr>
                <w:rFonts w:hint="eastAsia" w:ascii="仿宋" w:hAnsi="仿宋" w:eastAsia="仿宋" w:cs="仿宋"/>
                <w:sz w:val="21"/>
                <w:szCs w:val="22"/>
              </w:rPr>
              <w:t>上、下午各保洁2次，巡回保洁不间断</w:t>
            </w:r>
          </w:p>
        </w:tc>
        <w:tc>
          <w:tcPr>
            <w:tcW w:w="870" w:type="dxa"/>
            <w:tcBorders>
              <w:top w:val="single" w:color="auto" w:sz="6" w:space="0"/>
              <w:left w:val="nil"/>
              <w:bottom w:val="single" w:color="auto" w:sz="6" w:space="0"/>
              <w:right w:val="single" w:color="auto" w:sz="6" w:space="0"/>
            </w:tcBorders>
            <w:noWrap w:val="0"/>
            <w:vAlign w:val="center"/>
          </w:tcPr>
          <w:p w14:paraId="5BD993C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手触</w:t>
            </w:r>
          </w:p>
        </w:tc>
      </w:tr>
      <w:tr w14:paraId="7BFF3248">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19F44538">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15</w:t>
            </w:r>
          </w:p>
        </w:tc>
        <w:tc>
          <w:tcPr>
            <w:tcW w:w="1317" w:type="dxa"/>
            <w:tcBorders>
              <w:top w:val="single" w:color="auto" w:sz="6" w:space="0"/>
              <w:left w:val="nil"/>
              <w:bottom w:val="single" w:color="auto" w:sz="6" w:space="0"/>
              <w:right w:val="single" w:color="auto" w:sz="6" w:space="0"/>
            </w:tcBorders>
            <w:noWrap w:val="0"/>
            <w:vAlign w:val="center"/>
          </w:tcPr>
          <w:p w14:paraId="72304E1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宣传栏</w:t>
            </w:r>
          </w:p>
        </w:tc>
        <w:tc>
          <w:tcPr>
            <w:tcW w:w="2880" w:type="dxa"/>
            <w:tcBorders>
              <w:top w:val="single" w:color="auto" w:sz="6" w:space="0"/>
              <w:left w:val="nil"/>
              <w:bottom w:val="single" w:color="auto" w:sz="6" w:space="0"/>
              <w:right w:val="single" w:color="auto" w:sz="6" w:space="0"/>
            </w:tcBorders>
            <w:noWrap w:val="0"/>
            <w:vAlign w:val="center"/>
          </w:tcPr>
          <w:p w14:paraId="53C14728">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目视无明显污迹、灰尘；无乱张贴</w:t>
            </w:r>
          </w:p>
        </w:tc>
        <w:tc>
          <w:tcPr>
            <w:tcW w:w="1442" w:type="dxa"/>
            <w:tcBorders>
              <w:top w:val="single" w:color="auto" w:sz="6" w:space="0"/>
              <w:left w:val="nil"/>
              <w:bottom w:val="single" w:color="auto" w:sz="6" w:space="0"/>
              <w:right w:val="single" w:color="auto" w:sz="6" w:space="0"/>
            </w:tcBorders>
            <w:noWrap w:val="0"/>
            <w:vAlign w:val="center"/>
          </w:tcPr>
          <w:p w14:paraId="2160354F">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每天1次</w:t>
            </w:r>
          </w:p>
        </w:tc>
        <w:tc>
          <w:tcPr>
            <w:tcW w:w="1683" w:type="dxa"/>
            <w:tcBorders>
              <w:top w:val="single" w:color="auto" w:sz="6" w:space="0"/>
              <w:left w:val="nil"/>
              <w:bottom w:val="single" w:color="auto" w:sz="6" w:space="0"/>
              <w:right w:val="single" w:color="auto" w:sz="6" w:space="0"/>
            </w:tcBorders>
            <w:noWrap w:val="0"/>
            <w:vAlign w:val="center"/>
          </w:tcPr>
          <w:p w14:paraId="727A235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上午保洁</w:t>
            </w:r>
          </w:p>
        </w:tc>
        <w:tc>
          <w:tcPr>
            <w:tcW w:w="870" w:type="dxa"/>
            <w:tcBorders>
              <w:top w:val="single" w:color="auto" w:sz="6" w:space="0"/>
              <w:left w:val="nil"/>
              <w:bottom w:val="single" w:color="auto" w:sz="6" w:space="0"/>
              <w:right w:val="single" w:color="auto" w:sz="6" w:space="0"/>
            </w:tcBorders>
            <w:noWrap w:val="0"/>
            <w:vAlign w:val="center"/>
          </w:tcPr>
          <w:p w14:paraId="18E092E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60B7F996">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1902C3F0">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16</w:t>
            </w:r>
          </w:p>
        </w:tc>
        <w:tc>
          <w:tcPr>
            <w:tcW w:w="1317" w:type="dxa"/>
            <w:tcBorders>
              <w:top w:val="single" w:color="auto" w:sz="6" w:space="0"/>
              <w:left w:val="nil"/>
              <w:bottom w:val="single" w:color="auto" w:sz="6" w:space="0"/>
              <w:right w:val="single" w:color="auto" w:sz="6" w:space="0"/>
            </w:tcBorders>
            <w:noWrap w:val="0"/>
            <w:vAlign w:val="center"/>
          </w:tcPr>
          <w:p w14:paraId="188511D1">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标识</w:t>
            </w:r>
          </w:p>
        </w:tc>
        <w:tc>
          <w:tcPr>
            <w:tcW w:w="2880" w:type="dxa"/>
            <w:tcBorders>
              <w:top w:val="single" w:color="auto" w:sz="6" w:space="0"/>
              <w:left w:val="nil"/>
              <w:bottom w:val="single" w:color="auto" w:sz="6" w:space="0"/>
              <w:right w:val="single" w:color="auto" w:sz="6" w:space="0"/>
            </w:tcBorders>
            <w:noWrap w:val="0"/>
            <w:vAlign w:val="center"/>
          </w:tcPr>
          <w:p w14:paraId="1415658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目视无明显污迹、灰尘；无乱张贴</w:t>
            </w:r>
          </w:p>
        </w:tc>
        <w:tc>
          <w:tcPr>
            <w:tcW w:w="1442" w:type="dxa"/>
            <w:tcBorders>
              <w:top w:val="single" w:color="auto" w:sz="6" w:space="0"/>
              <w:left w:val="nil"/>
              <w:bottom w:val="single" w:color="auto" w:sz="6" w:space="0"/>
              <w:right w:val="single" w:color="auto" w:sz="6" w:space="0"/>
            </w:tcBorders>
            <w:noWrap w:val="0"/>
            <w:vAlign w:val="center"/>
          </w:tcPr>
          <w:p w14:paraId="5057C1A9">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每天擦拭1次</w:t>
            </w:r>
          </w:p>
        </w:tc>
        <w:tc>
          <w:tcPr>
            <w:tcW w:w="1683" w:type="dxa"/>
            <w:tcBorders>
              <w:top w:val="single" w:color="auto" w:sz="6" w:space="0"/>
              <w:left w:val="nil"/>
              <w:bottom w:val="single" w:color="auto" w:sz="6" w:space="0"/>
              <w:right w:val="single" w:color="auto" w:sz="6" w:space="0"/>
            </w:tcBorders>
            <w:noWrap w:val="0"/>
            <w:vAlign w:val="center"/>
          </w:tcPr>
          <w:p w14:paraId="2272DEB8">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上午擦拭，随时巡视</w:t>
            </w:r>
          </w:p>
        </w:tc>
        <w:tc>
          <w:tcPr>
            <w:tcW w:w="870" w:type="dxa"/>
            <w:tcBorders>
              <w:top w:val="single" w:color="auto" w:sz="6" w:space="0"/>
              <w:left w:val="nil"/>
              <w:bottom w:val="single" w:color="auto" w:sz="6" w:space="0"/>
              <w:right w:val="single" w:color="auto" w:sz="6" w:space="0"/>
            </w:tcBorders>
            <w:noWrap w:val="0"/>
            <w:vAlign w:val="center"/>
          </w:tcPr>
          <w:p w14:paraId="7994B26D">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目视</w:t>
            </w:r>
          </w:p>
        </w:tc>
      </w:tr>
      <w:tr w14:paraId="1F49BD65">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0D97A6D7">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17</w:t>
            </w:r>
          </w:p>
        </w:tc>
        <w:tc>
          <w:tcPr>
            <w:tcW w:w="1317" w:type="dxa"/>
            <w:tcBorders>
              <w:top w:val="single" w:color="auto" w:sz="6" w:space="0"/>
              <w:left w:val="nil"/>
              <w:bottom w:val="single" w:color="auto" w:sz="6" w:space="0"/>
              <w:right w:val="single" w:color="auto" w:sz="6" w:space="0"/>
            </w:tcBorders>
            <w:noWrap w:val="0"/>
            <w:vAlign w:val="center"/>
          </w:tcPr>
          <w:p w14:paraId="77F7272E">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公共卫生间</w:t>
            </w:r>
          </w:p>
        </w:tc>
        <w:tc>
          <w:tcPr>
            <w:tcW w:w="2880" w:type="dxa"/>
            <w:tcBorders>
              <w:top w:val="single" w:color="auto" w:sz="6" w:space="0"/>
              <w:left w:val="nil"/>
              <w:bottom w:val="single" w:color="auto" w:sz="6" w:space="0"/>
              <w:right w:val="single" w:color="auto" w:sz="6" w:space="0"/>
            </w:tcBorders>
            <w:noWrap w:val="0"/>
            <w:vAlign w:val="center"/>
          </w:tcPr>
          <w:p w14:paraId="5AB9EFC6">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便池、地面、墙壁无污渍、无脚印、无乱张贴、无异味，无杂物，墙面无灰尘、无涂画，设施完好，用品齐全，玻璃境面无灰尘、无污迹、无手印，手纸、洗手液保持提供。</w:t>
            </w:r>
          </w:p>
        </w:tc>
        <w:tc>
          <w:tcPr>
            <w:tcW w:w="1442" w:type="dxa"/>
            <w:tcBorders>
              <w:top w:val="single" w:color="auto" w:sz="6" w:space="0"/>
              <w:left w:val="nil"/>
              <w:bottom w:val="single" w:color="auto" w:sz="6" w:space="0"/>
              <w:right w:val="single" w:color="auto" w:sz="6" w:space="0"/>
            </w:tcBorders>
            <w:noWrap w:val="0"/>
            <w:vAlign w:val="center"/>
          </w:tcPr>
          <w:p w14:paraId="5E3C12B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每小时全面清洁1次，客流高峰期加密频次</w:t>
            </w:r>
          </w:p>
        </w:tc>
        <w:tc>
          <w:tcPr>
            <w:tcW w:w="1683" w:type="dxa"/>
            <w:tcBorders>
              <w:top w:val="single" w:color="auto" w:sz="6" w:space="0"/>
              <w:left w:val="nil"/>
              <w:bottom w:val="single" w:color="auto" w:sz="6" w:space="0"/>
              <w:right w:val="single" w:color="auto" w:sz="6" w:space="0"/>
            </w:tcBorders>
            <w:noWrap w:val="0"/>
            <w:vAlign w:val="center"/>
          </w:tcPr>
          <w:p w14:paraId="4BCA283B">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不定时巡视</w:t>
            </w:r>
          </w:p>
        </w:tc>
        <w:tc>
          <w:tcPr>
            <w:tcW w:w="870" w:type="dxa"/>
            <w:tcBorders>
              <w:top w:val="single" w:color="auto" w:sz="6" w:space="0"/>
              <w:left w:val="nil"/>
              <w:bottom w:val="single" w:color="auto" w:sz="6" w:space="0"/>
              <w:right w:val="single" w:color="auto" w:sz="6" w:space="0"/>
            </w:tcBorders>
            <w:noWrap w:val="0"/>
            <w:vAlign w:val="center"/>
          </w:tcPr>
          <w:p w14:paraId="53A6FFE3">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抽查</w:t>
            </w:r>
          </w:p>
        </w:tc>
      </w:tr>
      <w:tr w14:paraId="48FC5623">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54BA79AF">
            <w:pPr>
              <w:widowControl w:val="0"/>
              <w:spacing w:line="240" w:lineRule="auto"/>
              <w:rPr>
                <w:rFonts w:ascii="仿宋" w:hAnsi="仿宋" w:eastAsia="仿宋" w:cs="仿宋"/>
                <w:sz w:val="21"/>
                <w:szCs w:val="22"/>
              </w:rPr>
            </w:pPr>
            <w:r>
              <w:rPr>
                <w:rFonts w:hint="eastAsia" w:ascii="仿宋" w:hAnsi="仿宋" w:eastAsia="仿宋" w:cs="仿宋"/>
                <w:sz w:val="21"/>
                <w:szCs w:val="22"/>
              </w:rPr>
              <w:t>18</w:t>
            </w:r>
          </w:p>
        </w:tc>
        <w:tc>
          <w:tcPr>
            <w:tcW w:w="1317" w:type="dxa"/>
            <w:tcBorders>
              <w:top w:val="single" w:color="auto" w:sz="6" w:space="0"/>
              <w:left w:val="nil"/>
              <w:bottom w:val="single" w:color="auto" w:sz="6" w:space="0"/>
              <w:right w:val="single" w:color="auto" w:sz="6" w:space="0"/>
            </w:tcBorders>
            <w:noWrap w:val="0"/>
            <w:vAlign w:val="center"/>
          </w:tcPr>
          <w:p w14:paraId="5B6786EB">
            <w:pPr>
              <w:widowControl w:val="0"/>
              <w:spacing w:line="240" w:lineRule="auto"/>
              <w:rPr>
                <w:rFonts w:ascii="仿宋" w:hAnsi="仿宋" w:eastAsia="仿宋" w:cs="仿宋"/>
                <w:sz w:val="21"/>
                <w:szCs w:val="22"/>
              </w:rPr>
            </w:pPr>
            <w:r>
              <w:rPr>
                <w:rFonts w:hint="eastAsia" w:ascii="仿宋" w:hAnsi="仿宋" w:eastAsia="仿宋" w:cs="仿宋"/>
                <w:sz w:val="21"/>
                <w:szCs w:val="22"/>
              </w:rPr>
              <w:t>化粪池及垃圾清运</w:t>
            </w:r>
          </w:p>
        </w:tc>
        <w:tc>
          <w:tcPr>
            <w:tcW w:w="2880" w:type="dxa"/>
            <w:tcBorders>
              <w:top w:val="single" w:color="auto" w:sz="6" w:space="0"/>
              <w:left w:val="nil"/>
              <w:bottom w:val="single" w:color="auto" w:sz="6" w:space="0"/>
              <w:right w:val="single" w:color="auto" w:sz="6" w:space="0"/>
            </w:tcBorders>
            <w:noWrap w:val="0"/>
            <w:vAlign w:val="center"/>
          </w:tcPr>
          <w:p w14:paraId="16B32775">
            <w:pPr>
              <w:widowControl w:val="0"/>
              <w:spacing w:line="240" w:lineRule="auto"/>
              <w:rPr>
                <w:rFonts w:ascii="仿宋" w:hAnsi="仿宋" w:eastAsia="仿宋" w:cs="仿宋"/>
                <w:sz w:val="21"/>
                <w:szCs w:val="22"/>
              </w:rPr>
            </w:pPr>
            <w:r>
              <w:rPr>
                <w:rFonts w:hint="eastAsia" w:ascii="仿宋" w:hAnsi="仿宋" w:eastAsia="仿宋" w:cs="仿宋"/>
                <w:sz w:val="21"/>
                <w:szCs w:val="22"/>
              </w:rPr>
              <w:t>及时清运粪便及垃圾</w:t>
            </w:r>
          </w:p>
        </w:tc>
        <w:tc>
          <w:tcPr>
            <w:tcW w:w="1442" w:type="dxa"/>
            <w:tcBorders>
              <w:top w:val="single" w:color="auto" w:sz="6" w:space="0"/>
              <w:left w:val="nil"/>
              <w:bottom w:val="single" w:color="auto" w:sz="6" w:space="0"/>
              <w:right w:val="single" w:color="auto" w:sz="6" w:space="0"/>
            </w:tcBorders>
            <w:noWrap w:val="0"/>
            <w:vAlign w:val="center"/>
          </w:tcPr>
          <w:p w14:paraId="499D74C9">
            <w:pPr>
              <w:widowControl w:val="0"/>
              <w:spacing w:line="240" w:lineRule="auto"/>
              <w:rPr>
                <w:rFonts w:ascii="仿宋" w:hAnsi="仿宋" w:eastAsia="仿宋" w:cs="仿宋"/>
                <w:sz w:val="21"/>
                <w:szCs w:val="22"/>
              </w:rPr>
            </w:pPr>
            <w:r>
              <w:rPr>
                <w:rFonts w:hint="eastAsia" w:ascii="仿宋" w:hAnsi="仿宋" w:eastAsia="仿宋" w:cs="仿宋"/>
                <w:sz w:val="21"/>
                <w:szCs w:val="22"/>
              </w:rPr>
              <w:t>不限频次</w:t>
            </w:r>
          </w:p>
        </w:tc>
        <w:tc>
          <w:tcPr>
            <w:tcW w:w="1683" w:type="dxa"/>
            <w:tcBorders>
              <w:top w:val="single" w:color="auto" w:sz="6" w:space="0"/>
              <w:left w:val="nil"/>
              <w:bottom w:val="single" w:color="auto" w:sz="6" w:space="0"/>
              <w:right w:val="single" w:color="auto" w:sz="6" w:space="0"/>
            </w:tcBorders>
            <w:noWrap w:val="0"/>
            <w:vAlign w:val="center"/>
          </w:tcPr>
          <w:p w14:paraId="6E825AAD">
            <w:pPr>
              <w:widowControl w:val="0"/>
              <w:spacing w:line="240" w:lineRule="auto"/>
              <w:rPr>
                <w:rFonts w:hint="eastAsia" w:ascii="仿宋" w:hAnsi="仿宋" w:eastAsia="仿宋" w:cs="仿宋"/>
                <w:sz w:val="21"/>
                <w:szCs w:val="22"/>
              </w:rPr>
            </w:pPr>
            <w:r>
              <w:rPr>
                <w:rFonts w:hint="eastAsia" w:ascii="仿宋" w:hAnsi="仿宋" w:eastAsia="仿宋" w:cs="仿宋"/>
                <w:sz w:val="21"/>
                <w:szCs w:val="22"/>
              </w:rPr>
              <w:t>不定时巡视</w:t>
            </w:r>
          </w:p>
        </w:tc>
        <w:tc>
          <w:tcPr>
            <w:tcW w:w="870" w:type="dxa"/>
            <w:tcBorders>
              <w:top w:val="single" w:color="auto" w:sz="6" w:space="0"/>
              <w:left w:val="nil"/>
              <w:bottom w:val="single" w:color="auto" w:sz="6" w:space="0"/>
              <w:right w:val="single" w:color="auto" w:sz="6" w:space="0"/>
            </w:tcBorders>
            <w:noWrap w:val="0"/>
            <w:vAlign w:val="center"/>
          </w:tcPr>
          <w:p w14:paraId="6E9344E6">
            <w:pPr>
              <w:widowControl w:val="0"/>
              <w:spacing w:line="240" w:lineRule="auto"/>
              <w:rPr>
                <w:rFonts w:ascii="仿宋" w:hAnsi="仿宋" w:eastAsia="仿宋" w:cs="仿宋"/>
                <w:sz w:val="21"/>
                <w:szCs w:val="22"/>
              </w:rPr>
            </w:pPr>
            <w:r>
              <w:rPr>
                <w:rFonts w:hint="eastAsia" w:ascii="仿宋" w:hAnsi="仿宋" w:eastAsia="仿宋" w:cs="仿宋"/>
                <w:sz w:val="21"/>
                <w:szCs w:val="22"/>
              </w:rPr>
              <w:t>抽查</w:t>
            </w:r>
          </w:p>
        </w:tc>
      </w:tr>
      <w:tr w14:paraId="2F07534A">
        <w:tblPrEx>
          <w:tblCellMar>
            <w:top w:w="0" w:type="dxa"/>
            <w:left w:w="108" w:type="dxa"/>
            <w:bottom w:w="0" w:type="dxa"/>
            <w:right w:w="108" w:type="dxa"/>
          </w:tblCellMar>
        </w:tblPrEx>
        <w:trPr>
          <w:trHeight w:val="469" w:hRule="atLeast"/>
          <w:jc w:val="center"/>
        </w:trPr>
        <w:tc>
          <w:tcPr>
            <w:tcW w:w="593" w:type="dxa"/>
            <w:tcBorders>
              <w:top w:val="single" w:color="auto" w:sz="6" w:space="0"/>
              <w:left w:val="single" w:color="auto" w:sz="6" w:space="0"/>
              <w:bottom w:val="single" w:color="auto" w:sz="6" w:space="0"/>
              <w:right w:val="single" w:color="auto" w:sz="6" w:space="0"/>
            </w:tcBorders>
            <w:noWrap w:val="0"/>
            <w:vAlign w:val="center"/>
          </w:tcPr>
          <w:p w14:paraId="74E01AC9">
            <w:pPr>
              <w:widowControl w:val="0"/>
              <w:spacing w:line="240" w:lineRule="auto"/>
              <w:rPr>
                <w:rFonts w:ascii="仿宋" w:hAnsi="仿宋" w:eastAsia="仿宋" w:cs="仿宋"/>
                <w:sz w:val="21"/>
                <w:szCs w:val="22"/>
              </w:rPr>
            </w:pPr>
            <w:r>
              <w:rPr>
                <w:rFonts w:hint="eastAsia" w:ascii="仿宋" w:hAnsi="仿宋" w:eastAsia="仿宋" w:cs="仿宋"/>
                <w:sz w:val="21"/>
                <w:szCs w:val="22"/>
              </w:rPr>
              <w:t>19</w:t>
            </w:r>
          </w:p>
        </w:tc>
        <w:tc>
          <w:tcPr>
            <w:tcW w:w="1317" w:type="dxa"/>
            <w:tcBorders>
              <w:top w:val="single" w:color="auto" w:sz="6" w:space="0"/>
              <w:left w:val="nil"/>
              <w:bottom w:val="single" w:color="auto" w:sz="6" w:space="0"/>
              <w:right w:val="single" w:color="auto" w:sz="6" w:space="0"/>
            </w:tcBorders>
            <w:noWrap w:val="0"/>
            <w:vAlign w:val="center"/>
          </w:tcPr>
          <w:p w14:paraId="64D98377">
            <w:pPr>
              <w:widowControl w:val="0"/>
              <w:spacing w:line="240" w:lineRule="auto"/>
              <w:rPr>
                <w:rFonts w:ascii="仿宋" w:hAnsi="仿宋" w:eastAsia="仿宋" w:cs="仿宋"/>
                <w:sz w:val="21"/>
                <w:szCs w:val="22"/>
              </w:rPr>
            </w:pPr>
            <w:r>
              <w:rPr>
                <w:rFonts w:hint="eastAsia" w:ascii="仿宋" w:hAnsi="仿宋" w:eastAsia="仿宋" w:cs="仿宋"/>
                <w:sz w:val="21"/>
                <w:szCs w:val="22"/>
              </w:rPr>
              <w:t>会议室及贵宾接待室</w:t>
            </w:r>
          </w:p>
        </w:tc>
        <w:tc>
          <w:tcPr>
            <w:tcW w:w="2880" w:type="dxa"/>
            <w:tcBorders>
              <w:top w:val="single" w:color="auto" w:sz="6" w:space="0"/>
              <w:left w:val="nil"/>
              <w:bottom w:val="single" w:color="auto" w:sz="6" w:space="0"/>
              <w:right w:val="single" w:color="auto" w:sz="6" w:space="0"/>
            </w:tcBorders>
            <w:noWrap w:val="0"/>
            <w:vAlign w:val="center"/>
          </w:tcPr>
          <w:p w14:paraId="52906009">
            <w:pPr>
              <w:widowControl w:val="0"/>
              <w:spacing w:line="240" w:lineRule="auto"/>
              <w:rPr>
                <w:rFonts w:ascii="仿宋" w:hAnsi="仿宋" w:eastAsia="仿宋" w:cs="仿宋"/>
                <w:sz w:val="21"/>
                <w:szCs w:val="22"/>
              </w:rPr>
            </w:pPr>
            <w:r>
              <w:rPr>
                <w:rFonts w:hint="eastAsia" w:ascii="仿宋" w:hAnsi="仿宋" w:eastAsia="仿宋" w:cs="仿宋"/>
                <w:sz w:val="21"/>
                <w:szCs w:val="22"/>
              </w:rPr>
              <w:t>无明显污迹、灰尘；保障会议期间的会务工作</w:t>
            </w:r>
          </w:p>
        </w:tc>
        <w:tc>
          <w:tcPr>
            <w:tcW w:w="1442" w:type="dxa"/>
            <w:tcBorders>
              <w:top w:val="single" w:color="auto" w:sz="6" w:space="0"/>
              <w:left w:val="nil"/>
              <w:bottom w:val="single" w:color="auto" w:sz="6" w:space="0"/>
              <w:right w:val="single" w:color="auto" w:sz="6" w:space="0"/>
            </w:tcBorders>
            <w:noWrap w:val="0"/>
            <w:vAlign w:val="center"/>
          </w:tcPr>
          <w:p w14:paraId="2F0633E0">
            <w:pPr>
              <w:widowControl w:val="0"/>
              <w:spacing w:line="240" w:lineRule="auto"/>
              <w:rPr>
                <w:rFonts w:ascii="仿宋" w:hAnsi="仿宋" w:eastAsia="仿宋" w:cs="仿宋"/>
                <w:sz w:val="21"/>
                <w:szCs w:val="22"/>
              </w:rPr>
            </w:pPr>
            <w:r>
              <w:rPr>
                <w:rFonts w:hint="eastAsia" w:ascii="仿宋" w:hAnsi="仿宋" w:eastAsia="仿宋" w:cs="仿宋"/>
                <w:sz w:val="21"/>
                <w:szCs w:val="22"/>
              </w:rPr>
              <w:t>日清日洁</w:t>
            </w:r>
          </w:p>
        </w:tc>
        <w:tc>
          <w:tcPr>
            <w:tcW w:w="1683" w:type="dxa"/>
            <w:tcBorders>
              <w:top w:val="single" w:color="auto" w:sz="6" w:space="0"/>
              <w:left w:val="nil"/>
              <w:bottom w:val="single" w:color="auto" w:sz="6" w:space="0"/>
              <w:right w:val="single" w:color="auto" w:sz="6" w:space="0"/>
            </w:tcBorders>
            <w:noWrap w:val="0"/>
            <w:vAlign w:val="center"/>
          </w:tcPr>
          <w:p w14:paraId="40164F56">
            <w:pPr>
              <w:widowControl w:val="0"/>
              <w:spacing w:line="240" w:lineRule="auto"/>
              <w:rPr>
                <w:rFonts w:ascii="仿宋" w:hAnsi="仿宋" w:eastAsia="仿宋" w:cs="仿宋"/>
                <w:sz w:val="21"/>
                <w:szCs w:val="22"/>
              </w:rPr>
            </w:pPr>
            <w:r>
              <w:rPr>
                <w:rFonts w:hint="eastAsia" w:ascii="仿宋" w:hAnsi="仿宋" w:eastAsia="仿宋" w:cs="仿宋"/>
                <w:sz w:val="21"/>
                <w:szCs w:val="22"/>
              </w:rPr>
              <w:t>不定时巡视</w:t>
            </w:r>
          </w:p>
        </w:tc>
        <w:tc>
          <w:tcPr>
            <w:tcW w:w="870" w:type="dxa"/>
            <w:tcBorders>
              <w:top w:val="single" w:color="auto" w:sz="6" w:space="0"/>
              <w:left w:val="nil"/>
              <w:bottom w:val="single" w:color="auto" w:sz="6" w:space="0"/>
              <w:right w:val="single" w:color="auto" w:sz="6" w:space="0"/>
            </w:tcBorders>
            <w:noWrap w:val="0"/>
            <w:vAlign w:val="center"/>
          </w:tcPr>
          <w:p w14:paraId="5F6F66C5">
            <w:pPr>
              <w:widowControl w:val="0"/>
              <w:spacing w:line="240" w:lineRule="auto"/>
              <w:rPr>
                <w:rFonts w:ascii="仿宋" w:hAnsi="仿宋" w:eastAsia="仿宋" w:cs="仿宋"/>
                <w:sz w:val="21"/>
                <w:szCs w:val="22"/>
              </w:rPr>
            </w:pPr>
            <w:r>
              <w:rPr>
                <w:rFonts w:hint="eastAsia" w:ascii="仿宋" w:hAnsi="仿宋" w:eastAsia="仿宋" w:cs="仿宋"/>
                <w:sz w:val="21"/>
                <w:szCs w:val="22"/>
              </w:rPr>
              <w:t>目视</w:t>
            </w:r>
          </w:p>
        </w:tc>
      </w:tr>
    </w:tbl>
    <w:p w14:paraId="38F4DE0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补充说明：对于景区所有环卫工作要求不限于以上频次，保障全面达到5A景区环卫质量要求，实现整洁无死角、垃圾清运无滞留、设施完好无污泽，环境无味无扬尘，保障景观完整性，满足游客游览体验，顺利通过景区日常检查、季度考核，履约达标率100%。</w:t>
      </w:r>
    </w:p>
    <w:p w14:paraId="62B6A02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（四）安保管理制度</w:t>
      </w:r>
      <w:r>
        <w:rPr>
          <w:rFonts w:hint="eastAsia" w:ascii="华文仿宋" w:hAnsi="华文仿宋" w:cs="华文仿宋"/>
          <w:b w:val="0"/>
          <w:bCs w:val="0"/>
          <w:color w:val="000000"/>
          <w:sz w:val="28"/>
          <w:szCs w:val="28"/>
          <w:lang w:val="en-US" w:eastAsia="zh-CN"/>
        </w:rPr>
        <w:tab/>
      </w:r>
    </w:p>
    <w:p w14:paraId="0AEBD07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1.主要职责</w:t>
      </w:r>
    </w:p>
    <w:p w14:paraId="2394D48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（1）责任范围：适用于景区所辖全部区域。</w:t>
      </w:r>
    </w:p>
    <w:p w14:paraId="6862945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（2）贯彻执行景区关于内部安全保卫工作的方针，政策和有关规定，建立健全各项保安工作制度,对职责范围内的保安工作全面负责。</w:t>
      </w:r>
    </w:p>
    <w:p w14:paraId="0B22E47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（3）依据制度实施景区人员、财产、治安、消防安全管理工作。</w:t>
      </w:r>
    </w:p>
    <w:p w14:paraId="63780E3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2.治安安全管理</w:t>
      </w:r>
    </w:p>
    <w:p w14:paraId="2D6F5F8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（1）保安值班要高度戒备，维持景区内外区域的正常工作秩序;维护内部治安秩序，消除隐患于萌芽状态，防患于未然。</w:t>
      </w:r>
    </w:p>
    <w:p w14:paraId="12FB79D6">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（2）加强对重点部位的治安防范，加强防盗活动，及时发现可疑人和事，并进行妥善处理。对于正在发生的刑事案件或可疑情况应及时制止并对可疑人员进行查问，情节严重的可直接拨打110并上报景区领导。</w:t>
      </w:r>
    </w:p>
    <w:p w14:paraId="5B17B75E">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（3）对违反治安条例的行为，查清事实，收集证据向景区或公安机关报告。支持、协助相关安全人员履行工作职责。</w:t>
      </w:r>
    </w:p>
    <w:p w14:paraId="13B0505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3.紧急或意外事故处理</w:t>
      </w:r>
    </w:p>
    <w:p w14:paraId="0A5E56E1">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（1）意外事故</w:t>
      </w:r>
    </w:p>
    <w:p w14:paraId="00EC406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①员工急病，即刻通知办公室，及时派人送往医院治疗或拨打120，及时报备景区领导。</w:t>
      </w:r>
    </w:p>
    <w:p w14:paraId="42AB3E73">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发现火灾应立即赶到失火现场查看，若发生火苗应即以灭火器将火源熄灭，若已使用灭火器仍然无法将火势扑灭时立即向119火警台报案，且通知相关领导至现场，保安仍然坚守岗位，指挥员工及来宾向安全地区疏散，保持高度警戒，严防小偷趁机窃取景区财务。火势熄灭后应清查人员及物品所害情形，并保持完整现场，以供警方处理。</w:t>
      </w:r>
    </w:p>
    <w:p w14:paraId="5100BFC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（2）纠纷事件处理</w:t>
      </w:r>
    </w:p>
    <w:p w14:paraId="4DFB026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①对纠纷事件，保安员应稳定事态的发展，并对当事人双方进行劝阻，以制止事态的扩大。</w:t>
      </w:r>
    </w:p>
    <w:p w14:paraId="0D0768A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②发生打斗，应迅速予以制止，将当事人交由景区领导处理为原则，如当事人不听制止时，可与值班保安或景区的其他人员合力制止。</w:t>
      </w:r>
    </w:p>
    <w:p w14:paraId="79A5FA2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③打斗现场若有其他员工围观时，为防止围观者鼓噪起哄或使现场复杂化，应将肇事者带离现场再处理。</w:t>
      </w:r>
    </w:p>
    <w:p w14:paraId="7CFE27BC">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④事态有愈超严重态势，应立即请派出所协助处理。</w:t>
      </w:r>
    </w:p>
    <w:p w14:paraId="4B22420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⑤注意立场要保持公正，千万不可偏袒打斗当事人任何一方或加入战局，丧失理智。</w:t>
      </w:r>
    </w:p>
    <w:p w14:paraId="3B3C370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⑥若为下班时间，应即刻电话通知景区相关领导，有安全之虑时，即刻拨打110寻求协助。 </w:t>
      </w:r>
    </w:p>
    <w:p w14:paraId="3AB0115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4.交接班制度</w:t>
      </w:r>
    </w:p>
    <w:p w14:paraId="54D85D16">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（1）景区保安为三班两运转，分设日班和夜班，日班为7:30—19:30，夜班为19:30—7:30;交接班时间分别为7:30和19:30，交接班时需做好记录。</w:t>
      </w:r>
    </w:p>
    <w:p w14:paraId="64B84EC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（2）各班保安均需提前15分钟到岗交接班，班内做好《保安值班记录》，班组交接时互通消息并签名确认。</w:t>
      </w:r>
    </w:p>
    <w:p w14:paraId="7CB82AF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（3）班组交接时，对安全防护器械进行确认，如有损坏遗失须在《保安值班记录》中作出说明，确认无误后方可完成交接。</w:t>
      </w:r>
    </w:p>
    <w:p w14:paraId="6DDA69F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（4）超过交接班时间，半小时内未接班视为“迟到”，1小时内作出解释并补办请假手续视为事假，超过1小时则视为“旷工”。</w:t>
      </w:r>
    </w:p>
    <w:p w14:paraId="584591DE">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（5）交接班时间已到，接班人未知至，当班人员应与岗位带队长联系，由带队长负责安排人员替换;如擅自离岗视为“旷工”。</w:t>
      </w:r>
    </w:p>
    <w:p w14:paraId="777F8F82">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5.工作考核制度</w:t>
      </w:r>
    </w:p>
    <w:p w14:paraId="3F1B615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（1）保安由服务处主管负责记录考勤，严格按天数记发工资。</w:t>
      </w:r>
    </w:p>
    <w:p w14:paraId="3A7871A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（2）保安因个人原因需请事假、病假或调班者，必须事前报告服务处主管，服务处主管报告物业公司办公室，同意后方可休假或调班。病事假一律按休息天数计扣工资，并扣除本月全勤奖。</w:t>
      </w:r>
    </w:p>
    <w:p w14:paraId="2CBC7D2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（3）未严格执行车辆出入管理，放行外来车辆，一经发现即作“过错”处罚。</w:t>
      </w:r>
    </w:p>
    <w:p w14:paraId="33B052A4">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（4）未严格执行物资出入管理，造成景区损失，视情节轻重作“过错”或开除处罚，并赔偿景区损失。</w:t>
      </w:r>
    </w:p>
    <w:p w14:paraId="2EBD0E5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（5）未履行门卫岗位职责，作出有损景区形象的行为，视情节轻重作“过错”或辞退处罚。</w:t>
      </w:r>
    </w:p>
    <w:p w14:paraId="37ADFCA2">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（6）未按要求执行门卫交接班，造成权责不清，所经手班组相关人员共同承担责任。</w:t>
      </w:r>
    </w:p>
    <w:p w14:paraId="4056FED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（7）每发生一次“过错”则扣除岗位(基本)工资的25%;连续两个月累积发生“过错”3起、除按规定分别扣除岗位(基本)工资外，还将作辞退处理。</w:t>
      </w:r>
    </w:p>
    <w:p w14:paraId="5676EAA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（8）如在值班过程中挽回景区物资流失，发现不安全隐患，避免景区经济损失的，公司将视情况给予表彰、奖励。</w:t>
      </w:r>
    </w:p>
    <w:p w14:paraId="1D40984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6.行为操守</w:t>
      </w:r>
    </w:p>
    <w:p w14:paraId="38F4F0C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（1）工作态度</w:t>
      </w:r>
    </w:p>
    <w:p w14:paraId="1DFC27B4">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①对工作具有责任心、热情、敬业精神和职业道德</w:t>
      </w:r>
    </w:p>
    <w:p w14:paraId="21FBF51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②对自身的责任心：钻研业务、工作认真、上进心</w:t>
      </w:r>
    </w:p>
    <w:p w14:paraId="326F4DA3">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③同事之间的协作力、包容、配合、团结</w:t>
      </w:r>
    </w:p>
    <w:p w14:paraId="6F0EABE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④对本职工作负责：不拖沓、不积压、不抱怨、不挑拣</w:t>
      </w:r>
    </w:p>
    <w:p w14:paraId="0D284B3B">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⑤对待来访人员的态度：谦和、礼貌、诚恳、友善、不卑不亢</w:t>
      </w:r>
    </w:p>
    <w:p w14:paraId="1515B261">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（2）保安工作纪律</w:t>
      </w:r>
    </w:p>
    <w:p w14:paraId="3A11A66C">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根据《保安服务管理条例》等有关规定和对景区及他人人身财产安全负责的原则，保安员严格禁止下列行为：</w:t>
      </w:r>
    </w:p>
    <w:p w14:paraId="530AD53C">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①限制他人人身自由、搜查他人身体或者侮辱、殴打他人。</w:t>
      </w:r>
    </w:p>
    <w:p w14:paraId="50DF7CCE">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②扣押、没收他人证件、财物。</w:t>
      </w:r>
    </w:p>
    <w:p w14:paraId="7BFABAF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③阻碍依法执行公务。</w:t>
      </w:r>
    </w:p>
    <w:p w14:paraId="3282A4F2">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④参与追索债务、采用暴力或者以暴力相威胁的手段处置纠纷。</w:t>
      </w:r>
    </w:p>
    <w:p w14:paraId="4F4437E4">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⑤删改或者扩散监控影像资料、报警记录。</w:t>
      </w:r>
    </w:p>
    <w:p w14:paraId="1332802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⑥侵犯个人隐私或者泄露景区商业秘密。</w:t>
      </w:r>
    </w:p>
    <w:p w14:paraId="12DF8CBA">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⑦仪容不整, 言语行为轻浮、粗暴无礼。</w:t>
      </w:r>
    </w:p>
    <w:p w14:paraId="18D2F64C">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⑧值班时间聚众赌博、下棋、喝酒、看小说报纸、看电视录像，打瞌睡等。</w:t>
      </w:r>
    </w:p>
    <w:p w14:paraId="1AB74DD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⑨对群众、来宾故意刁难或挟怨报复。对员工、来宾或送货人员索取好处及贪小便宜。</w:t>
      </w:r>
    </w:p>
    <w:p w14:paraId="2DA590D5">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⑩脱岗、漏岗、睡岗、迟到、早退、夜班值班人员睡觉。</w:t>
      </w:r>
    </w:p>
    <w:p w14:paraId="49E6A3BE">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⑪未经许可擅自调班。</w:t>
      </w:r>
    </w:p>
    <w:p w14:paraId="548CBF94">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⑫暴行犯上，不服从指挥。</w:t>
      </w:r>
    </w:p>
    <w:p w14:paraId="389D714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0"/>
          <w:rFonts w:ascii="黑体" w:hAnsi="黑体" w:eastAsia="黑体" w:cs="黑体"/>
          <w:b w:val="0"/>
          <w:bCs/>
          <w:color w:val="000000"/>
          <w:sz w:val="32"/>
          <w:szCs w:val="32"/>
        </w:rPr>
      </w:pPr>
      <w:r>
        <w:rPr>
          <w:rStyle w:val="30"/>
          <w:rFonts w:hint="eastAsia" w:ascii="黑体" w:hAnsi="黑体" w:eastAsia="黑体" w:cs="黑体"/>
          <w:b w:val="0"/>
          <w:bCs/>
          <w:color w:val="000000"/>
          <w:sz w:val="32"/>
          <w:szCs w:val="32"/>
        </w:rPr>
        <w:t>第四章  合同草案条款</w:t>
      </w:r>
    </w:p>
    <w:p w14:paraId="35BB4A80">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一、合同内容：</w:t>
      </w:r>
      <w:r>
        <w:rPr>
          <w:rFonts w:hint="eastAsia" w:ascii="华文仿宋" w:hAnsi="华文仿宋" w:cs="华文仿宋"/>
          <w:b w:val="0"/>
          <w:bCs w:val="0"/>
          <w:color w:val="000000"/>
          <w:sz w:val="28"/>
          <w:szCs w:val="28"/>
          <w:lang w:val="en-US" w:eastAsia="zh-CN"/>
        </w:rPr>
        <w:t>即成交人的投标内容。因政策原因造成物业权属发生变化，物业委托合同自动废止，相关费用由采购人和成交人协商解决。</w:t>
      </w:r>
    </w:p>
    <w:p w14:paraId="381BB85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二、服务地点：</w:t>
      </w:r>
      <w:r>
        <w:rPr>
          <w:rFonts w:hint="eastAsia" w:ascii="华文仿宋" w:hAnsi="华文仿宋" w:cs="华文仿宋"/>
          <w:b w:val="0"/>
          <w:bCs w:val="0"/>
          <w:color w:val="000000"/>
          <w:sz w:val="28"/>
          <w:szCs w:val="28"/>
          <w:lang w:val="en-US" w:eastAsia="zh-CN"/>
        </w:rPr>
        <w:t xml:space="preserve">采购人指定地点。 </w:t>
      </w:r>
    </w:p>
    <w:p w14:paraId="3F0F80DB">
      <w:pPr>
        <w:numPr>
          <w:ilvl w:val="0"/>
          <w:numId w:val="0"/>
        </w:numPr>
        <w:spacing w:line="500" w:lineRule="exact"/>
        <w:ind w:firstLine="566" w:firstLineChars="200"/>
        <w:outlineLvl w:val="9"/>
        <w:rPr>
          <w:rFonts w:hint="default" w:ascii="Times New Roman" w:hAnsi="Times New Roman" w:eastAsia="仿宋_GB2312" w:cs="Times New Roman"/>
          <w:b w:val="0"/>
          <w:bCs w:val="0"/>
          <w:color w:val="000000"/>
          <w:spacing w:val="2"/>
          <w:kern w:val="0"/>
          <w:sz w:val="32"/>
          <w:szCs w:val="32"/>
          <w:lang w:val="en-US" w:eastAsia="zh-CN"/>
        </w:rPr>
      </w:pPr>
      <w:r>
        <w:rPr>
          <w:rFonts w:hint="eastAsia" w:ascii="华文仿宋" w:hAnsi="华文仿宋" w:cs="华文仿宋"/>
          <w:b/>
          <w:bCs/>
          <w:color w:val="000000"/>
          <w:sz w:val="28"/>
          <w:szCs w:val="28"/>
          <w:lang w:val="en-US" w:eastAsia="zh-CN"/>
        </w:rPr>
        <w:t>三、服务期限：</w:t>
      </w:r>
      <w:r>
        <w:rPr>
          <w:rFonts w:hint="eastAsia" w:ascii="华文仿宋" w:hAnsi="华文仿宋" w:cs="华文仿宋"/>
          <w:b w:val="0"/>
          <w:bCs w:val="0"/>
          <w:color w:val="000000"/>
          <w:sz w:val="28"/>
          <w:szCs w:val="28"/>
          <w:lang w:val="en-US" w:eastAsia="zh-CN"/>
        </w:rPr>
        <w:t>自签订合同之日起，服务期不超过三年，合同一年一签。</w:t>
      </w:r>
    </w:p>
    <w:p w14:paraId="3B1330C1">
      <w:pPr>
        <w:numPr>
          <w:ilvl w:val="0"/>
          <w:numId w:val="0"/>
        </w:numPr>
        <w:spacing w:line="500" w:lineRule="exact"/>
        <w:ind w:firstLine="566" w:firstLineChars="200"/>
        <w:outlineLvl w:val="9"/>
        <w:rPr>
          <w:rFonts w:hint="default" w:ascii="华文仿宋" w:hAnsi="华文仿宋" w:cs="华文仿宋"/>
          <w:b w:val="0"/>
          <w:bCs w:val="0"/>
          <w:color w:val="auto"/>
          <w:sz w:val="28"/>
          <w:szCs w:val="28"/>
          <w:lang w:val="en-US" w:eastAsia="zh-CN"/>
        </w:rPr>
      </w:pPr>
      <w:r>
        <w:rPr>
          <w:rFonts w:hint="eastAsia" w:ascii="华文仿宋" w:hAnsi="华文仿宋" w:cs="华文仿宋"/>
          <w:b/>
          <w:bCs/>
          <w:color w:val="auto"/>
          <w:sz w:val="28"/>
          <w:szCs w:val="28"/>
          <w:lang w:val="en-US" w:eastAsia="zh-CN"/>
        </w:rPr>
        <w:t>四、合同总价：</w:t>
      </w:r>
      <w:r>
        <w:rPr>
          <w:rFonts w:hint="eastAsia" w:ascii="华文仿宋" w:hAnsi="华文仿宋" w:cs="华文仿宋"/>
          <w:b w:val="0"/>
          <w:bCs w:val="0"/>
          <w:color w:val="auto"/>
          <w:sz w:val="28"/>
          <w:szCs w:val="28"/>
          <w:lang w:val="en-US" w:eastAsia="zh-CN"/>
        </w:rPr>
        <w:t>合同价即成交价格，为每年度所付费用。包括：服务费用、税费、其他费用等相关的全部费用，在合同执行过程中不因其他因素进行变更。</w:t>
      </w:r>
    </w:p>
    <w:p w14:paraId="4BADB562">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bookmarkStart w:id="144" w:name="_Toc26468"/>
      <w:bookmarkStart w:id="145" w:name="_Toc22612"/>
      <w:bookmarkStart w:id="146" w:name="_Toc5138"/>
      <w:bookmarkStart w:id="147" w:name="_Toc22902"/>
      <w:bookmarkStart w:id="148" w:name="_Toc17230"/>
      <w:bookmarkStart w:id="149" w:name="_Toc8616"/>
      <w:bookmarkStart w:id="150" w:name="_Toc28859"/>
      <w:bookmarkStart w:id="151" w:name="_Toc29541"/>
      <w:r>
        <w:rPr>
          <w:rFonts w:hint="eastAsia" w:ascii="华文仿宋" w:hAnsi="华文仿宋" w:cs="华文仿宋"/>
          <w:b/>
          <w:bCs/>
          <w:color w:val="000000"/>
          <w:sz w:val="28"/>
          <w:szCs w:val="28"/>
          <w:lang w:val="en-US" w:eastAsia="zh-CN"/>
        </w:rPr>
        <w:t>五、</w:t>
      </w:r>
      <w:bookmarkEnd w:id="144"/>
      <w:bookmarkEnd w:id="145"/>
      <w:bookmarkEnd w:id="146"/>
      <w:bookmarkEnd w:id="147"/>
      <w:bookmarkEnd w:id="148"/>
      <w:bookmarkEnd w:id="149"/>
      <w:bookmarkEnd w:id="150"/>
      <w:bookmarkEnd w:id="151"/>
      <w:r>
        <w:rPr>
          <w:rFonts w:hint="eastAsia" w:ascii="华文仿宋" w:hAnsi="华文仿宋" w:cs="华文仿宋"/>
          <w:b/>
          <w:bCs/>
          <w:color w:val="000000"/>
          <w:sz w:val="28"/>
          <w:szCs w:val="28"/>
          <w:lang w:val="en-US" w:eastAsia="zh-CN"/>
        </w:rPr>
        <w:t xml:space="preserve">付款方式 </w:t>
      </w:r>
    </w:p>
    <w:p w14:paraId="2065EC90">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采购资金由采购人直接结算，具体参考付款方式如下： </w:t>
      </w:r>
    </w:p>
    <w:p w14:paraId="09EA37C6">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实行按季度支付，每季度按实际服务工作量完成经采购人确认后，成交人向采购人开具和交付发票后，采购人在10个工作日内支付本季度的服务费（即合同价款的25%）。          </w:t>
      </w:r>
    </w:p>
    <w:p w14:paraId="1F0FB207">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注：采购人除以上服务费用之外不再承担其它任何费用，其中成交人的管理人员、清洁人员、保安人员等所有员工的薪金、福利、休假日补贴、医疗费用及其他各项社保等均由成交人负责，与采购人无关。</w:t>
      </w:r>
    </w:p>
    <w:p w14:paraId="587871F9">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六、采购人的权利和义务 </w:t>
      </w:r>
    </w:p>
    <w:p w14:paraId="704685FD">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1.采购人对成交人进行统一管理，对成交人的经营活动享有管理、考核、检查、监督和处罚的权利； </w:t>
      </w:r>
    </w:p>
    <w:p w14:paraId="2EDAF1D0">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2.合同期内，因成交人管理不善且负主要责任，造成重大损失和影响，有下列情况之一的，采购人有权随时终止合同并收回服务权，经济损失和法律责任由成交人承担： </w:t>
      </w:r>
    </w:p>
    <w:p w14:paraId="6CBCBE4C">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（1）成交人进行转包或分包的； </w:t>
      </w:r>
    </w:p>
    <w:p w14:paraId="3B9DEA52">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（2）成交人超出服务范围或从事与物业无关的服务活动的； </w:t>
      </w:r>
    </w:p>
    <w:p w14:paraId="67BE11B7">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（3）成交人有在超出指定区域安排从业人员； </w:t>
      </w:r>
    </w:p>
    <w:p w14:paraId="2486BCAC">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（4）成交人违反相关管理规定或合同条款约定。</w:t>
      </w:r>
    </w:p>
    <w:p w14:paraId="0542EA65">
      <w:pPr>
        <w:numPr>
          <w:ilvl w:val="0"/>
          <w:numId w:val="0"/>
        </w:numPr>
        <w:spacing w:line="500" w:lineRule="exact"/>
        <w:ind w:firstLine="574" w:firstLineChars="200"/>
        <w:outlineLvl w:val="9"/>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 xml:space="preserve">七、成交人的权利与义务 </w:t>
      </w:r>
    </w:p>
    <w:p w14:paraId="25DEAFD1">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1.成交人享有责任范围内和合同期限内的服务权； </w:t>
      </w:r>
    </w:p>
    <w:p w14:paraId="3AAD09CF">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2.成交人必须服从管理，保证所有办公工作场所顺利开展。服务标准按照采购人要求执行； </w:t>
      </w:r>
    </w:p>
    <w:p w14:paraId="5D593051">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3.成交人的物业服务活动必须做到遵纪守法，诚信服务，科学管理，文明优质服务；严格执行法律法规及相关部门的规章制度； </w:t>
      </w:r>
    </w:p>
    <w:p w14:paraId="42C9366E">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cs="华文仿宋"/>
          <w:b w:val="0"/>
          <w:bCs w:val="0"/>
          <w:color w:val="000000"/>
          <w:spacing w:val="2"/>
          <w:kern w:val="0"/>
          <w:sz w:val="28"/>
          <w:szCs w:val="28"/>
          <w:lang w:val="en-US" w:eastAsia="zh-CN"/>
        </w:rPr>
        <w:t>4.成交人如有达不到服务要求或有不服从管理的现象，采购人有权随时解除合同。</w:t>
      </w:r>
    </w:p>
    <w:p w14:paraId="67D15357">
      <w:pPr>
        <w:pStyle w:val="10"/>
        <w:ind w:firstLine="566" w:firstLineChars="200"/>
        <w:rPr>
          <w:rFonts w:hint="eastAsia"/>
          <w:b/>
          <w:bCs/>
          <w:lang w:val="en-US" w:eastAsia="zh-CN"/>
        </w:rPr>
      </w:pPr>
      <w:r>
        <w:rPr>
          <w:rFonts w:hint="eastAsia"/>
          <w:b/>
          <w:bCs/>
          <w:lang w:val="en-US" w:eastAsia="zh-CN"/>
        </w:rPr>
        <w:t xml:space="preserve">八、质量管理和监督措施 </w:t>
      </w:r>
    </w:p>
    <w:p w14:paraId="46E40CE3">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 xml:space="preserve">1.合同期内，因成交人管理不善且负主要责任，造成重大损失和影响，采购人有权终止合同，经济损失和法律责任由成交人承担； </w:t>
      </w:r>
    </w:p>
    <w:p w14:paraId="6BCE6645">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2.质量目标：</w:t>
      </w:r>
    </w:p>
    <w:p w14:paraId="2752E88A">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 全年无重大安全、消防、治安责任事故</w:t>
      </w:r>
    </w:p>
    <w:p w14:paraId="7F19AAA7">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 服务投诉24小时响应，办结率100%</w:t>
      </w:r>
    </w:p>
    <w:p w14:paraId="42736B47">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（3） 公共环境干净整洁，垃圾日产日清，无卫生死角</w:t>
      </w:r>
    </w:p>
    <w:p w14:paraId="399FA283">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（4）安保24小时值守巡查，现场秩序规范有序</w:t>
      </w:r>
    </w:p>
    <w:p w14:paraId="282AA570">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（5） 绿化定期养护修剪，绿植长势良好、景观整洁</w:t>
      </w:r>
    </w:p>
    <w:p w14:paraId="0D55B919">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（6）公共设施定期巡检维保，设备完好率达标</w:t>
      </w:r>
    </w:p>
    <w:p w14:paraId="0B72F2A8">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（7） 人员统一着装持证上岗，文明规范作业</w:t>
      </w:r>
    </w:p>
    <w:p w14:paraId="762A2AB0">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（8） 各类台账资料齐全完整、规范归档</w:t>
      </w:r>
    </w:p>
    <w:p w14:paraId="5F223530">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（9） 严格服从管理，全力配合各项检查与工作安排</w:t>
      </w:r>
    </w:p>
    <w:p w14:paraId="66B80242">
      <w:pPr>
        <w:numPr>
          <w:ilvl w:val="0"/>
          <w:numId w:val="0"/>
        </w:numPr>
        <w:spacing w:line="500" w:lineRule="exact"/>
        <w:ind w:firstLine="574" w:firstLineChars="200"/>
        <w:outlineLvl w:val="9"/>
        <w:rPr>
          <w:rFonts w:hint="eastAsia" w:ascii="华文仿宋" w:hAnsi="华文仿宋" w:cs="华文仿宋"/>
          <w:b/>
          <w:bCs/>
          <w:color w:val="000000"/>
          <w:spacing w:val="2"/>
          <w:kern w:val="0"/>
          <w:sz w:val="28"/>
          <w:szCs w:val="28"/>
          <w:lang w:val="en-US" w:eastAsia="zh-CN" w:bidi="ar-SA"/>
        </w:rPr>
      </w:pPr>
      <w:r>
        <w:rPr>
          <w:rFonts w:hint="eastAsia" w:ascii="华文仿宋" w:hAnsi="华文仿宋" w:cs="华文仿宋"/>
          <w:b/>
          <w:bCs/>
          <w:color w:val="000000"/>
          <w:spacing w:val="2"/>
          <w:kern w:val="0"/>
          <w:sz w:val="28"/>
          <w:szCs w:val="28"/>
          <w:lang w:val="en-US" w:eastAsia="zh-CN" w:bidi="ar-SA"/>
        </w:rPr>
        <w:t xml:space="preserve">九、服务缺陷的补救措施和索赔 </w:t>
      </w:r>
    </w:p>
    <w:p w14:paraId="02ECBBF4">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bidi="ar-SA"/>
        </w:rPr>
      </w:pPr>
      <w:r>
        <w:rPr>
          <w:rFonts w:hint="eastAsia" w:ascii="华文仿宋" w:hAnsi="华文仿宋" w:cs="华文仿宋"/>
          <w:b w:val="0"/>
          <w:bCs w:val="0"/>
          <w:color w:val="000000"/>
          <w:spacing w:val="2"/>
          <w:kern w:val="0"/>
          <w:sz w:val="28"/>
          <w:szCs w:val="28"/>
          <w:lang w:val="en-US" w:eastAsia="zh-CN" w:bidi="ar-SA"/>
        </w:rPr>
        <w:t xml:space="preserve">如果成交人提供的服务不符合本合同约定以及磋商文件、响应文件关于服务的要求和承诺，成交人应按照采购人同意的下列一种或几种方式结合起来解决索赔事宜: </w:t>
      </w:r>
    </w:p>
    <w:p w14:paraId="7E9FF4A3">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bidi="ar-SA"/>
        </w:rPr>
      </w:pPr>
      <w:r>
        <w:rPr>
          <w:rFonts w:hint="eastAsia" w:ascii="华文仿宋" w:hAnsi="华文仿宋" w:cs="华文仿宋"/>
          <w:b w:val="0"/>
          <w:bCs w:val="0"/>
          <w:color w:val="000000"/>
          <w:spacing w:val="2"/>
          <w:kern w:val="0"/>
          <w:sz w:val="28"/>
          <w:szCs w:val="28"/>
          <w:lang w:val="en-US" w:eastAsia="zh-CN" w:bidi="ar-SA"/>
        </w:rPr>
        <w:t xml:space="preserve">1.成交人同意将服务款项目退还给采购人，由此发生的一切费用和损失由成交人承担。如采购人以适当的条件和方法购买与未履约标的相类似的服务，成交人应负担新购买类似服务所超出的费用； </w:t>
      </w:r>
    </w:p>
    <w:p w14:paraId="3A418D02">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bidi="ar-SA"/>
        </w:rPr>
      </w:pPr>
      <w:r>
        <w:rPr>
          <w:rFonts w:hint="eastAsia" w:ascii="华文仿宋" w:hAnsi="华文仿宋" w:cs="华文仿宋"/>
          <w:b w:val="0"/>
          <w:bCs w:val="0"/>
          <w:color w:val="000000"/>
          <w:spacing w:val="2"/>
          <w:kern w:val="0"/>
          <w:sz w:val="28"/>
          <w:szCs w:val="28"/>
          <w:lang w:val="en-US" w:eastAsia="zh-CN" w:bidi="ar-SA"/>
        </w:rPr>
        <w:t>2.如果在采购人发出索赔通知后 30 日内成交人未作答复，上述索赔应视为已被成交人接受。如果成交人未能在采购人发出索赔通知后 30 日内或采购人同意延长的期限内，按照上述规定的任何一种方法采取补救措施，采购人有权从应付服务款中扣除索赔金额，如不足以弥补采购人损失的，采购人有权进一步要求成交人赔偿。</w:t>
      </w:r>
    </w:p>
    <w:p w14:paraId="07BE1101">
      <w:pPr>
        <w:numPr>
          <w:ilvl w:val="0"/>
          <w:numId w:val="0"/>
        </w:numPr>
        <w:spacing w:line="500" w:lineRule="exact"/>
        <w:ind w:firstLine="574" w:firstLineChars="200"/>
        <w:outlineLvl w:val="9"/>
        <w:rPr>
          <w:rFonts w:hint="eastAsia" w:ascii="华文仿宋" w:hAnsi="华文仿宋" w:eastAsia="华文仿宋" w:cs="华文仿宋"/>
          <w:b/>
          <w:bCs/>
          <w:color w:val="000000"/>
          <w:spacing w:val="2"/>
          <w:kern w:val="0"/>
          <w:sz w:val="28"/>
          <w:szCs w:val="28"/>
          <w:lang w:val="en-US" w:eastAsia="zh-CN" w:bidi="ar-SA"/>
        </w:rPr>
      </w:pPr>
      <w:r>
        <w:rPr>
          <w:rFonts w:hint="eastAsia" w:ascii="华文仿宋" w:hAnsi="华文仿宋" w:cs="华文仿宋"/>
          <w:b/>
          <w:bCs/>
          <w:color w:val="000000"/>
          <w:spacing w:val="2"/>
          <w:kern w:val="0"/>
          <w:sz w:val="28"/>
          <w:szCs w:val="28"/>
          <w:lang w:val="en-US" w:eastAsia="zh-CN" w:bidi="ar-SA"/>
        </w:rPr>
        <w:t>十</w:t>
      </w:r>
      <w:r>
        <w:rPr>
          <w:rFonts w:hint="eastAsia" w:ascii="华文仿宋" w:hAnsi="华文仿宋" w:eastAsia="华文仿宋" w:cs="华文仿宋"/>
          <w:b/>
          <w:bCs/>
          <w:color w:val="000000"/>
          <w:spacing w:val="2"/>
          <w:kern w:val="0"/>
          <w:sz w:val="28"/>
          <w:szCs w:val="28"/>
          <w:lang w:val="en-US" w:eastAsia="zh-CN" w:bidi="ar-SA"/>
        </w:rPr>
        <w:t xml:space="preserve">、违约责任 </w:t>
      </w:r>
    </w:p>
    <w:p w14:paraId="12454D4D">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 xml:space="preserve">1. 按《中华人民共和国民法典》中的相关条款执行； </w:t>
      </w:r>
    </w:p>
    <w:p w14:paraId="5EF75F97">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 xml:space="preserve">2.未按合同要求提供服务或服务质量不能满足合同要求，采购人有权依据《中华人民共和国民法典》、《中华人民共和国政府采购法》有关条款及合同约定终止合同，并要求成交人承担违约责任； </w:t>
      </w:r>
    </w:p>
    <w:p w14:paraId="42260464">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3.成交人未能达到服务标准，采购人有权要求成交人限期整改，逾期不整改的采购人有权终止合同，造成采购人经济损失的，成交人应与采购人协商处理。</w:t>
      </w:r>
    </w:p>
    <w:p w14:paraId="6A5E2F9C">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 xml:space="preserve">4.成交人在服务期内，若发生争执、滋事、劳资纠纷、债务索赔安全事故，造成违法、违规和其它违犯社会治安条例，影响采购人稳定大局的事件，均由成交人自行承担一切责任与费用； </w:t>
      </w:r>
    </w:p>
    <w:p w14:paraId="5984A139">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eastAsia="华文仿宋" w:cs="华文仿宋"/>
          <w:b w:val="0"/>
          <w:bCs w:val="0"/>
          <w:color w:val="000000"/>
          <w:spacing w:val="2"/>
          <w:kern w:val="0"/>
          <w:sz w:val="28"/>
          <w:szCs w:val="28"/>
          <w:lang w:val="en-US" w:eastAsia="zh-CN" w:bidi="ar-SA"/>
        </w:rPr>
        <w:t>5.因采购人原因导致成交人未能达到服务标准，成交人有权要求采购人在一定期限内解决，逾期未解决造成成交人经济损失的，采购人应与成交人协商处理。</w:t>
      </w:r>
    </w:p>
    <w:p w14:paraId="2202E5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zh-CN" w:eastAsia="zh-CN"/>
        </w:rPr>
        <w:t>合同争议的解决</w:t>
      </w:r>
    </w:p>
    <w:p w14:paraId="69A421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zh-CN" w:eastAsia="zh-CN"/>
        </w:rPr>
        <w:t>合同执行中发生争议的，采购人和成交供应商应协商解决，协商达不成一致时，可向采购人</w:t>
      </w:r>
      <w:r>
        <w:rPr>
          <w:rFonts w:hint="eastAsia" w:ascii="华文仿宋" w:hAnsi="华文仿宋" w:eastAsia="华文仿宋" w:cs="华文仿宋"/>
          <w:sz w:val="28"/>
          <w:szCs w:val="28"/>
          <w:lang w:val="en-US" w:eastAsia="zh-CN"/>
        </w:rPr>
        <w:t>所在地的人民法院提请诉讼</w:t>
      </w:r>
      <w:r>
        <w:rPr>
          <w:rFonts w:hint="eastAsia" w:ascii="华文仿宋" w:hAnsi="华文仿宋" w:eastAsia="华文仿宋" w:cs="华文仿宋"/>
          <w:sz w:val="28"/>
          <w:szCs w:val="28"/>
          <w:lang w:val="zh-CN" w:eastAsia="zh-CN"/>
        </w:rPr>
        <w:t>。</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64EE0196">
      <w:pPr>
        <w:spacing w:line="500" w:lineRule="exact"/>
        <w:ind w:firstLine="567"/>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本合同须经中心确认，否则无效。</w:t>
      </w:r>
    </w:p>
    <w:p w14:paraId="081C4675">
      <w:pPr>
        <w:pStyle w:val="2"/>
        <w:keepNext/>
        <w:keepLines/>
        <w:pageBreakBefore/>
        <w:widowControl/>
        <w:kinsoku/>
        <w:wordWrap/>
        <w:overflowPunct/>
        <w:topLinePunct w:val="0"/>
        <w:autoSpaceDE/>
        <w:autoSpaceDN/>
        <w:bidi w:val="0"/>
        <w:adjustRightInd/>
        <w:snapToGrid/>
        <w:jc w:val="center"/>
        <w:textAlignment w:val="auto"/>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1"/>
        <w:rPr>
          <w:color w:val="000000"/>
        </w:rPr>
      </w:pPr>
    </w:p>
    <w:p w14:paraId="00B4211B">
      <w:pPr>
        <w:pStyle w:val="31"/>
        <w:rPr>
          <w:color w:val="000000"/>
        </w:rPr>
      </w:pPr>
    </w:p>
    <w:p w14:paraId="406E5026">
      <w:pPr>
        <w:pStyle w:val="31"/>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1"/>
        <w:rPr>
          <w:color w:val="000000"/>
          <w:sz w:val="20"/>
        </w:rPr>
      </w:pPr>
    </w:p>
    <w:p w14:paraId="44F47F5A">
      <w:pPr>
        <w:pStyle w:val="28"/>
        <w:spacing w:line="240" w:lineRule="auto"/>
        <w:ind w:firstLine="253" w:firstLineChars="70"/>
        <w:jc w:val="center"/>
        <w:rPr>
          <w:rFonts w:ascii="宋体" w:hAnsi="宋体" w:eastAsia="宋体"/>
          <w:color w:val="000000"/>
          <w:sz w:val="36"/>
          <w:szCs w:val="36"/>
        </w:rPr>
      </w:pPr>
    </w:p>
    <w:p w14:paraId="37259556">
      <w:pPr>
        <w:pStyle w:val="28"/>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8"/>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52" w:name="_Toc26293"/>
      <w:bookmarkStart w:id="153" w:name="_Toc10248"/>
      <w:bookmarkStart w:id="154" w:name="_Toc24786"/>
      <w:bookmarkStart w:id="155" w:name="_Toc23235"/>
      <w:bookmarkStart w:id="156" w:name="_Toc20830"/>
      <w:bookmarkStart w:id="157" w:name="_Toc257"/>
      <w:bookmarkStart w:id="158" w:name="_Toc6132"/>
      <w:bookmarkStart w:id="159" w:name="_Toc26349"/>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52"/>
      <w:bookmarkEnd w:id="153"/>
      <w:bookmarkEnd w:id="154"/>
      <w:bookmarkEnd w:id="155"/>
      <w:bookmarkEnd w:id="156"/>
      <w:bookmarkEnd w:id="157"/>
      <w:bookmarkEnd w:id="158"/>
      <w:bookmarkEnd w:id="159"/>
    </w:p>
    <w:p w14:paraId="7D703E59">
      <w:pPr>
        <w:pStyle w:val="28"/>
        <w:spacing w:line="240" w:lineRule="auto"/>
        <w:ind w:firstLine="310" w:firstLineChars="70"/>
        <w:jc w:val="center"/>
        <w:rPr>
          <w:rFonts w:ascii="华文仿宋" w:hAnsi="华文仿宋" w:cs="华文仿宋"/>
          <w:color w:val="000000"/>
          <w:sz w:val="44"/>
          <w:szCs w:val="44"/>
        </w:rPr>
      </w:pPr>
    </w:p>
    <w:p w14:paraId="33B01BD2">
      <w:pPr>
        <w:pStyle w:val="28"/>
        <w:spacing w:line="240" w:lineRule="auto"/>
        <w:ind w:firstLine="253" w:firstLineChars="70"/>
        <w:jc w:val="center"/>
        <w:rPr>
          <w:rFonts w:ascii="华文仿宋" w:hAnsi="华文仿宋" w:cs="华文仿宋"/>
          <w:color w:val="000000"/>
          <w:sz w:val="36"/>
          <w:szCs w:val="36"/>
        </w:rPr>
      </w:pPr>
    </w:p>
    <w:p w14:paraId="698198C2">
      <w:pPr>
        <w:pStyle w:val="28"/>
        <w:spacing w:line="240" w:lineRule="auto"/>
        <w:ind w:firstLine="0" w:firstLineChars="0"/>
        <w:jc w:val="center"/>
        <w:rPr>
          <w:rFonts w:ascii="华文仿宋" w:hAnsi="华文仿宋" w:cs="华文仿宋"/>
          <w:color w:val="000000"/>
          <w:kern w:val="0"/>
          <w:sz w:val="96"/>
          <w:szCs w:val="96"/>
        </w:rPr>
      </w:pPr>
      <w:bookmarkStart w:id="160" w:name="_Toc20481"/>
      <w:bookmarkStart w:id="161" w:name="_Toc16362"/>
      <w:bookmarkStart w:id="162" w:name="_Toc8257"/>
      <w:bookmarkStart w:id="163" w:name="_Toc13950"/>
      <w:bookmarkStart w:id="164" w:name="_Toc76"/>
      <w:bookmarkStart w:id="165" w:name="_Toc19569"/>
      <w:bookmarkStart w:id="166" w:name="_Toc17700"/>
      <w:bookmarkStart w:id="167" w:name="_Toc26378"/>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60"/>
      <w:bookmarkEnd w:id="161"/>
      <w:bookmarkEnd w:id="162"/>
      <w:bookmarkEnd w:id="163"/>
      <w:bookmarkEnd w:id="164"/>
      <w:bookmarkEnd w:id="165"/>
      <w:bookmarkEnd w:id="166"/>
      <w:bookmarkEnd w:id="167"/>
    </w:p>
    <w:p w14:paraId="2ADCB4B5">
      <w:pPr>
        <w:pStyle w:val="28"/>
        <w:spacing w:line="240" w:lineRule="auto"/>
        <w:ind w:firstLine="0" w:firstLineChars="0"/>
        <w:jc w:val="center"/>
        <w:rPr>
          <w:rFonts w:ascii="华文仿宋" w:hAnsi="华文仿宋" w:cs="华文仿宋"/>
          <w:color w:val="000000"/>
          <w:sz w:val="36"/>
          <w:szCs w:val="36"/>
        </w:rPr>
      </w:pPr>
    </w:p>
    <w:p w14:paraId="26A6CD33">
      <w:pPr>
        <w:pStyle w:val="28"/>
        <w:spacing w:line="240" w:lineRule="auto"/>
        <w:ind w:firstLine="0" w:firstLineChars="0"/>
        <w:jc w:val="center"/>
        <w:rPr>
          <w:rFonts w:ascii="华文仿宋" w:hAnsi="华文仿宋" w:cs="华文仿宋"/>
          <w:color w:val="000000"/>
          <w:sz w:val="36"/>
          <w:szCs w:val="36"/>
        </w:rPr>
      </w:pPr>
    </w:p>
    <w:p w14:paraId="29B3B128">
      <w:pPr>
        <w:pStyle w:val="28"/>
        <w:spacing w:line="240" w:lineRule="auto"/>
        <w:ind w:firstLine="0" w:firstLineChars="0"/>
        <w:jc w:val="center"/>
        <w:rPr>
          <w:rFonts w:ascii="华文仿宋" w:hAnsi="华文仿宋" w:cs="华文仿宋"/>
          <w:color w:val="000000"/>
          <w:sz w:val="36"/>
          <w:szCs w:val="36"/>
        </w:rPr>
      </w:pPr>
    </w:p>
    <w:p w14:paraId="4DABFD41">
      <w:pPr>
        <w:pStyle w:val="28"/>
        <w:spacing w:line="240" w:lineRule="auto"/>
        <w:ind w:firstLine="0" w:firstLineChars="0"/>
        <w:jc w:val="center"/>
        <w:rPr>
          <w:rFonts w:ascii="华文仿宋" w:hAnsi="华文仿宋" w:cs="华文仿宋"/>
          <w:color w:val="000000"/>
          <w:sz w:val="36"/>
          <w:szCs w:val="36"/>
        </w:rPr>
      </w:pPr>
    </w:p>
    <w:p w14:paraId="77F7F5F4">
      <w:pPr>
        <w:pStyle w:val="28"/>
        <w:spacing w:line="240" w:lineRule="auto"/>
        <w:ind w:firstLine="0" w:firstLineChars="0"/>
        <w:jc w:val="center"/>
        <w:rPr>
          <w:rFonts w:ascii="华文仿宋" w:hAnsi="华文仿宋" w:cs="华文仿宋"/>
          <w:color w:val="000000"/>
          <w:sz w:val="36"/>
        </w:rPr>
      </w:pPr>
    </w:p>
    <w:p w14:paraId="5B5C0DD1">
      <w:pPr>
        <w:pStyle w:val="28"/>
        <w:spacing w:line="240" w:lineRule="auto"/>
        <w:ind w:firstLine="1452" w:firstLineChars="400"/>
        <w:rPr>
          <w:rFonts w:hint="default" w:ascii="仿宋" w:hAnsi="仿宋" w:eastAsia="仿宋" w:cs="仿宋"/>
          <w:b/>
          <w:color w:val="000000"/>
          <w:sz w:val="36"/>
          <w:szCs w:val="36"/>
          <w:u w:val="single"/>
          <w:lang w:val="en-US" w:eastAsia="zh-CN"/>
        </w:rPr>
      </w:pPr>
      <w:bookmarkStart w:id="168" w:name="_Toc12627"/>
      <w:bookmarkStart w:id="169" w:name="_Toc22280"/>
      <w:bookmarkStart w:id="170" w:name="_Toc24486"/>
      <w:bookmarkStart w:id="171" w:name="_Toc24457"/>
      <w:bookmarkStart w:id="172" w:name="_Toc21212"/>
      <w:bookmarkStart w:id="173" w:name="_Toc2030"/>
      <w:bookmarkStart w:id="174" w:name="_Toc15354"/>
      <w:bookmarkStart w:id="175" w:name="_Toc23171"/>
      <w:r>
        <w:rPr>
          <w:rFonts w:hint="eastAsia" w:ascii="仿宋" w:hAnsi="仿宋" w:eastAsia="仿宋" w:cs="仿宋"/>
          <w:bCs/>
          <w:color w:val="000000"/>
          <w:sz w:val="36"/>
          <w:szCs w:val="36"/>
        </w:rPr>
        <w:t>项目名称：</w:t>
      </w:r>
      <w:bookmarkEnd w:id="168"/>
      <w:bookmarkEnd w:id="169"/>
      <w:bookmarkEnd w:id="170"/>
      <w:bookmarkEnd w:id="171"/>
      <w:bookmarkEnd w:id="172"/>
      <w:bookmarkEnd w:id="173"/>
      <w:bookmarkEnd w:id="174"/>
      <w:bookmarkEnd w:id="175"/>
      <w:r>
        <w:rPr>
          <w:rFonts w:hint="eastAsia" w:ascii="仿宋" w:hAnsi="仿宋" w:eastAsia="仿宋" w:cs="仿宋"/>
          <w:bCs/>
          <w:color w:val="000000"/>
          <w:sz w:val="36"/>
          <w:szCs w:val="36"/>
          <w:u w:val="single"/>
          <w:lang w:val="en-US" w:eastAsia="zh-CN"/>
        </w:rPr>
        <w:t xml:space="preserve">             </w:t>
      </w:r>
    </w:p>
    <w:p w14:paraId="383331CB">
      <w:pPr>
        <w:pStyle w:val="28"/>
        <w:spacing w:line="240" w:lineRule="auto"/>
        <w:ind w:firstLine="1452" w:firstLineChars="400"/>
        <w:rPr>
          <w:rFonts w:hint="default" w:ascii="仿宋" w:hAnsi="仿宋" w:eastAsia="仿宋" w:cs="仿宋"/>
          <w:color w:val="000000"/>
          <w:sz w:val="36"/>
          <w:szCs w:val="36"/>
          <w:u w:val="single"/>
        </w:rPr>
      </w:pPr>
      <w:bookmarkStart w:id="176" w:name="_Toc13586"/>
      <w:bookmarkStart w:id="177" w:name="_Toc12638"/>
      <w:bookmarkStart w:id="178" w:name="_Toc4485"/>
      <w:bookmarkStart w:id="179" w:name="_Toc10738"/>
      <w:bookmarkStart w:id="180" w:name="_Toc27644"/>
      <w:bookmarkStart w:id="181" w:name="_Toc6740"/>
      <w:bookmarkStart w:id="182" w:name="_Toc346"/>
      <w:bookmarkStart w:id="183" w:name="_Toc3140"/>
      <w:r>
        <w:rPr>
          <w:rFonts w:hint="eastAsia" w:ascii="仿宋" w:hAnsi="仿宋" w:eastAsia="仿宋" w:cs="仿宋"/>
          <w:color w:val="000000"/>
          <w:sz w:val="36"/>
          <w:szCs w:val="36"/>
        </w:rPr>
        <w:t>项目编号：</w:t>
      </w:r>
      <w:bookmarkEnd w:id="176"/>
      <w:bookmarkEnd w:id="177"/>
      <w:bookmarkEnd w:id="178"/>
      <w:bookmarkEnd w:id="179"/>
      <w:bookmarkEnd w:id="180"/>
      <w:bookmarkEnd w:id="181"/>
      <w:bookmarkEnd w:id="182"/>
      <w:bookmarkEnd w:id="183"/>
      <w:r>
        <w:rPr>
          <w:rFonts w:hint="eastAsia" w:ascii="仿宋" w:hAnsi="仿宋" w:eastAsia="仿宋" w:cs="仿宋"/>
          <w:color w:val="000000"/>
          <w:sz w:val="36"/>
          <w:szCs w:val="36"/>
          <w:u w:val="single"/>
          <w:lang w:val="en-US" w:eastAsia="zh-CN"/>
        </w:rPr>
        <w:t xml:space="preserve">             </w:t>
      </w:r>
    </w:p>
    <w:p w14:paraId="3787610E">
      <w:pPr>
        <w:pStyle w:val="28"/>
        <w:spacing w:line="240" w:lineRule="auto"/>
        <w:ind w:firstLine="1452" w:firstLineChars="400"/>
        <w:rPr>
          <w:rFonts w:ascii="仿宋" w:hAnsi="仿宋" w:eastAsia="仿宋" w:cs="仿宋"/>
          <w:color w:val="000000"/>
          <w:sz w:val="36"/>
        </w:rPr>
      </w:pPr>
      <w:bookmarkStart w:id="184" w:name="_Toc22519"/>
      <w:bookmarkStart w:id="185" w:name="_Toc5428"/>
      <w:bookmarkStart w:id="186" w:name="_Toc7640"/>
      <w:bookmarkStart w:id="187" w:name="_Toc11267"/>
      <w:bookmarkStart w:id="188" w:name="_Toc29966"/>
      <w:bookmarkStart w:id="189" w:name="_Toc1120"/>
      <w:bookmarkStart w:id="190" w:name="_Toc15987"/>
      <w:bookmarkStart w:id="191"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84"/>
      <w:bookmarkEnd w:id="185"/>
      <w:bookmarkEnd w:id="186"/>
      <w:bookmarkEnd w:id="187"/>
      <w:bookmarkEnd w:id="188"/>
      <w:bookmarkEnd w:id="189"/>
      <w:bookmarkEnd w:id="190"/>
      <w:bookmarkEnd w:id="191"/>
    </w:p>
    <w:p w14:paraId="23334FD4">
      <w:pPr>
        <w:pStyle w:val="28"/>
        <w:spacing w:line="240" w:lineRule="auto"/>
        <w:ind w:firstLine="1452" w:firstLineChars="400"/>
        <w:jc w:val="left"/>
        <w:rPr>
          <w:rFonts w:hint="default" w:ascii="仿宋" w:hAnsi="仿宋" w:eastAsia="仿宋" w:cs="仿宋"/>
          <w:color w:val="000000"/>
          <w:sz w:val="36"/>
          <w:szCs w:val="36"/>
          <w:u w:val="single"/>
          <w:lang w:val="en-US" w:eastAsia="zh-CN"/>
        </w:rPr>
      </w:pPr>
      <w:bookmarkStart w:id="192" w:name="_Toc7734"/>
      <w:bookmarkStart w:id="193" w:name="_Toc15429"/>
      <w:bookmarkStart w:id="194" w:name="_Toc880"/>
      <w:bookmarkStart w:id="195" w:name="_Toc21702"/>
      <w:bookmarkStart w:id="196" w:name="_Toc24294"/>
      <w:bookmarkStart w:id="197" w:name="_Toc26250"/>
      <w:bookmarkStart w:id="198" w:name="_Toc5243"/>
      <w:bookmarkStart w:id="199" w:name="_Toc2899"/>
      <w:r>
        <w:rPr>
          <w:rFonts w:hint="eastAsia" w:ascii="仿宋" w:hAnsi="仿宋" w:eastAsia="仿宋" w:cs="仿宋"/>
          <w:color w:val="000000"/>
          <w:sz w:val="36"/>
        </w:rPr>
        <w:t>时　  间：</w:t>
      </w:r>
      <w:bookmarkEnd w:id="192"/>
      <w:bookmarkEnd w:id="193"/>
      <w:bookmarkEnd w:id="194"/>
      <w:bookmarkEnd w:id="195"/>
      <w:bookmarkEnd w:id="196"/>
      <w:bookmarkEnd w:id="197"/>
      <w:bookmarkEnd w:id="198"/>
      <w:bookmarkEnd w:id="199"/>
      <w:r>
        <w:rPr>
          <w:rFonts w:hint="eastAsia" w:ascii="仿宋" w:hAnsi="仿宋" w:eastAsia="仿宋" w:cs="仿宋"/>
          <w:color w:val="000000"/>
          <w:sz w:val="36"/>
          <w:u w:val="single"/>
          <w:lang w:val="en-US" w:eastAsia="zh-CN"/>
        </w:rPr>
        <w:t xml:space="preserve">             </w:t>
      </w:r>
    </w:p>
    <w:p w14:paraId="29E59F5D">
      <w:pPr>
        <w:pStyle w:val="28"/>
        <w:spacing w:line="240" w:lineRule="auto"/>
        <w:ind w:firstLine="1452" w:firstLineChars="400"/>
        <w:jc w:val="left"/>
        <w:rPr>
          <w:rFonts w:ascii="仿宋" w:hAnsi="仿宋" w:eastAsia="仿宋" w:cs="仿宋"/>
          <w:color w:val="000000"/>
          <w:sz w:val="36"/>
          <w:szCs w:val="36"/>
          <w:u w:val="single"/>
        </w:rPr>
      </w:pPr>
    </w:p>
    <w:p w14:paraId="71FFB00B">
      <w:pPr>
        <w:pStyle w:val="32"/>
        <w:ind w:firstLine="888"/>
        <w:outlineLvl w:val="9"/>
        <w:rPr>
          <w:rFonts w:ascii="Calibri Light" w:hAnsi="Calibri Light"/>
          <w:color w:val="000000"/>
          <w:sz w:val="36"/>
          <w:szCs w:val="36"/>
        </w:rPr>
      </w:pPr>
      <w:bookmarkStart w:id="200" w:name="_Toc23450"/>
      <w:bookmarkStart w:id="201" w:name="_Toc22476_WPSOffice_Level1"/>
      <w:bookmarkStart w:id="202" w:name="_Toc2071_WPSOffice_Level1"/>
      <w:bookmarkStart w:id="203" w:name="_Toc21571_WPSOffice_Level1"/>
      <w:bookmarkStart w:id="204" w:name="_Toc11156"/>
      <w:bookmarkStart w:id="205" w:name="_Toc3838"/>
      <w:bookmarkStart w:id="206" w:name="_Toc10193"/>
      <w:bookmarkStart w:id="207" w:name="_Toc24906"/>
      <w:bookmarkStart w:id="208" w:name="_Toc31082_WPSOffice_Level1"/>
      <w:r>
        <w:rPr>
          <w:rFonts w:hint="eastAsia" w:ascii="华文仿宋" w:hAnsi="华文仿宋" w:cs="华文仿宋"/>
          <w:color w:val="000000"/>
          <w:sz w:val="44"/>
          <w:szCs w:val="44"/>
        </w:rPr>
        <w:br w:type="page"/>
      </w:r>
      <w:bookmarkStart w:id="209" w:name="_Toc580"/>
      <w:r>
        <w:rPr>
          <w:rFonts w:hint="eastAsia" w:ascii="华文仿宋" w:hAnsi="华文仿宋" w:cs="华文仿宋"/>
          <w:color w:val="000000"/>
          <w:sz w:val="44"/>
          <w:szCs w:val="44"/>
        </w:rPr>
        <w:t>目  录</w:t>
      </w:r>
      <w:bookmarkEnd w:id="200"/>
      <w:bookmarkEnd w:id="201"/>
      <w:bookmarkEnd w:id="202"/>
      <w:bookmarkEnd w:id="203"/>
      <w:bookmarkEnd w:id="204"/>
      <w:bookmarkEnd w:id="205"/>
      <w:bookmarkEnd w:id="206"/>
      <w:bookmarkEnd w:id="207"/>
      <w:bookmarkEnd w:id="208"/>
      <w:bookmarkEnd w:id="209"/>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10" w:name="_Toc8294_WPSOffice_Level1"/>
      <w:bookmarkStart w:id="211" w:name="_Toc25537_WPSOffice_Level1"/>
      <w:bookmarkStart w:id="212" w:name="_Toc19993_WPSOffice_Level1"/>
      <w:bookmarkStart w:id="213" w:name="_Toc26192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10"/>
      <w:bookmarkEnd w:id="211"/>
      <w:bookmarkEnd w:id="212"/>
      <w:bookmarkEnd w:id="213"/>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14" w:name="_Toc14464_WPSOffice_Level2"/>
      <w:bookmarkStart w:id="215" w:name="_Toc25969_WPSOffice_Level2"/>
      <w:bookmarkStart w:id="216" w:name="_Toc19993_WPSOffice_Level2"/>
      <w:bookmarkStart w:id="217" w:name="_Toc31082_WPSOffice_Level2"/>
      <w:r>
        <w:rPr>
          <w:rFonts w:hint="eastAsia"/>
          <w:color w:val="000000"/>
        </w:rPr>
        <w:t>一、营业执照等主体资格证明文件</w:t>
      </w:r>
      <w:r>
        <w:rPr>
          <w:color w:val="000000"/>
        </w:rPr>
        <w:tab/>
      </w:r>
      <w:r>
        <w:rPr>
          <w:color w:val="000000"/>
        </w:rPr>
        <w:t>X</w:t>
      </w:r>
      <w:bookmarkEnd w:id="214"/>
      <w:bookmarkEnd w:id="215"/>
      <w:bookmarkEnd w:id="216"/>
      <w:bookmarkEnd w:id="217"/>
    </w:p>
    <w:p w14:paraId="411713C2">
      <w:pPr>
        <w:tabs>
          <w:tab w:val="right" w:leader="hyphen" w:pos="8504"/>
        </w:tabs>
        <w:spacing w:line="500" w:lineRule="exact"/>
        <w:ind w:right="849" w:rightChars="300" w:firstLine="1415" w:firstLineChars="500"/>
        <w:rPr>
          <w:color w:val="000000"/>
        </w:rPr>
      </w:pPr>
      <w:bookmarkStart w:id="218" w:name="_Toc27026_WPSOffice_Level2"/>
      <w:bookmarkStart w:id="219" w:name="_Toc10078_WPSOffice_Level2"/>
      <w:bookmarkStart w:id="220" w:name="_Toc5830_WPSOffice_Level2"/>
      <w:bookmarkStart w:id="221" w:name="_Toc25537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8"/>
      <w:bookmarkEnd w:id="219"/>
      <w:bookmarkEnd w:id="220"/>
      <w:bookmarkEnd w:id="221"/>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22" w:name="_Toc28631_WPSOffice_Level2"/>
      <w:bookmarkStart w:id="223" w:name="_Toc183_WPSOffice_Level2"/>
      <w:bookmarkStart w:id="224" w:name="_Toc5795_WPSOffice_Level2"/>
      <w:bookmarkStart w:id="225"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22"/>
      <w:bookmarkEnd w:id="223"/>
      <w:bookmarkEnd w:id="224"/>
      <w:bookmarkEnd w:id="225"/>
    </w:p>
    <w:p w14:paraId="0486DC73">
      <w:pPr>
        <w:tabs>
          <w:tab w:val="right" w:leader="hyphen" w:pos="8504"/>
        </w:tabs>
        <w:spacing w:line="500" w:lineRule="exact"/>
        <w:ind w:right="849" w:rightChars="300" w:firstLine="1415" w:firstLineChars="500"/>
        <w:rPr>
          <w:rFonts w:hint="eastAsia"/>
          <w:color w:val="000000"/>
        </w:rPr>
      </w:pPr>
      <w:bookmarkStart w:id="226" w:name="_Toc1168_WPSOffice_Level2"/>
      <w:bookmarkStart w:id="227" w:name="_Toc9021_WPSOffice_Level2"/>
      <w:bookmarkStart w:id="228" w:name="_Toc27223_WPSOffice_Level2"/>
      <w:bookmarkStart w:id="229" w:name="_Toc8116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26"/>
      <w:bookmarkEnd w:id="227"/>
      <w:bookmarkEnd w:id="228"/>
      <w:bookmarkEnd w:id="229"/>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30" w:name="_Toc11630_WPSOffice_Level2"/>
      <w:bookmarkStart w:id="231" w:name="_Toc29414_WPSOffice_Level2"/>
      <w:bookmarkStart w:id="232" w:name="_Toc27170_WPSOffice_Level2"/>
      <w:bookmarkStart w:id="233" w:name="_Toc3525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30"/>
      <w:bookmarkEnd w:id="231"/>
      <w:bookmarkEnd w:id="232"/>
      <w:bookmarkEnd w:id="233"/>
    </w:p>
    <w:p w14:paraId="0E468E6A">
      <w:pPr>
        <w:tabs>
          <w:tab w:val="right" w:leader="hyphen" w:pos="8504"/>
        </w:tabs>
        <w:spacing w:line="480" w:lineRule="exact"/>
        <w:ind w:right="849" w:rightChars="300" w:firstLine="1415" w:firstLineChars="500"/>
        <w:rPr>
          <w:color w:val="000000"/>
        </w:rPr>
      </w:pPr>
      <w:bookmarkStart w:id="234" w:name="_Toc31457_WPSOffice_Level2"/>
      <w:bookmarkStart w:id="235" w:name="_Toc1782_WPSOffice_Level2"/>
      <w:bookmarkStart w:id="236" w:name="_Toc20504_WPSOffice_Level2"/>
      <w:bookmarkStart w:id="237" w:name="_Toc18811_WPSOffice_Level2"/>
      <w:r>
        <w:rPr>
          <w:rFonts w:hint="eastAsia"/>
          <w:color w:val="000000"/>
          <w:lang w:val="en-US" w:eastAsia="zh-CN"/>
        </w:rPr>
        <w:t>五</w:t>
      </w:r>
      <w:r>
        <w:rPr>
          <w:rFonts w:hint="eastAsia"/>
          <w:color w:val="000000"/>
        </w:rPr>
        <w:t>、</w:t>
      </w:r>
      <w:bookmarkEnd w:id="234"/>
      <w:bookmarkEnd w:id="235"/>
      <w:bookmarkEnd w:id="236"/>
      <w:bookmarkEnd w:id="237"/>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8" w:name="_Toc13258_WPSOffice_Level2"/>
      <w:bookmarkStart w:id="239" w:name="_Toc28279_WPSOffice_Level2"/>
      <w:bookmarkStart w:id="240" w:name="_Toc17428_WPSOffice_Level2"/>
      <w:bookmarkStart w:id="241" w:name="_Toc19486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8"/>
      <w:bookmarkEnd w:id="239"/>
      <w:bookmarkEnd w:id="240"/>
      <w:bookmarkEnd w:id="241"/>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42" w:name="_Toc21905_WPSOffice_Level1"/>
      <w:bookmarkStart w:id="243" w:name="_Toc22808_WPSOffice_Level1"/>
      <w:bookmarkStart w:id="244" w:name="_Toc27464_WPSOffice_Level1"/>
      <w:bookmarkStart w:id="245" w:name="_Toc23092_WPSOffice_Level1"/>
      <w:r>
        <w:rPr>
          <w:rFonts w:hint="eastAsia" w:ascii="黑体" w:hAnsi="黑体" w:eastAsia="黑体" w:cs="黑体"/>
          <w:color w:val="000000"/>
        </w:rPr>
        <w:t>第三部分  响应方案</w:t>
      </w:r>
      <w:bookmarkEnd w:id="242"/>
      <w:bookmarkEnd w:id="243"/>
      <w:bookmarkEnd w:id="244"/>
      <w:bookmarkEnd w:id="245"/>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46" w:name="_Toc7951_WPSOffice_Level2"/>
      <w:bookmarkStart w:id="247" w:name="_Toc980_WPSOffice_Level2"/>
      <w:bookmarkStart w:id="248" w:name="_Toc8316_WPSOffice_Level2"/>
      <w:bookmarkStart w:id="249" w:name="_Toc7544_WPSOffice_Level2"/>
      <w:r>
        <w:rPr>
          <w:rFonts w:hint="eastAsia"/>
          <w:color w:val="000000"/>
        </w:rPr>
        <w:t>一、供应</w:t>
      </w:r>
      <w:r>
        <w:rPr>
          <w:color w:val="000000"/>
        </w:rPr>
        <w:t>商</w:t>
      </w:r>
      <w:bookmarkEnd w:id="246"/>
      <w:r>
        <w:rPr>
          <w:rFonts w:hint="eastAsia"/>
          <w:color w:val="000000"/>
        </w:rPr>
        <w:t>概况</w:t>
      </w:r>
      <w:r>
        <w:rPr>
          <w:color w:val="000000"/>
        </w:rPr>
        <w:tab/>
      </w:r>
      <w:r>
        <w:rPr>
          <w:color w:val="000000"/>
        </w:rPr>
        <w:t>X</w:t>
      </w:r>
      <w:bookmarkEnd w:id="247"/>
      <w:bookmarkEnd w:id="248"/>
      <w:bookmarkEnd w:id="249"/>
    </w:p>
    <w:p w14:paraId="5A27765E">
      <w:pPr>
        <w:tabs>
          <w:tab w:val="right" w:leader="hyphen" w:pos="8504"/>
        </w:tabs>
        <w:spacing w:line="500" w:lineRule="exact"/>
        <w:ind w:left="849" w:leftChars="300" w:right="849" w:rightChars="300" w:firstLine="566" w:firstLineChars="200"/>
        <w:rPr>
          <w:color w:val="000000"/>
        </w:rPr>
      </w:pPr>
      <w:bookmarkStart w:id="250" w:name="_Toc10127_WPSOffice_Level2"/>
      <w:bookmarkStart w:id="251" w:name="_Toc2987_WPSOffice_Level2"/>
      <w:bookmarkStart w:id="252" w:name="_Toc2999_WPSOffice_Level2"/>
      <w:bookmarkStart w:id="253"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50"/>
      <w:bookmarkEnd w:id="251"/>
      <w:bookmarkEnd w:id="252"/>
      <w:bookmarkEnd w:id="253"/>
    </w:p>
    <w:p w14:paraId="40CA49D7">
      <w:pPr>
        <w:numPr>
          <w:ilvl w:val="0"/>
          <w:numId w:val="5"/>
        </w:numPr>
        <w:tabs>
          <w:tab w:val="right" w:leader="hyphen" w:pos="8504"/>
        </w:tabs>
        <w:spacing w:line="500" w:lineRule="exact"/>
        <w:ind w:left="1981" w:leftChars="500" w:right="849" w:rightChars="300" w:hanging="566" w:hangingChars="200"/>
        <w:rPr>
          <w:color w:val="000000"/>
        </w:rPr>
      </w:pPr>
      <w:bookmarkStart w:id="254" w:name="_Toc28542_WPSOffice_Level2"/>
      <w:bookmarkStart w:id="255" w:name="_Toc13401_WPSOffice_Level2"/>
      <w:bookmarkStart w:id="256" w:name="_Toc22913_WPSOffice_Level2"/>
      <w:bookmarkStart w:id="257" w:name="_Toc15492_WPSOffice_Level2"/>
      <w:r>
        <w:rPr>
          <w:rFonts w:hint="eastAsia"/>
          <w:color w:val="000000"/>
        </w:rPr>
        <w:t>参考样表</w:t>
      </w:r>
      <w:r>
        <w:rPr>
          <w:color w:val="000000"/>
        </w:rPr>
        <w:tab/>
      </w:r>
      <w:r>
        <w:rPr>
          <w:color w:val="000000"/>
        </w:rPr>
        <w:t>X</w:t>
      </w:r>
      <w:bookmarkEnd w:id="254"/>
      <w:bookmarkEnd w:id="255"/>
      <w:bookmarkEnd w:id="256"/>
      <w:bookmarkEnd w:id="257"/>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8" w:name="_Toc31057"/>
      <w:bookmarkStart w:id="259" w:name="_Toc1807"/>
      <w:bookmarkStart w:id="260" w:name="_Toc13654"/>
      <w:r>
        <w:rPr>
          <w:rStyle w:val="33"/>
          <w:rFonts w:hint="eastAsia" w:ascii="黑体" w:hAnsi="黑体" w:eastAsia="黑体"/>
          <w:b w:val="0"/>
          <w:bCs w:val="0"/>
          <w:color w:val="000000"/>
        </w:rPr>
        <w:t>第一部分  资格证明文件</w:t>
      </w:r>
      <w:bookmarkEnd w:id="258"/>
      <w:bookmarkEnd w:id="259"/>
      <w:bookmarkEnd w:id="260"/>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4"/>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4"/>
        <w:spacing w:line="500" w:lineRule="atLeast"/>
        <w:ind w:firstLine="607"/>
        <w:jc w:val="center"/>
        <w:outlineLvl w:val="9"/>
        <w:rPr>
          <w:rFonts w:cs="Times New Roman"/>
          <w:color w:val="000000"/>
          <w:szCs w:val="30"/>
        </w:rPr>
      </w:pPr>
      <w:bookmarkStart w:id="261" w:name="_Toc15591"/>
      <w:bookmarkStart w:id="262" w:name="_Toc18044"/>
      <w:bookmarkStart w:id="263" w:name="_Toc19326"/>
      <w:bookmarkStart w:id="264" w:name="_Toc29822"/>
      <w:bookmarkStart w:id="265" w:name="_Toc17482"/>
      <w:bookmarkStart w:id="266" w:name="_Toc9004"/>
      <w:bookmarkStart w:id="267" w:name="_Toc12408"/>
      <w:bookmarkStart w:id="268" w:name="_Toc13312"/>
      <w:r>
        <w:rPr>
          <w:rFonts w:hint="eastAsia" w:cs="华文仿宋"/>
          <w:color w:val="000000"/>
          <w:szCs w:val="30"/>
        </w:rPr>
        <w:t>法定代表人授权委托书</w:t>
      </w:r>
      <w:bookmarkEnd w:id="261"/>
      <w:bookmarkEnd w:id="262"/>
      <w:bookmarkEnd w:id="263"/>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64"/>
    </w:p>
    <w:bookmarkEnd w:id="265"/>
    <w:bookmarkEnd w:id="266"/>
    <w:bookmarkEnd w:id="267"/>
    <w:bookmarkEnd w:id="268"/>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20"/>
        <w:ind w:firstLine="0" w:firstLineChars="0"/>
        <w:rPr>
          <w:rFonts w:ascii="宋体" w:hAnsi="宋体" w:eastAsia="宋体" w:cs="宋体"/>
          <w:color w:val="000000"/>
          <w:sz w:val="21"/>
          <w:szCs w:val="21"/>
        </w:rPr>
      </w:pPr>
    </w:p>
    <w:p w14:paraId="4AC14BF5">
      <w:pPr>
        <w:pStyle w:val="32"/>
        <w:ind w:firstLine="0" w:firstLineChars="0"/>
        <w:rPr>
          <w:rFonts w:hint="eastAsia" w:ascii="黑体" w:hAnsi="黑体" w:eastAsia="黑体"/>
          <w:b w:val="0"/>
          <w:color w:val="000000"/>
        </w:rPr>
      </w:pPr>
      <w:bookmarkStart w:id="269" w:name="_Toc28770"/>
      <w:bookmarkStart w:id="270" w:name="_Toc16881"/>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2"/>
        <w:ind w:firstLine="0" w:firstLineChars="0"/>
        <w:rPr>
          <w:rFonts w:ascii="黑体" w:hAnsi="黑体" w:eastAsia="黑体"/>
          <w:b w:val="0"/>
          <w:color w:val="000000"/>
        </w:rPr>
      </w:pPr>
      <w:bookmarkStart w:id="271" w:name="_Toc29074"/>
      <w:r>
        <w:rPr>
          <w:rFonts w:hint="eastAsia" w:ascii="黑体" w:hAnsi="黑体" w:eastAsia="黑体"/>
          <w:b w:val="0"/>
          <w:color w:val="000000"/>
        </w:rPr>
        <w:t>第二部分  符合性证明文件</w:t>
      </w:r>
      <w:bookmarkEnd w:id="269"/>
      <w:bookmarkEnd w:id="270"/>
      <w:bookmarkEnd w:id="271"/>
    </w:p>
    <w:p w14:paraId="4249899B">
      <w:pPr>
        <w:pStyle w:val="32"/>
        <w:ind w:firstLine="609"/>
        <w:jc w:val="both"/>
        <w:outlineLvl w:val="2"/>
        <w:rPr>
          <w:rFonts w:ascii="仿宋" w:hAnsi="仿宋" w:eastAsia="仿宋" w:cs="仿宋"/>
          <w:bCs w:val="0"/>
          <w:color w:val="000000"/>
        </w:rPr>
      </w:pPr>
      <w:bookmarkStart w:id="272" w:name="_Toc2230"/>
      <w:bookmarkStart w:id="273" w:name="_Toc19195"/>
      <w:bookmarkStart w:id="274" w:name="_Toc19788"/>
      <w:bookmarkStart w:id="275" w:name="_Toc14262"/>
      <w:r>
        <w:rPr>
          <w:rFonts w:hint="eastAsia" w:ascii="仿宋" w:hAnsi="仿宋" w:eastAsia="仿宋" w:cs="仿宋"/>
          <w:bCs w:val="0"/>
          <w:color w:val="000000"/>
        </w:rPr>
        <w:t>一、响应函格式</w:t>
      </w:r>
      <w:bookmarkEnd w:id="272"/>
      <w:bookmarkEnd w:id="273"/>
      <w:bookmarkEnd w:id="274"/>
      <w:bookmarkEnd w:id="275"/>
    </w:p>
    <w:p w14:paraId="58D43A13">
      <w:pPr>
        <w:pStyle w:val="28"/>
        <w:ind w:firstLine="0" w:firstLineChars="0"/>
        <w:jc w:val="center"/>
        <w:rPr>
          <w:rFonts w:ascii="黑体" w:hAnsi="黑体" w:eastAsia="黑体" w:cs="黑体"/>
          <w:color w:val="000000"/>
          <w:sz w:val="32"/>
          <w:szCs w:val="32"/>
        </w:rPr>
      </w:pPr>
      <w:bookmarkStart w:id="276" w:name="_Toc23334"/>
      <w:bookmarkStart w:id="277" w:name="_Toc22777"/>
      <w:bookmarkStart w:id="278" w:name="_Toc10617"/>
      <w:r>
        <w:rPr>
          <w:rFonts w:hint="eastAsia" w:ascii="黑体" w:hAnsi="黑体" w:eastAsia="黑体" w:cs="黑体"/>
          <w:color w:val="000000"/>
          <w:sz w:val="32"/>
          <w:szCs w:val="32"/>
        </w:rPr>
        <w:t>响应函</w:t>
      </w:r>
      <w:bookmarkEnd w:id="276"/>
      <w:bookmarkEnd w:id="277"/>
      <w:bookmarkEnd w:id="278"/>
    </w:p>
    <w:p w14:paraId="282EA6BA">
      <w:pPr>
        <w:pStyle w:val="28"/>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8"/>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8"/>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8"/>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8"/>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8"/>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8"/>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8"/>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8"/>
        <w:spacing w:line="500" w:lineRule="exact"/>
        <w:ind w:firstLine="567"/>
        <w:rPr>
          <w:rFonts w:ascii="华文仿宋" w:hAnsi="华文仿宋" w:cs="华文仿宋"/>
          <w:color w:val="000000"/>
        </w:rPr>
      </w:pPr>
    </w:p>
    <w:p w14:paraId="209525BA">
      <w:pPr>
        <w:pStyle w:val="28"/>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8"/>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8"/>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8"/>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8"/>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8"/>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8"/>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8"/>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8"/>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8"/>
        <w:ind w:firstLine="0" w:firstLineChars="0"/>
        <w:rPr>
          <w:rFonts w:ascii="华文仿宋" w:hAnsi="华文仿宋" w:cs="华文仿宋"/>
          <w:color w:val="000000"/>
          <w:sz w:val="36"/>
        </w:rPr>
      </w:pPr>
    </w:p>
    <w:p w14:paraId="4C6D3F6B">
      <w:pPr>
        <w:pStyle w:val="28"/>
        <w:ind w:firstLine="0" w:firstLineChars="0"/>
        <w:rPr>
          <w:color w:val="000000"/>
          <w:sz w:val="36"/>
        </w:rPr>
      </w:pPr>
    </w:p>
    <w:p w14:paraId="70C7C9DE">
      <w:pPr>
        <w:pStyle w:val="28"/>
        <w:ind w:firstLine="0" w:firstLineChars="0"/>
        <w:rPr>
          <w:color w:val="000000"/>
          <w:sz w:val="24"/>
          <w:szCs w:val="24"/>
        </w:rPr>
      </w:pPr>
    </w:p>
    <w:p w14:paraId="1EE38841">
      <w:pPr>
        <w:pStyle w:val="28"/>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8"/>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2"/>
        <w:ind w:firstLine="609"/>
        <w:jc w:val="both"/>
        <w:outlineLvl w:val="9"/>
        <w:rPr>
          <w:rFonts w:ascii="仿宋" w:hAnsi="仿宋" w:eastAsia="仿宋" w:cs="仿宋"/>
          <w:bCs w:val="0"/>
          <w:color w:val="000000"/>
        </w:rPr>
      </w:pPr>
      <w:bookmarkStart w:id="279" w:name="_Toc24876"/>
      <w:bookmarkStart w:id="280" w:name="_Toc6921"/>
      <w:bookmarkStart w:id="281" w:name="_Toc23660"/>
    </w:p>
    <w:p w14:paraId="1AF40D03">
      <w:pPr>
        <w:pStyle w:val="32"/>
        <w:ind w:firstLine="609"/>
        <w:jc w:val="both"/>
        <w:outlineLvl w:val="9"/>
        <w:rPr>
          <w:rFonts w:ascii="仿宋" w:hAnsi="仿宋" w:eastAsia="仿宋" w:cs="仿宋"/>
          <w:bCs w:val="0"/>
          <w:color w:val="000000"/>
        </w:rPr>
      </w:pPr>
    </w:p>
    <w:p w14:paraId="12E6B8AB">
      <w:pPr>
        <w:pStyle w:val="32"/>
        <w:ind w:firstLine="609"/>
        <w:jc w:val="both"/>
        <w:outlineLvl w:val="9"/>
        <w:rPr>
          <w:rFonts w:ascii="仿宋" w:hAnsi="仿宋" w:eastAsia="仿宋" w:cs="仿宋"/>
          <w:bCs w:val="0"/>
          <w:color w:val="000000"/>
        </w:rPr>
      </w:pPr>
    </w:p>
    <w:p w14:paraId="65D75D7C">
      <w:pPr>
        <w:pStyle w:val="32"/>
        <w:ind w:firstLine="609"/>
        <w:jc w:val="both"/>
        <w:outlineLvl w:val="9"/>
        <w:rPr>
          <w:rFonts w:ascii="仿宋" w:hAnsi="仿宋" w:eastAsia="仿宋" w:cs="仿宋"/>
          <w:bCs w:val="0"/>
          <w:color w:val="000000"/>
        </w:rPr>
      </w:pPr>
    </w:p>
    <w:p w14:paraId="33FAB430">
      <w:pPr>
        <w:pStyle w:val="32"/>
        <w:ind w:firstLine="609"/>
        <w:jc w:val="both"/>
        <w:outlineLvl w:val="9"/>
        <w:rPr>
          <w:rFonts w:ascii="仿宋" w:hAnsi="仿宋" w:eastAsia="仿宋" w:cs="仿宋"/>
          <w:bCs w:val="0"/>
          <w:color w:val="000000"/>
        </w:rPr>
      </w:pPr>
    </w:p>
    <w:p w14:paraId="7E6641E9">
      <w:pPr>
        <w:pStyle w:val="32"/>
        <w:ind w:firstLine="609"/>
        <w:jc w:val="both"/>
        <w:outlineLvl w:val="9"/>
        <w:rPr>
          <w:rFonts w:ascii="仿宋" w:hAnsi="仿宋" w:eastAsia="仿宋" w:cs="仿宋"/>
          <w:bCs w:val="0"/>
          <w:color w:val="000000"/>
        </w:rPr>
      </w:pPr>
    </w:p>
    <w:p w14:paraId="32D911F3">
      <w:pPr>
        <w:pStyle w:val="32"/>
        <w:ind w:firstLine="609"/>
        <w:jc w:val="both"/>
        <w:outlineLvl w:val="9"/>
        <w:rPr>
          <w:rFonts w:ascii="仿宋" w:hAnsi="仿宋" w:eastAsia="仿宋" w:cs="仿宋"/>
          <w:bCs w:val="0"/>
          <w:color w:val="000000"/>
        </w:rPr>
      </w:pPr>
    </w:p>
    <w:p w14:paraId="0306B5D9">
      <w:pPr>
        <w:pStyle w:val="32"/>
        <w:ind w:firstLine="609"/>
        <w:jc w:val="both"/>
        <w:outlineLvl w:val="9"/>
        <w:rPr>
          <w:rFonts w:ascii="仿宋" w:hAnsi="仿宋" w:eastAsia="仿宋" w:cs="仿宋"/>
          <w:bCs w:val="0"/>
          <w:color w:val="000000"/>
        </w:rPr>
      </w:pPr>
    </w:p>
    <w:bookmarkEnd w:id="279"/>
    <w:bookmarkEnd w:id="280"/>
    <w:bookmarkEnd w:id="281"/>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2"/>
        <w:numPr>
          <w:ilvl w:val="0"/>
          <w:numId w:val="6"/>
        </w:numPr>
        <w:ind w:firstLine="609"/>
        <w:jc w:val="both"/>
        <w:outlineLvl w:val="2"/>
        <w:rPr>
          <w:rFonts w:hint="eastAsia" w:eastAsia="华文仿宋"/>
          <w:b/>
          <w:bCs/>
          <w:color w:val="000000"/>
          <w:sz w:val="30"/>
          <w:szCs w:val="30"/>
          <w:lang w:eastAsia="zh-CN"/>
        </w:rPr>
      </w:pPr>
      <w:bookmarkStart w:id="282" w:name="_Toc10520"/>
      <w:r>
        <w:rPr>
          <w:rFonts w:hint="eastAsia" w:ascii="仿宋" w:hAnsi="仿宋" w:eastAsia="仿宋" w:cs="仿宋"/>
          <w:color w:val="000000"/>
          <w:lang w:val="en-US" w:eastAsia="zh-CN"/>
        </w:rPr>
        <w:t>落实的政府采购政策</w:t>
      </w:r>
    </w:p>
    <w:p w14:paraId="0832D672">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2"/>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82"/>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2"/>
              <w:widowControl w:val="0"/>
              <w:spacing w:line="240" w:lineRule="auto"/>
              <w:ind w:firstLine="0" w:firstLineChars="0"/>
              <w:rPr>
                <w:rFonts w:ascii="仿宋" w:hAnsi="仿宋" w:eastAsia="仿宋" w:cs="仿宋"/>
                <w:b w:val="0"/>
                <w:bCs w:val="0"/>
                <w:color w:val="000000"/>
                <w:kern w:val="0"/>
                <w:sz w:val="24"/>
                <w:szCs w:val="24"/>
              </w:rPr>
            </w:pPr>
            <w:bookmarkStart w:id="283" w:name="_Toc16202"/>
            <w:bookmarkStart w:id="284" w:name="_Toc32559"/>
            <w:bookmarkStart w:id="285" w:name="_Toc16359"/>
            <w:bookmarkStart w:id="286" w:name="_Toc28616"/>
            <w:r>
              <w:rPr>
                <w:rFonts w:hint="eastAsia" w:ascii="仿宋" w:hAnsi="仿宋" w:eastAsia="仿宋" w:cs="仿宋"/>
                <w:bCs w:val="0"/>
                <w:color w:val="000000"/>
                <w:sz w:val="24"/>
                <w:szCs w:val="24"/>
              </w:rPr>
              <w:t>计量单位</w:t>
            </w:r>
            <w:bookmarkEnd w:id="283"/>
            <w:bookmarkEnd w:id="284"/>
            <w:bookmarkEnd w:id="285"/>
            <w:bookmarkEnd w:id="286"/>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2"/>
              <w:widowControl w:val="0"/>
              <w:spacing w:line="240" w:lineRule="auto"/>
              <w:ind w:firstLine="0" w:firstLineChars="0"/>
              <w:rPr>
                <w:rFonts w:ascii="仿宋" w:hAnsi="仿宋" w:eastAsia="仿宋" w:cs="仿宋"/>
                <w:b w:val="0"/>
                <w:bCs w:val="0"/>
                <w:color w:val="000000"/>
                <w:kern w:val="0"/>
                <w:sz w:val="24"/>
                <w:szCs w:val="24"/>
                <w:lang w:val="zh-CN"/>
              </w:rPr>
            </w:pPr>
            <w:bookmarkStart w:id="287" w:name="_Toc26417"/>
            <w:bookmarkStart w:id="288" w:name="_Toc4371"/>
            <w:bookmarkStart w:id="289" w:name="_Toc5340"/>
            <w:bookmarkStart w:id="290" w:name="_Toc29236"/>
            <w:r>
              <w:rPr>
                <w:rFonts w:hint="eastAsia" w:ascii="仿宋" w:hAnsi="仿宋" w:eastAsia="仿宋" w:cs="仿宋"/>
                <w:bCs w:val="0"/>
                <w:color w:val="000000"/>
                <w:sz w:val="24"/>
                <w:szCs w:val="24"/>
              </w:rPr>
              <w:t>具体要求说明</w:t>
            </w:r>
            <w:bookmarkEnd w:id="287"/>
            <w:bookmarkEnd w:id="288"/>
            <w:bookmarkEnd w:id="289"/>
            <w:bookmarkEnd w:id="290"/>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2"/>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2"/>
              <w:widowControl w:val="0"/>
              <w:spacing w:line="240" w:lineRule="auto"/>
              <w:ind w:firstLine="0" w:firstLineChars="0"/>
              <w:rPr>
                <w:rFonts w:ascii="仿宋" w:hAnsi="仿宋" w:eastAsia="仿宋" w:cs="仿宋"/>
                <w:bCs w:val="0"/>
                <w:color w:val="000000"/>
                <w:sz w:val="24"/>
                <w:szCs w:val="24"/>
              </w:rPr>
            </w:pPr>
            <w:bookmarkStart w:id="291" w:name="_Toc14670"/>
            <w:bookmarkStart w:id="292" w:name="_Toc24317"/>
            <w:bookmarkStart w:id="293" w:name="_Toc9206"/>
            <w:bookmarkStart w:id="294"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2"/>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2"/>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91"/>
            <w:bookmarkEnd w:id="292"/>
            <w:bookmarkEnd w:id="293"/>
            <w:bookmarkEnd w:id="294"/>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2"/>
        <w:ind w:firstLine="609"/>
        <w:jc w:val="both"/>
        <w:outlineLvl w:val="2"/>
        <w:rPr>
          <w:rFonts w:ascii="仿宋" w:hAnsi="仿宋" w:eastAsia="仿宋" w:cs="仿宋"/>
          <w:bCs w:val="0"/>
          <w:color w:val="000000"/>
        </w:rPr>
      </w:pPr>
      <w:bookmarkStart w:id="295" w:name="_Toc31382"/>
      <w:bookmarkStart w:id="296" w:name="_Toc19377"/>
      <w:bookmarkStart w:id="297" w:name="_Toc27738"/>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8" w:name="_Toc20905"/>
      <w:r>
        <w:rPr>
          <w:rFonts w:hint="eastAsia" w:ascii="仿宋" w:hAnsi="仿宋" w:eastAsia="仿宋" w:cs="仿宋"/>
          <w:bCs w:val="0"/>
          <w:color w:val="000000"/>
        </w:rPr>
        <w:t>供应商</w:t>
      </w:r>
      <w:bookmarkEnd w:id="295"/>
      <w:bookmarkEnd w:id="296"/>
      <w:bookmarkEnd w:id="297"/>
      <w:r>
        <w:rPr>
          <w:rFonts w:hint="eastAsia" w:ascii="仿宋" w:hAnsi="仿宋" w:eastAsia="仿宋" w:cs="仿宋"/>
          <w:bCs w:val="0"/>
          <w:color w:val="000000"/>
        </w:rPr>
        <w:t>承诺书</w:t>
      </w:r>
      <w:bookmarkEnd w:id="298"/>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5"/>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2"/>
        <w:ind w:firstLine="0" w:firstLineChars="0"/>
        <w:rPr>
          <w:rFonts w:ascii="黑体" w:hAnsi="黑体" w:eastAsia="黑体"/>
          <w:b w:val="0"/>
          <w:color w:val="000000"/>
        </w:rPr>
      </w:pPr>
      <w:r>
        <w:rPr>
          <w:rFonts w:ascii="黑体" w:hAnsi="黑体" w:eastAsia="黑体"/>
          <w:b w:val="0"/>
          <w:color w:val="000000"/>
        </w:rPr>
        <w:br w:type="page"/>
      </w:r>
      <w:bookmarkStart w:id="299" w:name="_Toc11295"/>
      <w:bookmarkStart w:id="300" w:name="_Toc12899"/>
      <w:bookmarkStart w:id="301" w:name="_Toc15586"/>
      <w:bookmarkStart w:id="302" w:name="_Toc525"/>
      <w:bookmarkStart w:id="303" w:name="_Toc18795"/>
      <w:r>
        <w:rPr>
          <w:rFonts w:hint="eastAsia" w:ascii="黑体" w:hAnsi="黑体" w:eastAsia="黑体"/>
          <w:b w:val="0"/>
          <w:color w:val="000000"/>
          <w:sz w:val="32"/>
          <w:szCs w:val="36"/>
        </w:rPr>
        <w:t>第三部分  响应方案</w:t>
      </w:r>
      <w:bookmarkEnd w:id="299"/>
      <w:bookmarkEnd w:id="300"/>
      <w:bookmarkEnd w:id="301"/>
      <w:bookmarkEnd w:id="302"/>
      <w:bookmarkEnd w:id="303"/>
    </w:p>
    <w:p w14:paraId="397633A1">
      <w:pPr>
        <w:pStyle w:val="32"/>
        <w:ind w:firstLine="609"/>
        <w:jc w:val="both"/>
        <w:outlineLvl w:val="2"/>
        <w:rPr>
          <w:rFonts w:ascii="仿宋" w:hAnsi="仿宋" w:eastAsia="仿宋" w:cs="仿宋"/>
          <w:bCs w:val="0"/>
          <w:color w:val="000000"/>
        </w:rPr>
      </w:pPr>
      <w:bookmarkStart w:id="304" w:name="_Toc9337_WPSOffice_Level2"/>
      <w:bookmarkStart w:id="305" w:name="_Toc29975_WPSOffice_Level2"/>
      <w:bookmarkStart w:id="306" w:name="_Toc15660_WPSOffice_Level2"/>
      <w:bookmarkStart w:id="307" w:name="_Toc17062_WPSOffice_Level2"/>
      <w:bookmarkStart w:id="308" w:name="_Toc24887"/>
      <w:bookmarkStart w:id="309" w:name="_Toc9079"/>
      <w:bookmarkStart w:id="310" w:name="_Toc7732"/>
      <w:bookmarkStart w:id="311" w:name="_Toc7989"/>
      <w:bookmarkStart w:id="312" w:name="_Toc11555"/>
      <w:bookmarkStart w:id="313" w:name="_Toc28702"/>
      <w:bookmarkStart w:id="314" w:name="_Toc17621"/>
      <w:r>
        <w:rPr>
          <w:rFonts w:hint="eastAsia" w:ascii="仿宋" w:hAnsi="仿宋" w:eastAsia="仿宋" w:cs="仿宋"/>
          <w:bCs w:val="0"/>
          <w:color w:val="000000"/>
        </w:rPr>
        <w:t>一、供应商概况</w:t>
      </w:r>
      <w:bookmarkEnd w:id="304"/>
      <w:bookmarkEnd w:id="305"/>
      <w:bookmarkEnd w:id="306"/>
      <w:bookmarkEnd w:id="307"/>
      <w:bookmarkEnd w:id="308"/>
      <w:bookmarkEnd w:id="309"/>
      <w:bookmarkEnd w:id="310"/>
      <w:bookmarkEnd w:id="311"/>
      <w:bookmarkEnd w:id="312"/>
      <w:bookmarkEnd w:id="313"/>
      <w:bookmarkEnd w:id="314"/>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2"/>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6F793">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posOffset>2458720</wp:posOffset>
              </wp:positionH>
              <wp:positionV relativeFrom="paragraph">
                <wp:posOffset>46990</wp:posOffset>
              </wp:positionV>
              <wp:extent cx="715645" cy="179070"/>
              <wp:effectExtent l="0" t="0" r="0" b="0"/>
              <wp:wrapNone/>
              <wp:docPr id="8" name="文本框 8"/>
              <wp:cNvGraphicFramePr/>
              <a:graphic xmlns:a="http://schemas.openxmlformats.org/drawingml/2006/main">
                <a:graphicData uri="http://schemas.microsoft.com/office/word/2010/wordprocessingShape">
                  <wps:wsp>
                    <wps:cNvSpPr txBox="1"/>
                    <wps:spPr>
                      <a:xfrm>
                        <a:off x="0" y="0"/>
                        <a:ext cx="715645" cy="179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3.6pt;margin-top:3.7pt;height:14.1pt;width:56.35pt;mso-position-horizontal-relative:margin;z-index:251663360;mso-width-relative:page;mso-height-relative:page;" filled="f" stroked="f" coordsize="21600,21600" o:gfxdata="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pHXdtgAAAAIAQAADwAAAAAAAAABACAAAAAiAAAAZHJzL2Rvd25y&#10;ZXYueG1sUEsBAhQAFAAAAAgAh07iQDK1h3I3AgAAYQQAAA4AAAAAAAAAAQAgAAAAJwEAAGRycy9l&#10;Mm9Eb2MueG1sUEsFBgAAAAAGAAYAWQEAANAFAAAAAA==&#10;">
              <v:fill on="f" focussize="0,0"/>
              <v:stroke on="f" weight="0.5pt"/>
              <v:imagedata o:title=""/>
              <o:lock v:ext="edit" aspectratio="f"/>
              <v:textbox inset="0mm,0mm,0mm,0mm">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4"/>
      <w:rPr>
        <w:rFonts w:hint="eastAsia"/>
        <w:b w:val="0"/>
        <w:bCs w:val="0"/>
        <w:color w:val="auto"/>
        <w:lang w:eastAsia="zh-CN"/>
      </w:rPr>
    </w:pPr>
    <w:r>
      <w:rPr>
        <w:rFonts w:hint="eastAsia"/>
        <w:b w:val="0"/>
        <w:bCs w:val="0"/>
        <w:color w:val="auto"/>
        <w:lang w:eastAsia="zh-CN"/>
      </w:rPr>
      <w:t>延安西北局革命旧址管理处管辖区域物业化管理服务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4"/>
    </w:pPr>
    <w:r>
      <w:rPr>
        <w:rFonts w:hint="eastAsia"/>
        <w:color w:val="000000"/>
        <w:lang w:val="en-US" w:eastAsia="zh-CN"/>
      </w:rPr>
      <w:t>延安西北局革命旧址管理处管辖区域物业化管理服务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4"/>
      <w:tabs>
        <w:tab w:val="left" w:pos="368"/>
      </w:tabs>
      <w:jc w:val="center"/>
    </w:pPr>
    <w:r>
      <w:rPr>
        <w:rFonts w:hint="eastAsia"/>
        <w:b w:val="0"/>
        <w:bCs w:val="0"/>
        <w:color w:val="auto"/>
        <w:lang w:eastAsia="zh-CN"/>
      </w:rPr>
      <w:t>延安西北局革命旧址管理处管辖区域物业化管理服务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917D3"/>
    <w:rsid w:val="005A0D91"/>
    <w:rsid w:val="005C4D2E"/>
    <w:rsid w:val="006836D3"/>
    <w:rsid w:val="007C717F"/>
    <w:rsid w:val="007F58B7"/>
    <w:rsid w:val="00885B23"/>
    <w:rsid w:val="008C3E75"/>
    <w:rsid w:val="008C6C96"/>
    <w:rsid w:val="00920750"/>
    <w:rsid w:val="00A13B93"/>
    <w:rsid w:val="00A3470B"/>
    <w:rsid w:val="00FD6FFF"/>
    <w:rsid w:val="0106590A"/>
    <w:rsid w:val="0153724B"/>
    <w:rsid w:val="015C2B0C"/>
    <w:rsid w:val="017E6B98"/>
    <w:rsid w:val="01826A17"/>
    <w:rsid w:val="018B236D"/>
    <w:rsid w:val="018E1CDD"/>
    <w:rsid w:val="01995B0E"/>
    <w:rsid w:val="01A422D2"/>
    <w:rsid w:val="01B14C06"/>
    <w:rsid w:val="01E6443F"/>
    <w:rsid w:val="01EE19B6"/>
    <w:rsid w:val="020A0DA8"/>
    <w:rsid w:val="02183E82"/>
    <w:rsid w:val="02457A2C"/>
    <w:rsid w:val="0253245F"/>
    <w:rsid w:val="025A34EF"/>
    <w:rsid w:val="026B3007"/>
    <w:rsid w:val="029562D6"/>
    <w:rsid w:val="02B26E88"/>
    <w:rsid w:val="02CD1F13"/>
    <w:rsid w:val="02D13556"/>
    <w:rsid w:val="02D768EE"/>
    <w:rsid w:val="02E80AFB"/>
    <w:rsid w:val="02F6579D"/>
    <w:rsid w:val="03092820"/>
    <w:rsid w:val="032F5083"/>
    <w:rsid w:val="03351867"/>
    <w:rsid w:val="035829D1"/>
    <w:rsid w:val="038F3245"/>
    <w:rsid w:val="039B407E"/>
    <w:rsid w:val="03AE3AF3"/>
    <w:rsid w:val="03D42E2E"/>
    <w:rsid w:val="03FB660C"/>
    <w:rsid w:val="04115E30"/>
    <w:rsid w:val="041E4679"/>
    <w:rsid w:val="04212517"/>
    <w:rsid w:val="04552A50"/>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B97C74"/>
    <w:rsid w:val="05CA26AE"/>
    <w:rsid w:val="05CC0260"/>
    <w:rsid w:val="05E11832"/>
    <w:rsid w:val="05FE23E4"/>
    <w:rsid w:val="0616597F"/>
    <w:rsid w:val="0620235A"/>
    <w:rsid w:val="06500E91"/>
    <w:rsid w:val="06571C6C"/>
    <w:rsid w:val="067E4BBE"/>
    <w:rsid w:val="067F52D3"/>
    <w:rsid w:val="069279F6"/>
    <w:rsid w:val="06952D48"/>
    <w:rsid w:val="06B55971"/>
    <w:rsid w:val="06FC4B75"/>
    <w:rsid w:val="07267E44"/>
    <w:rsid w:val="073C0184"/>
    <w:rsid w:val="074810B3"/>
    <w:rsid w:val="075C73C2"/>
    <w:rsid w:val="075F6A10"/>
    <w:rsid w:val="07660241"/>
    <w:rsid w:val="07CF1388"/>
    <w:rsid w:val="080715F7"/>
    <w:rsid w:val="08161C67"/>
    <w:rsid w:val="081859DF"/>
    <w:rsid w:val="0831355E"/>
    <w:rsid w:val="08406CE4"/>
    <w:rsid w:val="085D5AE7"/>
    <w:rsid w:val="08602EE2"/>
    <w:rsid w:val="086A3D60"/>
    <w:rsid w:val="089963F4"/>
    <w:rsid w:val="08A92ADB"/>
    <w:rsid w:val="08B01682"/>
    <w:rsid w:val="08D21E73"/>
    <w:rsid w:val="08E6531C"/>
    <w:rsid w:val="09000221"/>
    <w:rsid w:val="0906678C"/>
    <w:rsid w:val="090E293E"/>
    <w:rsid w:val="09207FBB"/>
    <w:rsid w:val="092600E8"/>
    <w:rsid w:val="092E0A33"/>
    <w:rsid w:val="093700E7"/>
    <w:rsid w:val="09420839"/>
    <w:rsid w:val="09424A0F"/>
    <w:rsid w:val="095429DE"/>
    <w:rsid w:val="0969226A"/>
    <w:rsid w:val="097A7FD3"/>
    <w:rsid w:val="098F7F12"/>
    <w:rsid w:val="09945156"/>
    <w:rsid w:val="09B41737"/>
    <w:rsid w:val="09F00295"/>
    <w:rsid w:val="0A2F247A"/>
    <w:rsid w:val="0A3208AE"/>
    <w:rsid w:val="0AA20035"/>
    <w:rsid w:val="0AAA2B3A"/>
    <w:rsid w:val="0AD927DA"/>
    <w:rsid w:val="0AFD2C6A"/>
    <w:rsid w:val="0B287EF2"/>
    <w:rsid w:val="0B2E1E80"/>
    <w:rsid w:val="0B6A3BEB"/>
    <w:rsid w:val="0B6E78D8"/>
    <w:rsid w:val="0B753148"/>
    <w:rsid w:val="0B7849E6"/>
    <w:rsid w:val="0B7A250D"/>
    <w:rsid w:val="0B8769D7"/>
    <w:rsid w:val="0B892750"/>
    <w:rsid w:val="0B931ED3"/>
    <w:rsid w:val="0B9A495D"/>
    <w:rsid w:val="0BAD401F"/>
    <w:rsid w:val="0BAF665A"/>
    <w:rsid w:val="0BB04180"/>
    <w:rsid w:val="0BBE6B6A"/>
    <w:rsid w:val="0BC5416A"/>
    <w:rsid w:val="0BCB0FBA"/>
    <w:rsid w:val="0BE01DA1"/>
    <w:rsid w:val="0BFF569C"/>
    <w:rsid w:val="0C3A3E75"/>
    <w:rsid w:val="0C5B233E"/>
    <w:rsid w:val="0C7B17EF"/>
    <w:rsid w:val="0CB754DF"/>
    <w:rsid w:val="0CE265BB"/>
    <w:rsid w:val="0CF42CB0"/>
    <w:rsid w:val="0CFD33F5"/>
    <w:rsid w:val="0D26294C"/>
    <w:rsid w:val="0D4B6583"/>
    <w:rsid w:val="0D625B94"/>
    <w:rsid w:val="0D883087"/>
    <w:rsid w:val="0DCB34F3"/>
    <w:rsid w:val="0DD71E98"/>
    <w:rsid w:val="0DE00CB6"/>
    <w:rsid w:val="0DE73C50"/>
    <w:rsid w:val="0DE85E53"/>
    <w:rsid w:val="0DFB64F3"/>
    <w:rsid w:val="0DFC0475"/>
    <w:rsid w:val="0E0302A0"/>
    <w:rsid w:val="0E2F75DE"/>
    <w:rsid w:val="0E484619"/>
    <w:rsid w:val="0E9465F6"/>
    <w:rsid w:val="0E990EFC"/>
    <w:rsid w:val="0EA07F83"/>
    <w:rsid w:val="0EAC16E8"/>
    <w:rsid w:val="0EB65F51"/>
    <w:rsid w:val="0EC51CF1"/>
    <w:rsid w:val="0EE320D8"/>
    <w:rsid w:val="0F0767AD"/>
    <w:rsid w:val="0F380715"/>
    <w:rsid w:val="0F40581B"/>
    <w:rsid w:val="0F483D4E"/>
    <w:rsid w:val="0F5A4B1A"/>
    <w:rsid w:val="0F8C5352"/>
    <w:rsid w:val="0FB75ADD"/>
    <w:rsid w:val="0FCB7000"/>
    <w:rsid w:val="100D3BA5"/>
    <w:rsid w:val="10480E2B"/>
    <w:rsid w:val="104F55B9"/>
    <w:rsid w:val="105B6408"/>
    <w:rsid w:val="109160DD"/>
    <w:rsid w:val="1111746F"/>
    <w:rsid w:val="111D59F8"/>
    <w:rsid w:val="115A7068"/>
    <w:rsid w:val="116457F1"/>
    <w:rsid w:val="117D2D56"/>
    <w:rsid w:val="11991213"/>
    <w:rsid w:val="11B92B3A"/>
    <w:rsid w:val="11C72224"/>
    <w:rsid w:val="11CB5870"/>
    <w:rsid w:val="12163D18"/>
    <w:rsid w:val="12266F4A"/>
    <w:rsid w:val="12291BED"/>
    <w:rsid w:val="12693030"/>
    <w:rsid w:val="1279351E"/>
    <w:rsid w:val="12A85BB1"/>
    <w:rsid w:val="12BA4725"/>
    <w:rsid w:val="12C31B2A"/>
    <w:rsid w:val="13113756"/>
    <w:rsid w:val="131B45D5"/>
    <w:rsid w:val="13483D9B"/>
    <w:rsid w:val="13485EDB"/>
    <w:rsid w:val="134A310C"/>
    <w:rsid w:val="13631E88"/>
    <w:rsid w:val="13830225"/>
    <w:rsid w:val="13C0517C"/>
    <w:rsid w:val="13C6192E"/>
    <w:rsid w:val="13C82EBD"/>
    <w:rsid w:val="13F41F7E"/>
    <w:rsid w:val="13F56BD4"/>
    <w:rsid w:val="13F923DF"/>
    <w:rsid w:val="14014803"/>
    <w:rsid w:val="14072DAB"/>
    <w:rsid w:val="145204CA"/>
    <w:rsid w:val="148625B0"/>
    <w:rsid w:val="149E54BE"/>
    <w:rsid w:val="14A423A8"/>
    <w:rsid w:val="14A75F77"/>
    <w:rsid w:val="14C30A80"/>
    <w:rsid w:val="14EA2EBE"/>
    <w:rsid w:val="14FE41AE"/>
    <w:rsid w:val="150115A9"/>
    <w:rsid w:val="154D47EE"/>
    <w:rsid w:val="155344FA"/>
    <w:rsid w:val="15535D43"/>
    <w:rsid w:val="15787B7C"/>
    <w:rsid w:val="15B4486D"/>
    <w:rsid w:val="15CA5B4B"/>
    <w:rsid w:val="15D867AD"/>
    <w:rsid w:val="15EC2259"/>
    <w:rsid w:val="161768F2"/>
    <w:rsid w:val="16297009"/>
    <w:rsid w:val="16331C36"/>
    <w:rsid w:val="16563FC8"/>
    <w:rsid w:val="166167A3"/>
    <w:rsid w:val="167364D6"/>
    <w:rsid w:val="1686445B"/>
    <w:rsid w:val="16CD3E38"/>
    <w:rsid w:val="16D74786"/>
    <w:rsid w:val="1743234C"/>
    <w:rsid w:val="175E666B"/>
    <w:rsid w:val="17640690"/>
    <w:rsid w:val="177469AA"/>
    <w:rsid w:val="177B15A9"/>
    <w:rsid w:val="17887D5F"/>
    <w:rsid w:val="17A22A5A"/>
    <w:rsid w:val="17D50129"/>
    <w:rsid w:val="18147845"/>
    <w:rsid w:val="18185636"/>
    <w:rsid w:val="182305D6"/>
    <w:rsid w:val="182932F0"/>
    <w:rsid w:val="185B4FDD"/>
    <w:rsid w:val="185F6D12"/>
    <w:rsid w:val="186C7681"/>
    <w:rsid w:val="189831C8"/>
    <w:rsid w:val="18C80D5B"/>
    <w:rsid w:val="18CE5C46"/>
    <w:rsid w:val="18D771F0"/>
    <w:rsid w:val="18DD40DB"/>
    <w:rsid w:val="18F558C8"/>
    <w:rsid w:val="190C006F"/>
    <w:rsid w:val="191044B0"/>
    <w:rsid w:val="19191C06"/>
    <w:rsid w:val="1934019F"/>
    <w:rsid w:val="194A4E3B"/>
    <w:rsid w:val="196A1E12"/>
    <w:rsid w:val="196F11D7"/>
    <w:rsid w:val="196F567B"/>
    <w:rsid w:val="19752927"/>
    <w:rsid w:val="198A7DBF"/>
    <w:rsid w:val="1997072D"/>
    <w:rsid w:val="19974BFE"/>
    <w:rsid w:val="19A05834"/>
    <w:rsid w:val="19A50AE7"/>
    <w:rsid w:val="19F210D5"/>
    <w:rsid w:val="19FD4AA7"/>
    <w:rsid w:val="1A197394"/>
    <w:rsid w:val="1A1B310D"/>
    <w:rsid w:val="1A4B2A44"/>
    <w:rsid w:val="1A6E76E0"/>
    <w:rsid w:val="1A7A42D7"/>
    <w:rsid w:val="1A845156"/>
    <w:rsid w:val="1A9133CF"/>
    <w:rsid w:val="1A972B45"/>
    <w:rsid w:val="1AA13ABF"/>
    <w:rsid w:val="1AB9713F"/>
    <w:rsid w:val="1ABF7590"/>
    <w:rsid w:val="1AC55423"/>
    <w:rsid w:val="1AC6751C"/>
    <w:rsid w:val="1ADC289C"/>
    <w:rsid w:val="1AF220BF"/>
    <w:rsid w:val="1AF851FC"/>
    <w:rsid w:val="1B0F3646"/>
    <w:rsid w:val="1B1D686F"/>
    <w:rsid w:val="1B281F85"/>
    <w:rsid w:val="1B361E84"/>
    <w:rsid w:val="1B6805D3"/>
    <w:rsid w:val="1B854CE1"/>
    <w:rsid w:val="1B9D3974"/>
    <w:rsid w:val="1BBD18E9"/>
    <w:rsid w:val="1BD94078"/>
    <w:rsid w:val="1BF72592"/>
    <w:rsid w:val="1BF87BB9"/>
    <w:rsid w:val="1C0A51E7"/>
    <w:rsid w:val="1C24274C"/>
    <w:rsid w:val="1C273FEB"/>
    <w:rsid w:val="1C2F10F1"/>
    <w:rsid w:val="1C3A34E8"/>
    <w:rsid w:val="1C3D650C"/>
    <w:rsid w:val="1C533032"/>
    <w:rsid w:val="1C564667"/>
    <w:rsid w:val="1C5E5533"/>
    <w:rsid w:val="1C6E12C2"/>
    <w:rsid w:val="1C6E7E6B"/>
    <w:rsid w:val="1C7A30C4"/>
    <w:rsid w:val="1C8812E8"/>
    <w:rsid w:val="1CCC38A0"/>
    <w:rsid w:val="1CE35C57"/>
    <w:rsid w:val="1D231C99"/>
    <w:rsid w:val="1D2616DA"/>
    <w:rsid w:val="1D305121"/>
    <w:rsid w:val="1D4665DA"/>
    <w:rsid w:val="1D70551D"/>
    <w:rsid w:val="1D7A37C6"/>
    <w:rsid w:val="1D954D97"/>
    <w:rsid w:val="1D994A74"/>
    <w:rsid w:val="1DE96F38"/>
    <w:rsid w:val="1DEA52D0"/>
    <w:rsid w:val="1DF148B0"/>
    <w:rsid w:val="1DF20628"/>
    <w:rsid w:val="1E2A7DC2"/>
    <w:rsid w:val="1E2E3FC6"/>
    <w:rsid w:val="1E326C77"/>
    <w:rsid w:val="1E45667C"/>
    <w:rsid w:val="1E6F3A27"/>
    <w:rsid w:val="1EA47B74"/>
    <w:rsid w:val="1EA641A8"/>
    <w:rsid w:val="1ED1023E"/>
    <w:rsid w:val="1EDF295B"/>
    <w:rsid w:val="1F3233D2"/>
    <w:rsid w:val="1F4727DA"/>
    <w:rsid w:val="1F511C17"/>
    <w:rsid w:val="1F5B337D"/>
    <w:rsid w:val="1F745799"/>
    <w:rsid w:val="1F797010"/>
    <w:rsid w:val="1F8C6655"/>
    <w:rsid w:val="1F971571"/>
    <w:rsid w:val="1FA3607E"/>
    <w:rsid w:val="1FD03DA6"/>
    <w:rsid w:val="1FE90BAE"/>
    <w:rsid w:val="1FEC17D3"/>
    <w:rsid w:val="1FEF4E1F"/>
    <w:rsid w:val="20026C99"/>
    <w:rsid w:val="200603BB"/>
    <w:rsid w:val="20370574"/>
    <w:rsid w:val="203B62B7"/>
    <w:rsid w:val="20604F13"/>
    <w:rsid w:val="208512E0"/>
    <w:rsid w:val="208D63E6"/>
    <w:rsid w:val="2096173F"/>
    <w:rsid w:val="20A41DC5"/>
    <w:rsid w:val="20AA5D86"/>
    <w:rsid w:val="20E7303F"/>
    <w:rsid w:val="20F23661"/>
    <w:rsid w:val="21020B82"/>
    <w:rsid w:val="2159252D"/>
    <w:rsid w:val="21983295"/>
    <w:rsid w:val="219C0FD7"/>
    <w:rsid w:val="21A91D49"/>
    <w:rsid w:val="21B3498B"/>
    <w:rsid w:val="21B37336"/>
    <w:rsid w:val="21C423B0"/>
    <w:rsid w:val="21CB71C6"/>
    <w:rsid w:val="21D7362A"/>
    <w:rsid w:val="21E8421C"/>
    <w:rsid w:val="21E964A3"/>
    <w:rsid w:val="221E7C3E"/>
    <w:rsid w:val="22325497"/>
    <w:rsid w:val="2248284A"/>
    <w:rsid w:val="22941CAE"/>
    <w:rsid w:val="22944E50"/>
    <w:rsid w:val="22B3482A"/>
    <w:rsid w:val="22EA60CD"/>
    <w:rsid w:val="22FF181D"/>
    <w:rsid w:val="231449BC"/>
    <w:rsid w:val="2342170A"/>
    <w:rsid w:val="2351194D"/>
    <w:rsid w:val="235A3A47"/>
    <w:rsid w:val="235D02F2"/>
    <w:rsid w:val="236930C6"/>
    <w:rsid w:val="23757C0A"/>
    <w:rsid w:val="23952182"/>
    <w:rsid w:val="23B2156E"/>
    <w:rsid w:val="23C13D4C"/>
    <w:rsid w:val="23FB786F"/>
    <w:rsid w:val="2434162D"/>
    <w:rsid w:val="243A65CE"/>
    <w:rsid w:val="2443357E"/>
    <w:rsid w:val="244514B2"/>
    <w:rsid w:val="24455956"/>
    <w:rsid w:val="246700A8"/>
    <w:rsid w:val="246E33EC"/>
    <w:rsid w:val="24763D61"/>
    <w:rsid w:val="24D97E4C"/>
    <w:rsid w:val="24DE36B4"/>
    <w:rsid w:val="24E851E9"/>
    <w:rsid w:val="250A44A9"/>
    <w:rsid w:val="251F3B5B"/>
    <w:rsid w:val="254F72FB"/>
    <w:rsid w:val="25546F0C"/>
    <w:rsid w:val="25633D82"/>
    <w:rsid w:val="25804B6B"/>
    <w:rsid w:val="258B7E58"/>
    <w:rsid w:val="258C3110"/>
    <w:rsid w:val="259049AF"/>
    <w:rsid w:val="25987D07"/>
    <w:rsid w:val="25B974F6"/>
    <w:rsid w:val="25BF3B7E"/>
    <w:rsid w:val="25D845A8"/>
    <w:rsid w:val="261C34E9"/>
    <w:rsid w:val="26321976"/>
    <w:rsid w:val="264D2300"/>
    <w:rsid w:val="268564DD"/>
    <w:rsid w:val="26871FB3"/>
    <w:rsid w:val="26882E12"/>
    <w:rsid w:val="26B80661"/>
    <w:rsid w:val="26E03714"/>
    <w:rsid w:val="26E36D60"/>
    <w:rsid w:val="27190A70"/>
    <w:rsid w:val="272555CB"/>
    <w:rsid w:val="272D447F"/>
    <w:rsid w:val="277D3506"/>
    <w:rsid w:val="27BC6787"/>
    <w:rsid w:val="28071805"/>
    <w:rsid w:val="280E605F"/>
    <w:rsid w:val="281A2F57"/>
    <w:rsid w:val="282E04AF"/>
    <w:rsid w:val="28371501"/>
    <w:rsid w:val="285717B4"/>
    <w:rsid w:val="285A2DEF"/>
    <w:rsid w:val="285B2042"/>
    <w:rsid w:val="285E6FE6"/>
    <w:rsid w:val="287A7186"/>
    <w:rsid w:val="28B36B23"/>
    <w:rsid w:val="28C3509B"/>
    <w:rsid w:val="28C36E49"/>
    <w:rsid w:val="28D472A8"/>
    <w:rsid w:val="28E514B5"/>
    <w:rsid w:val="28F23FA6"/>
    <w:rsid w:val="28F6721F"/>
    <w:rsid w:val="29001E4B"/>
    <w:rsid w:val="29172C46"/>
    <w:rsid w:val="291C47A3"/>
    <w:rsid w:val="29307688"/>
    <w:rsid w:val="29310257"/>
    <w:rsid w:val="29411588"/>
    <w:rsid w:val="294A1318"/>
    <w:rsid w:val="298962E5"/>
    <w:rsid w:val="29B844D4"/>
    <w:rsid w:val="29B91531"/>
    <w:rsid w:val="29CB726B"/>
    <w:rsid w:val="29CC3486"/>
    <w:rsid w:val="29DA269C"/>
    <w:rsid w:val="29E4176D"/>
    <w:rsid w:val="29E7300B"/>
    <w:rsid w:val="29EE7EF6"/>
    <w:rsid w:val="29FB11D2"/>
    <w:rsid w:val="29FF0355"/>
    <w:rsid w:val="2A246AEB"/>
    <w:rsid w:val="2A2C0A1E"/>
    <w:rsid w:val="2A2E29E8"/>
    <w:rsid w:val="2A355B25"/>
    <w:rsid w:val="2A455541"/>
    <w:rsid w:val="2A473886"/>
    <w:rsid w:val="2A573CED"/>
    <w:rsid w:val="2A596061"/>
    <w:rsid w:val="2A7C3754"/>
    <w:rsid w:val="2A930A9D"/>
    <w:rsid w:val="2AAF1D7B"/>
    <w:rsid w:val="2ADE62B2"/>
    <w:rsid w:val="2B2D2CA0"/>
    <w:rsid w:val="2B6D12EE"/>
    <w:rsid w:val="2B7D7783"/>
    <w:rsid w:val="2B8A3B5C"/>
    <w:rsid w:val="2BB331A5"/>
    <w:rsid w:val="2BB44256"/>
    <w:rsid w:val="2BC60FC8"/>
    <w:rsid w:val="2BFD6B16"/>
    <w:rsid w:val="2C197C11"/>
    <w:rsid w:val="2C273B93"/>
    <w:rsid w:val="2C2B3B1E"/>
    <w:rsid w:val="2C464019"/>
    <w:rsid w:val="2C484235"/>
    <w:rsid w:val="2C526E62"/>
    <w:rsid w:val="2C9E3E55"/>
    <w:rsid w:val="2CB45044"/>
    <w:rsid w:val="2CBA2FBD"/>
    <w:rsid w:val="2CCE7FC5"/>
    <w:rsid w:val="2CD755B9"/>
    <w:rsid w:val="2CE90A48"/>
    <w:rsid w:val="2CF9552F"/>
    <w:rsid w:val="2CFD01DC"/>
    <w:rsid w:val="2D306A77"/>
    <w:rsid w:val="2D3227EF"/>
    <w:rsid w:val="2D3447B9"/>
    <w:rsid w:val="2D630BFB"/>
    <w:rsid w:val="2D940467"/>
    <w:rsid w:val="2D9D235F"/>
    <w:rsid w:val="2DBF5292"/>
    <w:rsid w:val="2DD85145"/>
    <w:rsid w:val="2DF45CF7"/>
    <w:rsid w:val="2E0942AF"/>
    <w:rsid w:val="2E0B6E95"/>
    <w:rsid w:val="2E100D83"/>
    <w:rsid w:val="2E250A7D"/>
    <w:rsid w:val="2E314855"/>
    <w:rsid w:val="2E352597"/>
    <w:rsid w:val="2E516A26"/>
    <w:rsid w:val="2E861045"/>
    <w:rsid w:val="2E87708A"/>
    <w:rsid w:val="2E9F03ED"/>
    <w:rsid w:val="2EA25C4E"/>
    <w:rsid w:val="2EF1054D"/>
    <w:rsid w:val="2EF7419D"/>
    <w:rsid w:val="2F083808"/>
    <w:rsid w:val="2F285C58"/>
    <w:rsid w:val="2F2D14C0"/>
    <w:rsid w:val="2F3C6DC2"/>
    <w:rsid w:val="2F44743E"/>
    <w:rsid w:val="2F472CFA"/>
    <w:rsid w:val="2F603644"/>
    <w:rsid w:val="2F686AD9"/>
    <w:rsid w:val="2F6F1AD9"/>
    <w:rsid w:val="2F8A246F"/>
    <w:rsid w:val="2F8B12A7"/>
    <w:rsid w:val="2F8C268B"/>
    <w:rsid w:val="2FD26B56"/>
    <w:rsid w:val="2FEE50F3"/>
    <w:rsid w:val="2FF16992"/>
    <w:rsid w:val="2FF26187"/>
    <w:rsid w:val="30110DE2"/>
    <w:rsid w:val="302503E9"/>
    <w:rsid w:val="3041203C"/>
    <w:rsid w:val="305D7B83"/>
    <w:rsid w:val="30915A7F"/>
    <w:rsid w:val="30925F54"/>
    <w:rsid w:val="30A9101A"/>
    <w:rsid w:val="30C32657"/>
    <w:rsid w:val="30D76637"/>
    <w:rsid w:val="30EC4205"/>
    <w:rsid w:val="30EF69E4"/>
    <w:rsid w:val="31132938"/>
    <w:rsid w:val="311606DB"/>
    <w:rsid w:val="312132A7"/>
    <w:rsid w:val="313A0BD1"/>
    <w:rsid w:val="31404725"/>
    <w:rsid w:val="31440D43"/>
    <w:rsid w:val="31552F50"/>
    <w:rsid w:val="31615451"/>
    <w:rsid w:val="316867E0"/>
    <w:rsid w:val="318555E4"/>
    <w:rsid w:val="31905D36"/>
    <w:rsid w:val="31926A3D"/>
    <w:rsid w:val="31AD68E8"/>
    <w:rsid w:val="31B5579D"/>
    <w:rsid w:val="31E076C1"/>
    <w:rsid w:val="31EB07E1"/>
    <w:rsid w:val="32021C86"/>
    <w:rsid w:val="32632844"/>
    <w:rsid w:val="32A63A63"/>
    <w:rsid w:val="32CE4D68"/>
    <w:rsid w:val="32E04BAD"/>
    <w:rsid w:val="32FA4F54"/>
    <w:rsid w:val="330C5088"/>
    <w:rsid w:val="330D3A5D"/>
    <w:rsid w:val="336A2CE3"/>
    <w:rsid w:val="33784CD4"/>
    <w:rsid w:val="339935C8"/>
    <w:rsid w:val="33D2532E"/>
    <w:rsid w:val="33D47D4F"/>
    <w:rsid w:val="342B0848"/>
    <w:rsid w:val="344A6FB9"/>
    <w:rsid w:val="348953EB"/>
    <w:rsid w:val="349C4646"/>
    <w:rsid w:val="34AF2977"/>
    <w:rsid w:val="34B43C68"/>
    <w:rsid w:val="34E40B78"/>
    <w:rsid w:val="34FC4643"/>
    <w:rsid w:val="351D3D85"/>
    <w:rsid w:val="355A2DB4"/>
    <w:rsid w:val="355B6BD8"/>
    <w:rsid w:val="35672FFF"/>
    <w:rsid w:val="356A5862"/>
    <w:rsid w:val="3581411C"/>
    <w:rsid w:val="35867B7C"/>
    <w:rsid w:val="3599165E"/>
    <w:rsid w:val="359E1ADF"/>
    <w:rsid w:val="35E653C6"/>
    <w:rsid w:val="36392E40"/>
    <w:rsid w:val="363A3E94"/>
    <w:rsid w:val="363D5FAB"/>
    <w:rsid w:val="364745B3"/>
    <w:rsid w:val="365D6B2F"/>
    <w:rsid w:val="367B236C"/>
    <w:rsid w:val="368E6A63"/>
    <w:rsid w:val="3692250F"/>
    <w:rsid w:val="36B97711"/>
    <w:rsid w:val="36BD312A"/>
    <w:rsid w:val="36E0506A"/>
    <w:rsid w:val="36E21696"/>
    <w:rsid w:val="36E903C3"/>
    <w:rsid w:val="36F122E3"/>
    <w:rsid w:val="371D006C"/>
    <w:rsid w:val="371E68C5"/>
    <w:rsid w:val="374E0226"/>
    <w:rsid w:val="374E46CA"/>
    <w:rsid w:val="376C4B50"/>
    <w:rsid w:val="37936580"/>
    <w:rsid w:val="37963C65"/>
    <w:rsid w:val="37DC4F30"/>
    <w:rsid w:val="37DD0AAA"/>
    <w:rsid w:val="37ED7A3F"/>
    <w:rsid w:val="38455ACD"/>
    <w:rsid w:val="38466FF4"/>
    <w:rsid w:val="384E39BC"/>
    <w:rsid w:val="384E5558"/>
    <w:rsid w:val="3879473D"/>
    <w:rsid w:val="38827FB0"/>
    <w:rsid w:val="388B6AFB"/>
    <w:rsid w:val="38960E85"/>
    <w:rsid w:val="38A34BF8"/>
    <w:rsid w:val="38BF587F"/>
    <w:rsid w:val="38DA51B2"/>
    <w:rsid w:val="38DD49D6"/>
    <w:rsid w:val="38E5105E"/>
    <w:rsid w:val="39205BF2"/>
    <w:rsid w:val="39344543"/>
    <w:rsid w:val="39785A2E"/>
    <w:rsid w:val="399C796E"/>
    <w:rsid w:val="39A17917"/>
    <w:rsid w:val="39DA2245"/>
    <w:rsid w:val="39E15381"/>
    <w:rsid w:val="3A147C15"/>
    <w:rsid w:val="3A2C2CB0"/>
    <w:rsid w:val="3A2D6818"/>
    <w:rsid w:val="3A3473AE"/>
    <w:rsid w:val="3A3B7187"/>
    <w:rsid w:val="3A40479E"/>
    <w:rsid w:val="3A4E0707"/>
    <w:rsid w:val="3A743A5B"/>
    <w:rsid w:val="3A7754FB"/>
    <w:rsid w:val="3A861B09"/>
    <w:rsid w:val="3A8E6472"/>
    <w:rsid w:val="3A993FEF"/>
    <w:rsid w:val="3A9B73CB"/>
    <w:rsid w:val="3ABE667C"/>
    <w:rsid w:val="3ACB7183"/>
    <w:rsid w:val="3AD52E6E"/>
    <w:rsid w:val="3AE570F3"/>
    <w:rsid w:val="3B0E3CCE"/>
    <w:rsid w:val="3B163750"/>
    <w:rsid w:val="3B2C2F74"/>
    <w:rsid w:val="3B3E6803"/>
    <w:rsid w:val="3B3F2CA7"/>
    <w:rsid w:val="3B410244"/>
    <w:rsid w:val="3B581673"/>
    <w:rsid w:val="3B836E46"/>
    <w:rsid w:val="3B9A7EDD"/>
    <w:rsid w:val="3C110DE0"/>
    <w:rsid w:val="3C17152E"/>
    <w:rsid w:val="3C371BD0"/>
    <w:rsid w:val="3C687483"/>
    <w:rsid w:val="3C9F71B8"/>
    <w:rsid w:val="3CB13731"/>
    <w:rsid w:val="3CB13CE3"/>
    <w:rsid w:val="3CBF05CA"/>
    <w:rsid w:val="3CD13DD3"/>
    <w:rsid w:val="3CE31410"/>
    <w:rsid w:val="3CF16DC5"/>
    <w:rsid w:val="3CFA5BD5"/>
    <w:rsid w:val="3D1E2D4B"/>
    <w:rsid w:val="3D3407AF"/>
    <w:rsid w:val="3D420825"/>
    <w:rsid w:val="3D453E79"/>
    <w:rsid w:val="3D4B66A5"/>
    <w:rsid w:val="3D6528F4"/>
    <w:rsid w:val="3D7A7FC6"/>
    <w:rsid w:val="3DD77D43"/>
    <w:rsid w:val="3DDA0A65"/>
    <w:rsid w:val="3E0C4997"/>
    <w:rsid w:val="3E0D4CB7"/>
    <w:rsid w:val="3E1000F5"/>
    <w:rsid w:val="3E1F291C"/>
    <w:rsid w:val="3E264AF2"/>
    <w:rsid w:val="3E4405D4"/>
    <w:rsid w:val="3E614CE2"/>
    <w:rsid w:val="3E832EAB"/>
    <w:rsid w:val="3ECD2378"/>
    <w:rsid w:val="3ED44742"/>
    <w:rsid w:val="3EE74323"/>
    <w:rsid w:val="3EF94F1B"/>
    <w:rsid w:val="3F161F71"/>
    <w:rsid w:val="3F18759E"/>
    <w:rsid w:val="3F36616F"/>
    <w:rsid w:val="3F422D66"/>
    <w:rsid w:val="3F685210"/>
    <w:rsid w:val="3F7D3D9E"/>
    <w:rsid w:val="3F8051EC"/>
    <w:rsid w:val="3FE61DE6"/>
    <w:rsid w:val="3FFB6CA2"/>
    <w:rsid w:val="3FFC1167"/>
    <w:rsid w:val="400172BB"/>
    <w:rsid w:val="40273D0A"/>
    <w:rsid w:val="40784565"/>
    <w:rsid w:val="407E7DCE"/>
    <w:rsid w:val="408847A8"/>
    <w:rsid w:val="409A6144"/>
    <w:rsid w:val="40C17CBA"/>
    <w:rsid w:val="410302D3"/>
    <w:rsid w:val="41057DE0"/>
    <w:rsid w:val="41214F2E"/>
    <w:rsid w:val="413E755D"/>
    <w:rsid w:val="41695BD4"/>
    <w:rsid w:val="41881F15"/>
    <w:rsid w:val="41911D83"/>
    <w:rsid w:val="41B63597"/>
    <w:rsid w:val="41BB6E00"/>
    <w:rsid w:val="41C35C45"/>
    <w:rsid w:val="41E73751"/>
    <w:rsid w:val="41F262B9"/>
    <w:rsid w:val="42051E29"/>
    <w:rsid w:val="420B38E3"/>
    <w:rsid w:val="42440BA3"/>
    <w:rsid w:val="424B0183"/>
    <w:rsid w:val="424C7EC7"/>
    <w:rsid w:val="426B2108"/>
    <w:rsid w:val="427F607F"/>
    <w:rsid w:val="42813BA5"/>
    <w:rsid w:val="42837B1B"/>
    <w:rsid w:val="428A2D72"/>
    <w:rsid w:val="42935686"/>
    <w:rsid w:val="42CD0B98"/>
    <w:rsid w:val="42CF2B62"/>
    <w:rsid w:val="42D33CD5"/>
    <w:rsid w:val="42D77C69"/>
    <w:rsid w:val="42E47C90"/>
    <w:rsid w:val="42E87780"/>
    <w:rsid w:val="42FF2625"/>
    <w:rsid w:val="43156CC7"/>
    <w:rsid w:val="432D1637"/>
    <w:rsid w:val="434075BC"/>
    <w:rsid w:val="43454BD3"/>
    <w:rsid w:val="43515EAA"/>
    <w:rsid w:val="43591D9B"/>
    <w:rsid w:val="43615785"/>
    <w:rsid w:val="436A4639"/>
    <w:rsid w:val="43747266"/>
    <w:rsid w:val="43A4388B"/>
    <w:rsid w:val="43AF029E"/>
    <w:rsid w:val="43AF64F0"/>
    <w:rsid w:val="43BE3225"/>
    <w:rsid w:val="43C31F9B"/>
    <w:rsid w:val="43C35D74"/>
    <w:rsid w:val="43C875B2"/>
    <w:rsid w:val="43E0428D"/>
    <w:rsid w:val="43FD36FF"/>
    <w:rsid w:val="446A2417"/>
    <w:rsid w:val="447D75CD"/>
    <w:rsid w:val="4488746D"/>
    <w:rsid w:val="44B74F0C"/>
    <w:rsid w:val="44C241A2"/>
    <w:rsid w:val="44DF70AD"/>
    <w:rsid w:val="44E421C9"/>
    <w:rsid w:val="44F468B0"/>
    <w:rsid w:val="44FA6A22"/>
    <w:rsid w:val="45062140"/>
    <w:rsid w:val="45164BFA"/>
    <w:rsid w:val="4545710C"/>
    <w:rsid w:val="456377EE"/>
    <w:rsid w:val="456652D4"/>
    <w:rsid w:val="45684BA8"/>
    <w:rsid w:val="456D0411"/>
    <w:rsid w:val="4577128F"/>
    <w:rsid w:val="45783434"/>
    <w:rsid w:val="45A656D1"/>
    <w:rsid w:val="45C67123"/>
    <w:rsid w:val="45C94918"/>
    <w:rsid w:val="45D71243"/>
    <w:rsid w:val="45FF45A2"/>
    <w:rsid w:val="460D6DA0"/>
    <w:rsid w:val="46155FDB"/>
    <w:rsid w:val="461E572A"/>
    <w:rsid w:val="46601D24"/>
    <w:rsid w:val="46625A9C"/>
    <w:rsid w:val="466435C2"/>
    <w:rsid w:val="47022DDB"/>
    <w:rsid w:val="470703F1"/>
    <w:rsid w:val="470E79D1"/>
    <w:rsid w:val="475D3DA8"/>
    <w:rsid w:val="478E45D4"/>
    <w:rsid w:val="479908E7"/>
    <w:rsid w:val="4799729B"/>
    <w:rsid w:val="47B12BF8"/>
    <w:rsid w:val="47BB30B2"/>
    <w:rsid w:val="47C85DD2"/>
    <w:rsid w:val="47D72A0D"/>
    <w:rsid w:val="47FF0499"/>
    <w:rsid w:val="486C49B0"/>
    <w:rsid w:val="486F44A0"/>
    <w:rsid w:val="4893018E"/>
    <w:rsid w:val="48AB372A"/>
    <w:rsid w:val="48EF52FC"/>
    <w:rsid w:val="48F830FD"/>
    <w:rsid w:val="48FD7CFE"/>
    <w:rsid w:val="49211C3E"/>
    <w:rsid w:val="492653E3"/>
    <w:rsid w:val="493558F1"/>
    <w:rsid w:val="49386D6A"/>
    <w:rsid w:val="49553BA0"/>
    <w:rsid w:val="495A6EFE"/>
    <w:rsid w:val="496438D9"/>
    <w:rsid w:val="49A34401"/>
    <w:rsid w:val="49A62143"/>
    <w:rsid w:val="49A63EF1"/>
    <w:rsid w:val="49C23456"/>
    <w:rsid w:val="49D70AE6"/>
    <w:rsid w:val="49FB5243"/>
    <w:rsid w:val="4A035B0E"/>
    <w:rsid w:val="4A0A26D2"/>
    <w:rsid w:val="4A325785"/>
    <w:rsid w:val="4A3C0669"/>
    <w:rsid w:val="4A565917"/>
    <w:rsid w:val="4A594B32"/>
    <w:rsid w:val="4A5971B6"/>
    <w:rsid w:val="4A6A6D04"/>
    <w:rsid w:val="4A8F2BD7"/>
    <w:rsid w:val="4AC26B09"/>
    <w:rsid w:val="4ACC5BD9"/>
    <w:rsid w:val="4ADE0EEB"/>
    <w:rsid w:val="4AF241A0"/>
    <w:rsid w:val="4B2B2900"/>
    <w:rsid w:val="4B3612A5"/>
    <w:rsid w:val="4B501DBF"/>
    <w:rsid w:val="4B582BCD"/>
    <w:rsid w:val="4B6B0F4E"/>
    <w:rsid w:val="4B7F0E9E"/>
    <w:rsid w:val="4BB328F5"/>
    <w:rsid w:val="4BE551A5"/>
    <w:rsid w:val="4C067917"/>
    <w:rsid w:val="4C115F9A"/>
    <w:rsid w:val="4C1B2975"/>
    <w:rsid w:val="4C46543A"/>
    <w:rsid w:val="4C6E2B99"/>
    <w:rsid w:val="4C8106FD"/>
    <w:rsid w:val="4C856040"/>
    <w:rsid w:val="4C88610C"/>
    <w:rsid w:val="4C8E4F10"/>
    <w:rsid w:val="4CA3296A"/>
    <w:rsid w:val="4CB608EF"/>
    <w:rsid w:val="4CB701C3"/>
    <w:rsid w:val="4CC0176E"/>
    <w:rsid w:val="4CD07C03"/>
    <w:rsid w:val="4CDC3C81"/>
    <w:rsid w:val="4CE11854"/>
    <w:rsid w:val="4CFB09F8"/>
    <w:rsid w:val="4D0B2FD8"/>
    <w:rsid w:val="4D1D44CA"/>
    <w:rsid w:val="4D3637DE"/>
    <w:rsid w:val="4D5A571F"/>
    <w:rsid w:val="4D623393"/>
    <w:rsid w:val="4D704F42"/>
    <w:rsid w:val="4D9F3131"/>
    <w:rsid w:val="4DD92AE7"/>
    <w:rsid w:val="4DF7375A"/>
    <w:rsid w:val="4E127DA7"/>
    <w:rsid w:val="4E1C29D4"/>
    <w:rsid w:val="4E1F24C4"/>
    <w:rsid w:val="4E4D0DDF"/>
    <w:rsid w:val="4E5321ED"/>
    <w:rsid w:val="4E6016D6"/>
    <w:rsid w:val="4E6D76D3"/>
    <w:rsid w:val="4E816CDB"/>
    <w:rsid w:val="4E850579"/>
    <w:rsid w:val="4E8C5DAC"/>
    <w:rsid w:val="4EBC50D5"/>
    <w:rsid w:val="4EBE7F2F"/>
    <w:rsid w:val="4EE554BC"/>
    <w:rsid w:val="4F18038A"/>
    <w:rsid w:val="4F22226C"/>
    <w:rsid w:val="4F262900"/>
    <w:rsid w:val="4F2C6C47"/>
    <w:rsid w:val="4F4F4D7D"/>
    <w:rsid w:val="4F5551B4"/>
    <w:rsid w:val="4F587A3C"/>
    <w:rsid w:val="4F5B577E"/>
    <w:rsid w:val="4F5F701C"/>
    <w:rsid w:val="4F711F6A"/>
    <w:rsid w:val="4F7D3946"/>
    <w:rsid w:val="4F813C30"/>
    <w:rsid w:val="4FBA06F6"/>
    <w:rsid w:val="4FBA78D0"/>
    <w:rsid w:val="4FCB6460"/>
    <w:rsid w:val="4FCE5E25"/>
    <w:rsid w:val="4FD01CC8"/>
    <w:rsid w:val="500951DA"/>
    <w:rsid w:val="50265D8C"/>
    <w:rsid w:val="504D3319"/>
    <w:rsid w:val="509372E2"/>
    <w:rsid w:val="50A22688"/>
    <w:rsid w:val="50BB64D4"/>
    <w:rsid w:val="50F87FAC"/>
    <w:rsid w:val="510A2FB8"/>
    <w:rsid w:val="512E314A"/>
    <w:rsid w:val="51331174"/>
    <w:rsid w:val="51347683"/>
    <w:rsid w:val="518B234A"/>
    <w:rsid w:val="51C27D36"/>
    <w:rsid w:val="51CC5275"/>
    <w:rsid w:val="51D75590"/>
    <w:rsid w:val="51E97071"/>
    <w:rsid w:val="520F7138"/>
    <w:rsid w:val="5214298C"/>
    <w:rsid w:val="522C72C3"/>
    <w:rsid w:val="52304CA0"/>
    <w:rsid w:val="524A1938"/>
    <w:rsid w:val="525505B3"/>
    <w:rsid w:val="526C6007"/>
    <w:rsid w:val="52B92EE7"/>
    <w:rsid w:val="52BE6184"/>
    <w:rsid w:val="52CA50F4"/>
    <w:rsid w:val="52CF270B"/>
    <w:rsid w:val="52E02222"/>
    <w:rsid w:val="53096DD1"/>
    <w:rsid w:val="531B5950"/>
    <w:rsid w:val="531E71EE"/>
    <w:rsid w:val="53654E1D"/>
    <w:rsid w:val="538151F6"/>
    <w:rsid w:val="5382777D"/>
    <w:rsid w:val="53886B25"/>
    <w:rsid w:val="53AA2830"/>
    <w:rsid w:val="53C32D17"/>
    <w:rsid w:val="53D02F06"/>
    <w:rsid w:val="53FA37B7"/>
    <w:rsid w:val="53FB3961"/>
    <w:rsid w:val="5411012E"/>
    <w:rsid w:val="5419329E"/>
    <w:rsid w:val="54224ABC"/>
    <w:rsid w:val="542A2224"/>
    <w:rsid w:val="544C2E0C"/>
    <w:rsid w:val="544F3B03"/>
    <w:rsid w:val="545869BF"/>
    <w:rsid w:val="54616C3C"/>
    <w:rsid w:val="54617C92"/>
    <w:rsid w:val="54684BC5"/>
    <w:rsid w:val="548136DA"/>
    <w:rsid w:val="548337AD"/>
    <w:rsid w:val="54833FB9"/>
    <w:rsid w:val="548B3E72"/>
    <w:rsid w:val="549C486F"/>
    <w:rsid w:val="54CF07A0"/>
    <w:rsid w:val="54FD6B73"/>
    <w:rsid w:val="553A7E63"/>
    <w:rsid w:val="55614BA6"/>
    <w:rsid w:val="55EB160A"/>
    <w:rsid w:val="56091B70"/>
    <w:rsid w:val="5627460C"/>
    <w:rsid w:val="56286D65"/>
    <w:rsid w:val="564B20A8"/>
    <w:rsid w:val="564C5721"/>
    <w:rsid w:val="5653734D"/>
    <w:rsid w:val="565F400E"/>
    <w:rsid w:val="566B274A"/>
    <w:rsid w:val="567D0066"/>
    <w:rsid w:val="569F11EB"/>
    <w:rsid w:val="56A21888"/>
    <w:rsid w:val="56C34335"/>
    <w:rsid w:val="56EF3408"/>
    <w:rsid w:val="56FA587C"/>
    <w:rsid w:val="57016C0B"/>
    <w:rsid w:val="57276214"/>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8E660B8"/>
    <w:rsid w:val="590B0E06"/>
    <w:rsid w:val="591730EE"/>
    <w:rsid w:val="591A58A7"/>
    <w:rsid w:val="591C7D2C"/>
    <w:rsid w:val="593212FE"/>
    <w:rsid w:val="593530FD"/>
    <w:rsid w:val="59451AAD"/>
    <w:rsid w:val="5946546B"/>
    <w:rsid w:val="59555DCC"/>
    <w:rsid w:val="59815DE1"/>
    <w:rsid w:val="59840DC3"/>
    <w:rsid w:val="59877FFD"/>
    <w:rsid w:val="598F49A2"/>
    <w:rsid w:val="59C56616"/>
    <w:rsid w:val="5A037B4C"/>
    <w:rsid w:val="5A205E72"/>
    <w:rsid w:val="5A225816"/>
    <w:rsid w:val="5A492DA3"/>
    <w:rsid w:val="5A655C07"/>
    <w:rsid w:val="5A690D4F"/>
    <w:rsid w:val="5A7A2F5C"/>
    <w:rsid w:val="5A8B77DE"/>
    <w:rsid w:val="5A8E07B6"/>
    <w:rsid w:val="5ABC3575"/>
    <w:rsid w:val="5ADB4098"/>
    <w:rsid w:val="5AE1122D"/>
    <w:rsid w:val="5AEB18DC"/>
    <w:rsid w:val="5B227EAF"/>
    <w:rsid w:val="5B264E92"/>
    <w:rsid w:val="5B4672E2"/>
    <w:rsid w:val="5B501F0F"/>
    <w:rsid w:val="5B5D17D4"/>
    <w:rsid w:val="5B7A35BA"/>
    <w:rsid w:val="5B834092"/>
    <w:rsid w:val="5BBC5C29"/>
    <w:rsid w:val="5BC50591"/>
    <w:rsid w:val="5C1650EC"/>
    <w:rsid w:val="5C594DF3"/>
    <w:rsid w:val="5C9B540C"/>
    <w:rsid w:val="5CAE15E3"/>
    <w:rsid w:val="5CDA5F34"/>
    <w:rsid w:val="5CE21AED"/>
    <w:rsid w:val="5D1F1D64"/>
    <w:rsid w:val="5D3722DC"/>
    <w:rsid w:val="5D3C099D"/>
    <w:rsid w:val="5D570AB1"/>
    <w:rsid w:val="5D5800B9"/>
    <w:rsid w:val="5D59154F"/>
    <w:rsid w:val="5D5C75FF"/>
    <w:rsid w:val="5D600B2F"/>
    <w:rsid w:val="5D6D59AB"/>
    <w:rsid w:val="5D844640"/>
    <w:rsid w:val="5D9C143B"/>
    <w:rsid w:val="5DA86032"/>
    <w:rsid w:val="5DC10EA2"/>
    <w:rsid w:val="5DCB6083"/>
    <w:rsid w:val="5DD230AF"/>
    <w:rsid w:val="5DDE7158"/>
    <w:rsid w:val="5DE132F2"/>
    <w:rsid w:val="5DE54B90"/>
    <w:rsid w:val="5DF001EB"/>
    <w:rsid w:val="5DFE3EA4"/>
    <w:rsid w:val="5E055233"/>
    <w:rsid w:val="5E0D72B8"/>
    <w:rsid w:val="5E452C17"/>
    <w:rsid w:val="5E4775F9"/>
    <w:rsid w:val="5E5C6BAC"/>
    <w:rsid w:val="5E6A778C"/>
    <w:rsid w:val="5E744166"/>
    <w:rsid w:val="5E767EDE"/>
    <w:rsid w:val="5E8F2D4E"/>
    <w:rsid w:val="5EB82C97"/>
    <w:rsid w:val="5EBE2D22"/>
    <w:rsid w:val="5EC94306"/>
    <w:rsid w:val="5EE57DEF"/>
    <w:rsid w:val="5F0C439F"/>
    <w:rsid w:val="5F245B8C"/>
    <w:rsid w:val="5F29040C"/>
    <w:rsid w:val="5F3479DF"/>
    <w:rsid w:val="5F4010A7"/>
    <w:rsid w:val="5F585836"/>
    <w:rsid w:val="5F721AF0"/>
    <w:rsid w:val="5FAA23A3"/>
    <w:rsid w:val="5FD82C61"/>
    <w:rsid w:val="5FF4730D"/>
    <w:rsid w:val="5FFA1614"/>
    <w:rsid w:val="5FFE63DD"/>
    <w:rsid w:val="600E3E55"/>
    <w:rsid w:val="600F2399"/>
    <w:rsid w:val="601D5BCF"/>
    <w:rsid w:val="6041144F"/>
    <w:rsid w:val="60432042"/>
    <w:rsid w:val="60583D40"/>
    <w:rsid w:val="60681AA9"/>
    <w:rsid w:val="606C1599"/>
    <w:rsid w:val="6074044E"/>
    <w:rsid w:val="60786190"/>
    <w:rsid w:val="607E307A"/>
    <w:rsid w:val="60934D78"/>
    <w:rsid w:val="60A823BF"/>
    <w:rsid w:val="60A83445"/>
    <w:rsid w:val="60C6562D"/>
    <w:rsid w:val="60D82466"/>
    <w:rsid w:val="60DA0BF8"/>
    <w:rsid w:val="61293C2F"/>
    <w:rsid w:val="612F2105"/>
    <w:rsid w:val="614E41B0"/>
    <w:rsid w:val="615F4C5A"/>
    <w:rsid w:val="61677FB2"/>
    <w:rsid w:val="616F002F"/>
    <w:rsid w:val="61730705"/>
    <w:rsid w:val="617F354E"/>
    <w:rsid w:val="61970898"/>
    <w:rsid w:val="619A462F"/>
    <w:rsid w:val="619A76DD"/>
    <w:rsid w:val="62022F83"/>
    <w:rsid w:val="62175534"/>
    <w:rsid w:val="621E4B15"/>
    <w:rsid w:val="623E6F65"/>
    <w:rsid w:val="6251332E"/>
    <w:rsid w:val="625C786C"/>
    <w:rsid w:val="62773F76"/>
    <w:rsid w:val="627E15CF"/>
    <w:rsid w:val="6283706E"/>
    <w:rsid w:val="628801E0"/>
    <w:rsid w:val="62884524"/>
    <w:rsid w:val="62B80AC5"/>
    <w:rsid w:val="62C97396"/>
    <w:rsid w:val="62D804DD"/>
    <w:rsid w:val="62DE2463"/>
    <w:rsid w:val="63471E49"/>
    <w:rsid w:val="637114CE"/>
    <w:rsid w:val="638B61DA"/>
    <w:rsid w:val="638E67FA"/>
    <w:rsid w:val="645667E8"/>
    <w:rsid w:val="64866BD9"/>
    <w:rsid w:val="649D4417"/>
    <w:rsid w:val="64A37118"/>
    <w:rsid w:val="64C319A4"/>
    <w:rsid w:val="64D63485"/>
    <w:rsid w:val="654F4FE5"/>
    <w:rsid w:val="6578278E"/>
    <w:rsid w:val="65B66FA0"/>
    <w:rsid w:val="65B975F2"/>
    <w:rsid w:val="65D57BE0"/>
    <w:rsid w:val="66212E26"/>
    <w:rsid w:val="662B15AE"/>
    <w:rsid w:val="662D4566"/>
    <w:rsid w:val="6632293D"/>
    <w:rsid w:val="66342B59"/>
    <w:rsid w:val="6635067F"/>
    <w:rsid w:val="663D0055"/>
    <w:rsid w:val="66521231"/>
    <w:rsid w:val="66693888"/>
    <w:rsid w:val="666A0329"/>
    <w:rsid w:val="66707909"/>
    <w:rsid w:val="66855163"/>
    <w:rsid w:val="66CB4B3F"/>
    <w:rsid w:val="66D67FB8"/>
    <w:rsid w:val="66E3632D"/>
    <w:rsid w:val="66F72064"/>
    <w:rsid w:val="675608AD"/>
    <w:rsid w:val="676A3084"/>
    <w:rsid w:val="676A4E9C"/>
    <w:rsid w:val="67725465"/>
    <w:rsid w:val="677A27ED"/>
    <w:rsid w:val="679A4C3E"/>
    <w:rsid w:val="67AA29A7"/>
    <w:rsid w:val="67C670CB"/>
    <w:rsid w:val="67FC3B0F"/>
    <w:rsid w:val="68093B71"/>
    <w:rsid w:val="683055A2"/>
    <w:rsid w:val="683105C0"/>
    <w:rsid w:val="6846007D"/>
    <w:rsid w:val="68466B73"/>
    <w:rsid w:val="6848469A"/>
    <w:rsid w:val="686A4F9A"/>
    <w:rsid w:val="68F22857"/>
    <w:rsid w:val="6901614A"/>
    <w:rsid w:val="69664A0F"/>
    <w:rsid w:val="69833F84"/>
    <w:rsid w:val="69841BF6"/>
    <w:rsid w:val="69A27DD9"/>
    <w:rsid w:val="69A74526"/>
    <w:rsid w:val="69C9180A"/>
    <w:rsid w:val="69D331BE"/>
    <w:rsid w:val="69EB1FDC"/>
    <w:rsid w:val="69FA3354"/>
    <w:rsid w:val="69FE4B1A"/>
    <w:rsid w:val="6A165180"/>
    <w:rsid w:val="6A1F767C"/>
    <w:rsid w:val="6A9516EC"/>
    <w:rsid w:val="6A9736B6"/>
    <w:rsid w:val="6AB42873"/>
    <w:rsid w:val="6AC326FD"/>
    <w:rsid w:val="6AC81AC2"/>
    <w:rsid w:val="6AD064F1"/>
    <w:rsid w:val="6B15282D"/>
    <w:rsid w:val="6B317667"/>
    <w:rsid w:val="6B5A6D4C"/>
    <w:rsid w:val="6B8A60F8"/>
    <w:rsid w:val="6B8A6D77"/>
    <w:rsid w:val="6BA8544F"/>
    <w:rsid w:val="6BD56BBF"/>
    <w:rsid w:val="6BED613A"/>
    <w:rsid w:val="6C150D37"/>
    <w:rsid w:val="6C3D64DF"/>
    <w:rsid w:val="6C3E7464"/>
    <w:rsid w:val="6C452082"/>
    <w:rsid w:val="6C5506F2"/>
    <w:rsid w:val="6C5C0714"/>
    <w:rsid w:val="6C735A5D"/>
    <w:rsid w:val="6CA65E33"/>
    <w:rsid w:val="6CAD73D6"/>
    <w:rsid w:val="6CB73B9C"/>
    <w:rsid w:val="6CE93F71"/>
    <w:rsid w:val="6D166FC6"/>
    <w:rsid w:val="6D2A0812"/>
    <w:rsid w:val="6D34343E"/>
    <w:rsid w:val="6D443CCF"/>
    <w:rsid w:val="6D617FAC"/>
    <w:rsid w:val="6D7221B9"/>
    <w:rsid w:val="6D7D3037"/>
    <w:rsid w:val="6DAC0977"/>
    <w:rsid w:val="6DB36A59"/>
    <w:rsid w:val="6DB91B96"/>
    <w:rsid w:val="6E076DA5"/>
    <w:rsid w:val="6E2830B5"/>
    <w:rsid w:val="6E3B1A16"/>
    <w:rsid w:val="6E3E2600"/>
    <w:rsid w:val="6E423939"/>
    <w:rsid w:val="6E427879"/>
    <w:rsid w:val="6E533D98"/>
    <w:rsid w:val="6E600263"/>
    <w:rsid w:val="6E7837FF"/>
    <w:rsid w:val="6E7A034A"/>
    <w:rsid w:val="6E7A30D3"/>
    <w:rsid w:val="6E85086A"/>
    <w:rsid w:val="6E9F59DB"/>
    <w:rsid w:val="6EB14DA4"/>
    <w:rsid w:val="6EB8009F"/>
    <w:rsid w:val="6EC651E8"/>
    <w:rsid w:val="6EDF73DA"/>
    <w:rsid w:val="6F086931"/>
    <w:rsid w:val="6F143527"/>
    <w:rsid w:val="6F3C482C"/>
    <w:rsid w:val="6F4F4560"/>
    <w:rsid w:val="6F5A4CB2"/>
    <w:rsid w:val="6F5E47A3"/>
    <w:rsid w:val="6F7E6BF3"/>
    <w:rsid w:val="6F831E19"/>
    <w:rsid w:val="6F891B0C"/>
    <w:rsid w:val="6FAC7C04"/>
    <w:rsid w:val="6FCA71E0"/>
    <w:rsid w:val="6FDE58E3"/>
    <w:rsid w:val="6FEE1FCA"/>
    <w:rsid w:val="6FEF189F"/>
    <w:rsid w:val="6FEF5D43"/>
    <w:rsid w:val="6FEF7AF1"/>
    <w:rsid w:val="6FFD40FB"/>
    <w:rsid w:val="700510C2"/>
    <w:rsid w:val="700C2451"/>
    <w:rsid w:val="70221C74"/>
    <w:rsid w:val="702A28D7"/>
    <w:rsid w:val="702B1782"/>
    <w:rsid w:val="7036127C"/>
    <w:rsid w:val="70460641"/>
    <w:rsid w:val="704A7F86"/>
    <w:rsid w:val="705645D9"/>
    <w:rsid w:val="70A628A5"/>
    <w:rsid w:val="70A95AA7"/>
    <w:rsid w:val="70B4218C"/>
    <w:rsid w:val="70C07837"/>
    <w:rsid w:val="70E46F2A"/>
    <w:rsid w:val="70E76A1A"/>
    <w:rsid w:val="710E21F8"/>
    <w:rsid w:val="71202F46"/>
    <w:rsid w:val="71436346"/>
    <w:rsid w:val="7162370E"/>
    <w:rsid w:val="71662034"/>
    <w:rsid w:val="71703B38"/>
    <w:rsid w:val="71924BD7"/>
    <w:rsid w:val="71C12C62"/>
    <w:rsid w:val="71D1496D"/>
    <w:rsid w:val="71D74828"/>
    <w:rsid w:val="721101F2"/>
    <w:rsid w:val="72127AC6"/>
    <w:rsid w:val="72440D47"/>
    <w:rsid w:val="72850298"/>
    <w:rsid w:val="729F603C"/>
    <w:rsid w:val="72AC2792"/>
    <w:rsid w:val="72AE1098"/>
    <w:rsid w:val="72B1108D"/>
    <w:rsid w:val="72BA43E6"/>
    <w:rsid w:val="72F378F8"/>
    <w:rsid w:val="730B63E9"/>
    <w:rsid w:val="730C2A3D"/>
    <w:rsid w:val="731D4975"/>
    <w:rsid w:val="731F06ED"/>
    <w:rsid w:val="73261A7B"/>
    <w:rsid w:val="732955BF"/>
    <w:rsid w:val="73426189"/>
    <w:rsid w:val="73483566"/>
    <w:rsid w:val="73966C01"/>
    <w:rsid w:val="73A11102"/>
    <w:rsid w:val="73B021B6"/>
    <w:rsid w:val="73C60B68"/>
    <w:rsid w:val="73CD672F"/>
    <w:rsid w:val="73FD3E81"/>
    <w:rsid w:val="743106D8"/>
    <w:rsid w:val="74381A66"/>
    <w:rsid w:val="747800B5"/>
    <w:rsid w:val="747F58E7"/>
    <w:rsid w:val="74890514"/>
    <w:rsid w:val="748F53FE"/>
    <w:rsid w:val="74921493"/>
    <w:rsid w:val="749D7B1B"/>
    <w:rsid w:val="749F57AF"/>
    <w:rsid w:val="74C257D9"/>
    <w:rsid w:val="74F0120D"/>
    <w:rsid w:val="750D1F31"/>
    <w:rsid w:val="751678CE"/>
    <w:rsid w:val="75175143"/>
    <w:rsid w:val="751F5BF6"/>
    <w:rsid w:val="754932A6"/>
    <w:rsid w:val="755A3C5E"/>
    <w:rsid w:val="75703482"/>
    <w:rsid w:val="75C12DB9"/>
    <w:rsid w:val="75E63744"/>
    <w:rsid w:val="75FB0F9D"/>
    <w:rsid w:val="76085468"/>
    <w:rsid w:val="761171BF"/>
    <w:rsid w:val="76124539"/>
    <w:rsid w:val="76676633"/>
    <w:rsid w:val="768A0384"/>
    <w:rsid w:val="76A315AA"/>
    <w:rsid w:val="76B15B00"/>
    <w:rsid w:val="76BB697E"/>
    <w:rsid w:val="76E11E70"/>
    <w:rsid w:val="76E9529A"/>
    <w:rsid w:val="76FF686B"/>
    <w:rsid w:val="772207AC"/>
    <w:rsid w:val="77514BED"/>
    <w:rsid w:val="77585F7B"/>
    <w:rsid w:val="779D6084"/>
    <w:rsid w:val="77A17922"/>
    <w:rsid w:val="77A92327"/>
    <w:rsid w:val="77B75398"/>
    <w:rsid w:val="77C11D73"/>
    <w:rsid w:val="77CB0E43"/>
    <w:rsid w:val="77D62D81"/>
    <w:rsid w:val="77DE0B76"/>
    <w:rsid w:val="77F24622"/>
    <w:rsid w:val="77F9775E"/>
    <w:rsid w:val="780A196C"/>
    <w:rsid w:val="78342545"/>
    <w:rsid w:val="785710BA"/>
    <w:rsid w:val="787B3118"/>
    <w:rsid w:val="78AC47D1"/>
    <w:rsid w:val="78AF5E4F"/>
    <w:rsid w:val="78B90B3C"/>
    <w:rsid w:val="78C22246"/>
    <w:rsid w:val="78E1046A"/>
    <w:rsid w:val="78F26496"/>
    <w:rsid w:val="79077C59"/>
    <w:rsid w:val="79184530"/>
    <w:rsid w:val="792870F3"/>
    <w:rsid w:val="792D3AAE"/>
    <w:rsid w:val="793A6280"/>
    <w:rsid w:val="794732B8"/>
    <w:rsid w:val="795B7FA5"/>
    <w:rsid w:val="795D3C37"/>
    <w:rsid w:val="79A93D47"/>
    <w:rsid w:val="79B24763"/>
    <w:rsid w:val="79B25E17"/>
    <w:rsid w:val="79B92E6D"/>
    <w:rsid w:val="7A1963AB"/>
    <w:rsid w:val="7A3902E6"/>
    <w:rsid w:val="7A435E4B"/>
    <w:rsid w:val="7A460C55"/>
    <w:rsid w:val="7A524009"/>
    <w:rsid w:val="7A996FD7"/>
    <w:rsid w:val="7AA634A2"/>
    <w:rsid w:val="7ABA3C6D"/>
    <w:rsid w:val="7ABD0F17"/>
    <w:rsid w:val="7ACD0A2E"/>
    <w:rsid w:val="7AD63D87"/>
    <w:rsid w:val="7AFF3BA5"/>
    <w:rsid w:val="7B1F65CA"/>
    <w:rsid w:val="7B332F87"/>
    <w:rsid w:val="7B493A62"/>
    <w:rsid w:val="7B4E0D77"/>
    <w:rsid w:val="7B6E3FBF"/>
    <w:rsid w:val="7B6E5D6D"/>
    <w:rsid w:val="7B9D48A5"/>
    <w:rsid w:val="7BA56577"/>
    <w:rsid w:val="7BAD5E8E"/>
    <w:rsid w:val="7BB11EB4"/>
    <w:rsid w:val="7BB120FE"/>
    <w:rsid w:val="7BBD7B91"/>
    <w:rsid w:val="7BD77DB7"/>
    <w:rsid w:val="7BE20509"/>
    <w:rsid w:val="7BF9373B"/>
    <w:rsid w:val="7C064A88"/>
    <w:rsid w:val="7C07400A"/>
    <w:rsid w:val="7C0C3FBA"/>
    <w:rsid w:val="7C0D37D8"/>
    <w:rsid w:val="7C66113B"/>
    <w:rsid w:val="7C745605"/>
    <w:rsid w:val="7C8E36D7"/>
    <w:rsid w:val="7C9537CE"/>
    <w:rsid w:val="7C961804"/>
    <w:rsid w:val="7CB9570E"/>
    <w:rsid w:val="7CF14EA8"/>
    <w:rsid w:val="7D2708CA"/>
    <w:rsid w:val="7D781125"/>
    <w:rsid w:val="7D9677FD"/>
    <w:rsid w:val="7DCC7E3B"/>
    <w:rsid w:val="7DD00F61"/>
    <w:rsid w:val="7DD81BC4"/>
    <w:rsid w:val="7DFA5FDE"/>
    <w:rsid w:val="7E04739F"/>
    <w:rsid w:val="7E0B3D48"/>
    <w:rsid w:val="7E2458E7"/>
    <w:rsid w:val="7E6D00CA"/>
    <w:rsid w:val="7E8B787B"/>
    <w:rsid w:val="7E9F26E2"/>
    <w:rsid w:val="7EB025C7"/>
    <w:rsid w:val="7EB02B41"/>
    <w:rsid w:val="7EE76EDF"/>
    <w:rsid w:val="7EEF5417"/>
    <w:rsid w:val="7F030EC3"/>
    <w:rsid w:val="7F054C3B"/>
    <w:rsid w:val="7F2F7F0A"/>
    <w:rsid w:val="7F470F98"/>
    <w:rsid w:val="7F8A5140"/>
    <w:rsid w:val="7F9A1968"/>
    <w:rsid w:val="7FE72592"/>
    <w:rsid w:val="7FE81CA9"/>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0"/>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3"/>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10"/>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1"/>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正文缩进1"/>
    <w:basedOn w:val="1"/>
    <w:autoRedefine/>
    <w:qFormat/>
    <w:uiPriority w:val="0"/>
    <w:pPr>
      <w:ind w:firstLine="420" w:firstLineChars="200"/>
    </w:pPr>
  </w:style>
  <w:style w:type="paragraph" w:customStyle="1" w:styleId="28">
    <w:name w:val="正文（缩进 2 字符）"/>
    <w:basedOn w:val="1"/>
    <w:autoRedefine/>
    <w:qFormat/>
    <w:uiPriority w:val="0"/>
    <w:pPr>
      <w:ind w:firstLine="200" w:firstLineChars="200"/>
    </w:pPr>
  </w:style>
  <w:style w:type="paragraph" w:customStyle="1" w:styleId="29">
    <w:name w:val="正文（缩进 4 字符）"/>
    <w:basedOn w:val="1"/>
    <w:autoRedefine/>
    <w:qFormat/>
    <w:uiPriority w:val="0"/>
    <w:pPr>
      <w:ind w:firstLine="1134" w:firstLineChars="400"/>
    </w:pPr>
  </w:style>
  <w:style w:type="character" w:customStyle="1" w:styleId="30">
    <w:name w:val="标题 1 Char1"/>
    <w:link w:val="2"/>
    <w:autoRedefine/>
    <w:qFormat/>
    <w:uiPriority w:val="9"/>
    <w:rPr>
      <w:rFonts w:eastAsia="黑体"/>
      <w:b/>
      <w:bCs/>
      <w:color w:val="000000"/>
      <w:kern w:val="44"/>
      <w:sz w:val="32"/>
      <w:szCs w:val="36"/>
    </w:rPr>
  </w:style>
  <w:style w:type="paragraph" w:customStyle="1" w:styleId="3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2">
    <w:name w:val="标题 2（投标文件）"/>
    <w:basedOn w:val="3"/>
    <w:autoRedefine/>
    <w:qFormat/>
    <w:uiPriority w:val="0"/>
    <w:pPr>
      <w:jc w:val="center"/>
    </w:pPr>
  </w:style>
  <w:style w:type="character" w:customStyle="1" w:styleId="33">
    <w:name w:val="标题 2 Char"/>
    <w:link w:val="3"/>
    <w:autoRedefine/>
    <w:qFormat/>
    <w:uiPriority w:val="9"/>
    <w:rPr>
      <w:rFonts w:ascii="Calibri" w:hAnsi="Calibri" w:cs="Calibri"/>
      <w:b/>
      <w:bCs/>
      <w:sz w:val="30"/>
      <w:szCs w:val="32"/>
    </w:rPr>
  </w:style>
  <w:style w:type="paragraph" w:customStyle="1" w:styleId="34">
    <w:name w:val="标题 3（投标文件）"/>
    <w:basedOn w:val="4"/>
    <w:autoRedefine/>
    <w:qFormat/>
    <w:uiPriority w:val="0"/>
    <w:pPr>
      <w:jc w:val="left"/>
    </w:pPr>
  </w:style>
  <w:style w:type="paragraph" w:customStyle="1" w:styleId="35">
    <w:name w:val="正文文本 31"/>
    <w:basedOn w:val="1"/>
    <w:autoRedefine/>
    <w:qFormat/>
    <w:uiPriority w:val="0"/>
    <w:rPr>
      <w:sz w:val="16"/>
      <w:szCs w:val="16"/>
    </w:rPr>
  </w:style>
  <w:style w:type="character" w:customStyle="1" w:styleId="36">
    <w:name w:val="NormalCharacter"/>
    <w:autoRedefine/>
    <w:qFormat/>
    <w:uiPriority w:val="0"/>
    <w:rPr>
      <w:kern w:val="2"/>
      <w:sz w:val="21"/>
      <w:szCs w:val="22"/>
      <w:lang w:val="en-US" w:eastAsia="zh-CN" w:bidi="ar-SA"/>
    </w:rPr>
  </w:style>
  <w:style w:type="character" w:customStyle="1" w:styleId="37">
    <w:name w:val="UserStyle_0"/>
    <w:autoRedefine/>
    <w:semiHidden/>
    <w:qFormat/>
    <w:uiPriority w:val="0"/>
  </w:style>
  <w:style w:type="paragraph" w:customStyle="1" w:styleId="38">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9">
    <w:name w:val="Table Normal"/>
    <w:autoRedefine/>
    <w:qFormat/>
    <w:uiPriority w:val="0"/>
    <w:tblPr>
      <w:tblCellMar>
        <w:top w:w="0" w:type="dxa"/>
        <w:left w:w="0" w:type="dxa"/>
        <w:bottom w:w="0" w:type="dxa"/>
        <w:right w:w="0" w:type="dxa"/>
      </w:tblCellMar>
    </w:tblPr>
  </w:style>
  <w:style w:type="character" w:customStyle="1" w:styleId="40">
    <w:name w:val="15"/>
    <w:basedOn w:val="24"/>
    <w:qFormat/>
    <w:uiPriority w:val="0"/>
    <w:rPr>
      <w:rFonts w:hint="eastAsia" w:ascii="宋体" w:hAnsi="宋体" w:eastAsia="宋体"/>
      <w:color w:val="000000"/>
      <w:sz w:val="22"/>
      <w:szCs w:val="22"/>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2">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23945</Words>
  <Characters>24928</Characters>
  <Lines>0</Lines>
  <Paragraphs>0</Paragraphs>
  <TotalTime>85</TotalTime>
  <ScaleCrop>false</ScaleCrop>
  <LinksUpToDate>false</LinksUpToDate>
  <CharactersWithSpaces>25036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祈如初</cp:lastModifiedBy>
  <cp:lastPrinted>2026-05-22T05:17:18Z</cp:lastPrinted>
  <dcterms:modified xsi:type="dcterms:W3CDTF">2026-05-22T06:45:25Z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A498641D71B04A93A1562E3507DE2CB6_13</vt:lpwstr>
  </property>
  <property fmtid="{D5CDD505-2E9C-101B-9397-08002B2CF9AE}" pid="4" name="KSOTemplateDocerSaveRecord">
    <vt:lpwstr>eyJoZGlkIjoiNmRmMDE3MjZkNzUzM2NhYTc5YjY5Y2Q5MjlhZTkyNGQiLCJ1c2VySWQiOiIxNzMyNTM1MjczIn0=</vt:lpwstr>
  </property>
</Properties>
</file>