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版本号：SXDZZ(2026)122号20260624001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淳化县2026年度省级林业草原改革发展资金重点区域绿化补助项目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SXDZZ(2026)122号</w:t>
      </w:r>
      <w:r>
        <w:br/>
      </w:r>
      <w:r>
        <w:br/>
      </w:r>
      <w:r>
        <w:br/>
      </w:r>
    </w:p>
    <w:p>
      <w:pPr>
        <w:pStyle w:val="null3"/>
        <w:jc w:val="center"/>
        <w:outlineLvl w:val="2"/>
      </w:pPr>
      <w:r>
        <w:rPr>
          <w:rFonts w:ascii="仿宋_GB2312" w:hAnsi="仿宋_GB2312" w:cs="仿宋_GB2312" w:eastAsia="仿宋_GB2312"/>
          <w:sz w:val="28"/>
          <w:b/>
        </w:rPr>
        <w:t>淳化县林业工作站</w:t>
      </w:r>
    </w:p>
    <w:p>
      <w:pPr>
        <w:pStyle w:val="null3"/>
        <w:jc w:val="center"/>
        <w:outlineLvl w:val="2"/>
      </w:pPr>
      <w:r>
        <w:rPr>
          <w:rFonts w:ascii="仿宋_GB2312" w:hAnsi="仿宋_GB2312" w:cs="仿宋_GB2312" w:eastAsia="仿宋_GB2312"/>
          <w:sz w:val="28"/>
          <w:b/>
        </w:rPr>
        <w:t>陕西德正建设工程项目管理有限公司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陕西德正建设工程项目管理有限公司</w:t>
      </w:r>
      <w:r>
        <w:rPr>
          <w:rFonts w:ascii="仿宋_GB2312" w:hAnsi="仿宋_GB2312" w:cs="仿宋_GB2312" w:eastAsia="仿宋_GB2312"/>
        </w:rPr>
        <w:t>（以下简称“代理机构”）受</w:t>
      </w:r>
      <w:r>
        <w:rPr>
          <w:rFonts w:ascii="仿宋_GB2312" w:hAnsi="仿宋_GB2312" w:cs="仿宋_GB2312" w:eastAsia="仿宋_GB2312"/>
        </w:rPr>
        <w:t>淳化县林业工作站</w:t>
      </w:r>
      <w:r>
        <w:rPr>
          <w:rFonts w:ascii="仿宋_GB2312" w:hAnsi="仿宋_GB2312" w:cs="仿宋_GB2312" w:eastAsia="仿宋_GB2312"/>
        </w:rPr>
        <w:t>委托，拟对</w:t>
      </w:r>
      <w:r>
        <w:rPr>
          <w:rFonts w:ascii="仿宋_GB2312" w:hAnsi="仿宋_GB2312" w:cs="仿宋_GB2312" w:eastAsia="仿宋_GB2312"/>
        </w:rPr>
        <w:t>淳化县2026年度省级林业草原改革发展资金重点区域绿化补助项目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SXDZZ(2026)122号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淳化县2026年度省级林业草原改革发展资金重点区域绿化补助项目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淳化县2026年度省级林业草原改革发展资金重点区域绿化补助项目建设地点为：淳化县车坞镇齐吴南村。 项目建设内容为：完成土地整理、苗木栽植，选用乡土、耐旱、高成活率乔灌木，合理搭配打造生态景观林。开展浇水、施肥、除草、修剪、病虫害防治等全程管护，保障苗木生长。清理施工垃圾，维护绿化区域整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采购包1（淳化县2026年度省级林业草原改革发展资金重点区域绿化补助项目）：属于专门面向中小企业采购。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3、书面声明：出具参加本次采购活动前三年内在经营活动中没有重大违法记录的书面声明</w:t>
      </w:r>
    </w:p>
    <w:p>
      <w:pPr>
        <w:pStyle w:val="null3"/>
      </w:pPr>
      <w:r>
        <w:rPr>
          <w:rFonts w:ascii="仿宋_GB2312" w:hAnsi="仿宋_GB2312" w:cs="仿宋_GB2312" w:eastAsia="仿宋_GB2312"/>
        </w:rPr>
        <w:t>4、设备和专业技术能力的承诺：供应商须提供具有履行合同所必需的设备和专业技术能力的承诺</w:t>
      </w:r>
    </w:p>
    <w:p>
      <w:pPr>
        <w:pStyle w:val="null3"/>
      </w:pPr>
      <w:r>
        <w:rPr>
          <w:rFonts w:ascii="仿宋_GB2312" w:hAnsi="仿宋_GB2312" w:cs="仿宋_GB2312" w:eastAsia="仿宋_GB2312"/>
        </w:rPr>
        <w:t>5、财务状况报告：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6、社会保障资金缴纳证明：提供响应文件提交截止时间前6个月内任意一个月已缴纳的社会保障资金缴存单据或社保机构开具的社会保险参保缴费情况证明，依法不需要缴纳社会保障资金的应提供相关文件证明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8、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9、本项目不接受联合体投标：本项目不接受联合体投标,供应商需保证资质文件的真实、合法、有效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罗倩雯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15191009835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陕西德正建设工程项目管理有限公司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陕西省咸阳市秦都区人民西路金方圆广场Ｂ座20层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15709202966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淳化县林业工作站</w:t>
      </w:r>
      <w:r>
        <w:rPr>
          <w:rFonts w:ascii="仿宋_GB2312" w:hAnsi="仿宋_GB2312" w:cs="仿宋_GB2312" w:eastAsia="仿宋_GB2312"/>
        </w:rPr>
        <w:t>和</w:t>
      </w:r>
      <w:r>
        <w:rPr>
          <w:rFonts w:ascii="仿宋_GB2312" w:hAnsi="仿宋_GB2312" w:cs="仿宋_GB2312" w:eastAsia="仿宋_GB2312"/>
        </w:rPr>
        <w:t>陕西德正建设工程项目管理有限公司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陕西德正建设工程项目管理有限公司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陕西德正建设工程项目管理有限公司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合格（达到国家及行业验收规范合格标准）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联系人：郭豪</w:t>
      </w:r>
    </w:p>
    <w:p>
      <w:pPr>
        <w:pStyle w:val="null3"/>
      </w:pPr>
      <w:r>
        <w:rPr>
          <w:rFonts w:ascii="仿宋_GB2312" w:hAnsi="仿宋_GB2312" w:cs="仿宋_GB2312" w:eastAsia="仿宋_GB2312"/>
        </w:rPr>
        <w:t>联系电话：15709202966</w:t>
      </w:r>
    </w:p>
    <w:p>
      <w:pPr>
        <w:pStyle w:val="null3"/>
      </w:pPr>
      <w:r>
        <w:rPr>
          <w:rFonts w:ascii="仿宋_GB2312" w:hAnsi="仿宋_GB2312" w:cs="仿宋_GB2312" w:eastAsia="仿宋_GB2312"/>
        </w:rPr>
        <w:t>地址：陕西省咸阳市秦都区人民西路金方圆广场Ｂ座20层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淳化县2026年度省级林业草原改革发展资金重点区域绿化补助项目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标的名称：淳化县2026年度省级林业草原改革发展资金重点区域绿化补助项目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采购内容及要求</w:t>
            </w:r>
          </w:p>
          <w:p>
            <w:pPr>
              <w:pStyle w:val="null3"/>
              <w:jc w:val="both"/>
            </w:pPr>
            <w:r>
              <w:rPr>
                <w:rFonts w:ascii="仿宋_GB2312" w:hAnsi="仿宋_GB2312" w:cs="仿宋_GB2312" w:eastAsia="仿宋_GB2312"/>
                <w:sz w:val="28"/>
                <w:b/>
              </w:rPr>
              <w:t>一、工程概况</w:t>
            </w:r>
          </w:p>
          <w:p>
            <w:pPr>
              <w:pStyle w:val="null3"/>
              <w:ind w:firstLine="560"/>
              <w:jc w:val="both"/>
            </w:pPr>
            <w:r>
              <w:rPr>
                <w:rFonts w:ascii="仿宋_GB2312" w:hAnsi="仿宋_GB2312" w:cs="仿宋_GB2312" w:eastAsia="仿宋_GB2312"/>
                <w:sz w:val="28"/>
              </w:rPr>
              <w:t>淳化县</w:t>
            </w:r>
            <w:r>
              <w:rPr>
                <w:rFonts w:ascii="仿宋_GB2312" w:hAnsi="仿宋_GB2312" w:cs="仿宋_GB2312" w:eastAsia="仿宋_GB2312"/>
                <w:sz w:val="28"/>
              </w:rPr>
              <w:t xml:space="preserve">2026 </w:t>
            </w:r>
            <w:r>
              <w:rPr>
                <w:rFonts w:ascii="仿宋_GB2312" w:hAnsi="仿宋_GB2312" w:cs="仿宋_GB2312" w:eastAsia="仿宋_GB2312"/>
                <w:sz w:val="28"/>
              </w:rPr>
              <w:t xml:space="preserve">年度省级林业草原改革发展资金重点区域绿化补助项目建设规模为人工造林 </w:t>
            </w:r>
            <w:r>
              <w:rPr>
                <w:rFonts w:ascii="仿宋_GB2312" w:hAnsi="仿宋_GB2312" w:cs="仿宋_GB2312" w:eastAsia="仿宋_GB2312"/>
                <w:sz w:val="28"/>
              </w:rPr>
              <w:t xml:space="preserve">47.75 </w:t>
            </w:r>
            <w:r>
              <w:rPr>
                <w:rFonts w:ascii="仿宋_GB2312" w:hAnsi="仿宋_GB2312" w:cs="仿宋_GB2312" w:eastAsia="仿宋_GB2312"/>
                <w:sz w:val="28"/>
              </w:rPr>
              <w:t>亩，计划栽植树种为：白皮松、龙柏、紫薇、黄栌、腊梅、红花继木、杏梅、金枝槐、丛生金枝槐、卫矛球、南天竹、红瑞木、七叶树、高杆卫矛球、塔柏、五角枫、雪松、混播草籽、麦冬草。</w:t>
            </w:r>
          </w:p>
          <w:p>
            <w:pPr>
              <w:pStyle w:val="null3"/>
              <w:jc w:val="both"/>
            </w:pPr>
            <w:r>
              <w:rPr>
                <w:rFonts w:ascii="仿宋_GB2312" w:hAnsi="仿宋_GB2312" w:cs="仿宋_GB2312" w:eastAsia="仿宋_GB2312"/>
                <w:sz w:val="28"/>
                <w:b/>
              </w:rPr>
              <w:t>二、采购内容</w:t>
            </w:r>
          </w:p>
          <w:p>
            <w:pPr>
              <w:pStyle w:val="null3"/>
              <w:numPr>
                <w:ilvl w:val="0"/>
                <w:numId w:val="1"/>
              </w:numPr>
              <w:jc w:val="both"/>
            </w:pPr>
            <w:r>
              <w:rPr>
                <w:rFonts w:ascii="仿宋_GB2312" w:hAnsi="仿宋_GB2312" w:cs="仿宋_GB2312" w:eastAsia="仿宋_GB2312"/>
                <w:sz w:val="28"/>
                <w:b/>
              </w:rPr>
              <w:t>林种设计</w:t>
            </w:r>
          </w:p>
          <w:p>
            <w:pPr>
              <w:pStyle w:val="null3"/>
              <w:ind w:firstLine="560"/>
              <w:jc w:val="both"/>
            </w:pPr>
            <w:r>
              <w:rPr>
                <w:rFonts w:ascii="仿宋_GB2312" w:hAnsi="仿宋_GB2312" w:cs="仿宋_GB2312" w:eastAsia="仿宋_GB2312"/>
                <w:sz w:val="28"/>
              </w:rPr>
              <w:t>林种规划应依据《林种分类》（</w:t>
            </w:r>
            <w:r>
              <w:rPr>
                <w:rFonts w:ascii="仿宋_GB2312" w:hAnsi="仿宋_GB2312" w:cs="仿宋_GB2312" w:eastAsia="仿宋_GB2312"/>
                <w:sz w:val="28"/>
              </w:rPr>
              <w:t>LY/T2012-2012</w:t>
            </w:r>
            <w:r>
              <w:rPr>
                <w:rFonts w:ascii="仿宋_GB2312" w:hAnsi="仿宋_GB2312" w:cs="仿宋_GB2312" w:eastAsia="仿宋_GB2312"/>
                <w:sz w:val="28"/>
              </w:rPr>
              <w:t>），按照主导功能、经营目的和用途不用，结合自然条件、当地林业区划等因素确定，本次设计林种主要划分为水土保持林。</w:t>
            </w:r>
          </w:p>
          <w:p>
            <w:pPr>
              <w:pStyle w:val="null3"/>
              <w:ind w:firstLine="562"/>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 xml:space="preserve"> </w:t>
            </w:r>
            <w:r>
              <w:rPr>
                <w:rFonts w:ascii="仿宋_GB2312" w:hAnsi="仿宋_GB2312" w:cs="仿宋_GB2312" w:eastAsia="仿宋_GB2312"/>
                <w:sz w:val="28"/>
                <w:b/>
              </w:rPr>
              <w:t>造林模式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）树种配置：栽植树种为白皮松、龙柏、紫薇、黄栌、腊梅、红花继木、杏梅、金枝槐、丛生金枝槐、卫矛球、南天竹、红瑞木、七叶树、高杆卫矛球、塔柏、五角枫、雪松、混播草籽、麦冬草。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）栽植要求</w:t>
            </w:r>
            <w:r>
              <w:rPr>
                <w:rFonts w:ascii="仿宋_GB2312" w:hAnsi="仿宋_GB2312" w:cs="仿宋_GB2312" w:eastAsia="仿宋_GB2312"/>
                <w:sz w:val="28"/>
              </w:rPr>
              <w:t>:</w:t>
            </w:r>
            <w:r>
              <w:rPr>
                <w:rFonts w:ascii="仿宋_GB2312" w:hAnsi="仿宋_GB2312" w:cs="仿宋_GB2312" w:eastAsia="仿宋_GB2312"/>
                <w:sz w:val="28"/>
              </w:rPr>
              <w:t>严格按照《造林技术规程》（</w:t>
            </w:r>
            <w:r>
              <w:rPr>
                <w:rFonts w:ascii="仿宋_GB2312" w:hAnsi="仿宋_GB2312" w:cs="仿宋_GB2312" w:eastAsia="仿宋_GB2312"/>
                <w:sz w:val="28"/>
              </w:rPr>
              <w:t>GB/T 15776-2023</w:t>
            </w:r>
            <w:r>
              <w:rPr>
                <w:rFonts w:ascii="仿宋_GB2312" w:hAnsi="仿宋_GB2312" w:cs="仿宋_GB2312" w:eastAsia="仿宋_GB2312"/>
                <w:sz w:val="28"/>
              </w:rPr>
              <w:t>）进行栽植，</w:t>
            </w:r>
            <w:r>
              <w:rPr>
                <w:rFonts w:ascii="仿宋_GB2312" w:hAnsi="仿宋_GB2312" w:cs="仿宋_GB2312" w:eastAsia="仿宋_GB2312"/>
                <w:sz w:val="28"/>
              </w:rPr>
              <w:t xml:space="preserve">1 </w:t>
            </w:r>
            <w:r>
              <w:rPr>
                <w:rFonts w:ascii="仿宋_GB2312" w:hAnsi="仿宋_GB2312" w:cs="仿宋_GB2312" w:eastAsia="仿宋_GB2312"/>
                <w:sz w:val="28"/>
              </w:rPr>
              <w:t>株</w:t>
            </w:r>
            <w:r>
              <w:rPr>
                <w:rFonts w:ascii="仿宋_GB2312" w:hAnsi="仿宋_GB2312" w:cs="仿宋_GB2312" w:eastAsia="仿宋_GB2312"/>
                <w:sz w:val="28"/>
              </w:rPr>
              <w:t>/</w:t>
            </w:r>
            <w:r>
              <w:rPr>
                <w:rFonts w:ascii="仿宋_GB2312" w:hAnsi="仿宋_GB2312" w:cs="仿宋_GB2312" w:eastAsia="仿宋_GB2312"/>
                <w:sz w:val="28"/>
              </w:rPr>
              <w:t>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 xml:space="preserve">）栽植模式：道路绿化混交比例为 </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，节点绿化随栽植点进行栽植。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）配置方式：道路株行距：</w:t>
            </w:r>
            <w:r>
              <w:rPr>
                <w:rFonts w:ascii="仿宋_GB2312" w:hAnsi="仿宋_GB2312" w:cs="仿宋_GB2312" w:eastAsia="仿宋_GB2312"/>
                <w:sz w:val="28"/>
              </w:rPr>
              <w:t>3m</w:t>
            </w:r>
            <w:r>
              <w:rPr>
                <w:rFonts w:ascii="仿宋_GB2312" w:hAnsi="仿宋_GB2312" w:cs="仿宋_GB2312" w:eastAsia="仿宋_GB2312"/>
                <w:sz w:val="28"/>
              </w:rPr>
              <w:t>×</w:t>
            </w:r>
            <w:r>
              <w:rPr>
                <w:rFonts w:ascii="仿宋_GB2312" w:hAnsi="仿宋_GB2312" w:cs="仿宋_GB2312" w:eastAsia="仿宋_GB2312"/>
                <w:sz w:val="28"/>
              </w:rPr>
              <w:t>3m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）整地：穴状整地，规格：</w:t>
            </w:r>
            <w:r>
              <w:rPr>
                <w:rFonts w:ascii="仿宋_GB2312" w:hAnsi="仿宋_GB2312" w:cs="仿宋_GB2312" w:eastAsia="仿宋_GB2312"/>
                <w:sz w:val="28"/>
              </w:rPr>
              <w:t>80cm</w:t>
            </w:r>
            <w:r>
              <w:rPr>
                <w:rFonts w:ascii="仿宋_GB2312" w:hAnsi="仿宋_GB2312" w:cs="仿宋_GB2312" w:eastAsia="仿宋_GB2312"/>
                <w:sz w:val="28"/>
              </w:rPr>
              <w:t>×</w:t>
            </w:r>
            <w:r>
              <w:rPr>
                <w:rFonts w:ascii="仿宋_GB2312" w:hAnsi="仿宋_GB2312" w:cs="仿宋_GB2312" w:eastAsia="仿宋_GB2312"/>
                <w:sz w:val="28"/>
              </w:rPr>
              <w:t>80cm</w:t>
            </w:r>
            <w:r>
              <w:rPr>
                <w:rFonts w:ascii="仿宋_GB2312" w:hAnsi="仿宋_GB2312" w:cs="仿宋_GB2312" w:eastAsia="仿宋_GB2312"/>
                <w:sz w:val="28"/>
              </w:rPr>
              <w:t>×</w:t>
            </w:r>
            <w:r>
              <w:rPr>
                <w:rFonts w:ascii="仿宋_GB2312" w:hAnsi="仿宋_GB2312" w:cs="仿宋_GB2312" w:eastAsia="仿宋_GB2312"/>
                <w:sz w:val="28"/>
              </w:rPr>
              <w:t>80cm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）栽植方式：人工植苗，</w:t>
            </w:r>
            <w:r>
              <w:rPr>
                <w:rFonts w:ascii="仿宋_GB2312" w:hAnsi="仿宋_GB2312" w:cs="仿宋_GB2312" w:eastAsia="仿宋_GB2312"/>
                <w:sz w:val="28"/>
              </w:rPr>
              <w:t xml:space="preserve">1 </w:t>
            </w:r>
            <w:r>
              <w:rPr>
                <w:rFonts w:ascii="仿宋_GB2312" w:hAnsi="仿宋_GB2312" w:cs="仿宋_GB2312" w:eastAsia="仿宋_GB2312"/>
                <w:sz w:val="28"/>
              </w:rPr>
              <w:t>株</w:t>
            </w:r>
            <w:r>
              <w:rPr>
                <w:rFonts w:ascii="仿宋_GB2312" w:hAnsi="仿宋_GB2312" w:cs="仿宋_GB2312" w:eastAsia="仿宋_GB2312"/>
                <w:sz w:val="28"/>
              </w:rPr>
              <w:t>/</w:t>
            </w:r>
            <w:r>
              <w:rPr>
                <w:rFonts w:ascii="仿宋_GB2312" w:hAnsi="仿宋_GB2312" w:cs="仿宋_GB2312" w:eastAsia="仿宋_GB2312"/>
                <w:sz w:val="28"/>
              </w:rPr>
              <w:t>穴。栽时分层覆土，保持根系舒展。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 xml:space="preserve">）补植：对栽植后成活率达不到标准的小班及时进行补植，补植苗木需要量按 </w:t>
            </w:r>
            <w:r>
              <w:rPr>
                <w:rFonts w:ascii="仿宋_GB2312" w:hAnsi="仿宋_GB2312" w:cs="仿宋_GB2312" w:eastAsia="仿宋_GB2312"/>
                <w:sz w:val="28"/>
              </w:rPr>
              <w:t>5%</w:t>
            </w:r>
            <w:r>
              <w:rPr>
                <w:rFonts w:ascii="仿宋_GB2312" w:hAnsi="仿宋_GB2312" w:cs="仿宋_GB2312" w:eastAsia="仿宋_GB2312"/>
                <w:sz w:val="28"/>
              </w:rPr>
              <w:t xml:space="preserve">计算，本次造林每亩补植株树按 </w:t>
            </w:r>
            <w:r>
              <w:rPr>
                <w:rFonts w:ascii="仿宋_GB2312" w:hAnsi="仿宋_GB2312" w:cs="仿宋_GB2312" w:eastAsia="仿宋_GB2312"/>
                <w:sz w:val="28"/>
              </w:rPr>
              <w:t xml:space="preserve">4 </w:t>
            </w:r>
            <w:r>
              <w:rPr>
                <w:rFonts w:ascii="仿宋_GB2312" w:hAnsi="仿宋_GB2312" w:cs="仿宋_GB2312" w:eastAsia="仿宋_GB2312"/>
                <w:sz w:val="28"/>
              </w:rPr>
              <w:t>株计算。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 xml:space="preserve">）抚育：造林后 </w:t>
            </w:r>
            <w:r>
              <w:rPr>
                <w:rFonts w:ascii="仿宋_GB2312" w:hAnsi="仿宋_GB2312" w:cs="仿宋_GB2312" w:eastAsia="仿宋_GB2312"/>
                <w:sz w:val="28"/>
              </w:rPr>
              <w:t xml:space="preserve">1 </w:t>
            </w:r>
            <w:r>
              <w:rPr>
                <w:rFonts w:ascii="仿宋_GB2312" w:hAnsi="仿宋_GB2312" w:cs="仿宋_GB2312" w:eastAsia="仿宋_GB2312"/>
                <w:sz w:val="28"/>
              </w:rPr>
              <w:t xml:space="preserve">年 </w:t>
            </w:r>
            <w:r>
              <w:rPr>
                <w:rFonts w:ascii="仿宋_GB2312" w:hAnsi="仿宋_GB2312" w:cs="仿宋_GB2312" w:eastAsia="仿宋_GB2312"/>
                <w:sz w:val="28"/>
              </w:rPr>
              <w:t xml:space="preserve">1 </w:t>
            </w:r>
            <w:r>
              <w:rPr>
                <w:rFonts w:ascii="仿宋_GB2312" w:hAnsi="仿宋_GB2312" w:cs="仿宋_GB2312" w:eastAsia="仿宋_GB2312"/>
                <w:sz w:val="28"/>
              </w:rPr>
              <w:t>次抚育，抚育内容包括穴内松土除草，培土，病、虫、鼠、兔害防治等。</w:t>
            </w:r>
          </w:p>
          <w:p>
            <w:pPr>
              <w:pStyle w:val="null3"/>
              <w:ind w:firstLine="562"/>
              <w:jc w:val="both"/>
            </w:pP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造林树种优势及要求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）树种优势</w:t>
            </w:r>
          </w:p>
          <w:p>
            <w:pPr>
              <w:pStyle w:val="null3"/>
              <w:ind w:firstLine="560"/>
              <w:jc w:val="both"/>
            </w:pPr>
            <w:r>
              <w:rPr>
                <w:rFonts w:ascii="仿宋_GB2312" w:hAnsi="仿宋_GB2312" w:cs="仿宋_GB2312" w:eastAsia="仿宋_GB2312"/>
                <w:sz w:val="28"/>
              </w:rPr>
              <w:t>①乡土树种，适合当地自然环境。</w:t>
            </w:r>
          </w:p>
          <w:p>
            <w:pPr>
              <w:pStyle w:val="null3"/>
              <w:ind w:firstLine="560"/>
              <w:jc w:val="both"/>
            </w:pPr>
            <w:r>
              <w:rPr>
                <w:rFonts w:ascii="仿宋_GB2312" w:hAnsi="仿宋_GB2312" w:cs="仿宋_GB2312" w:eastAsia="仿宋_GB2312"/>
                <w:sz w:val="28"/>
              </w:rPr>
              <w:t>②苗木易于采购，当地及周边有足够的苗木供应。</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）苗木规格及要求</w:t>
            </w:r>
          </w:p>
          <w:p>
            <w:pPr>
              <w:pStyle w:val="null3"/>
              <w:ind w:firstLine="560"/>
              <w:jc w:val="both"/>
            </w:pPr>
            <w:r>
              <w:rPr>
                <w:rFonts w:ascii="仿宋_GB2312" w:hAnsi="仿宋_GB2312" w:cs="仿宋_GB2312" w:eastAsia="仿宋_GB2312"/>
                <w:sz w:val="28"/>
              </w:rPr>
              <w:t>规格为：白皮松</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2.5m</w:t>
            </w:r>
            <w:r>
              <w:rPr>
                <w:rFonts w:ascii="仿宋_GB2312" w:hAnsi="仿宋_GB2312" w:cs="仿宋_GB2312" w:eastAsia="仿宋_GB2312"/>
                <w:sz w:val="28"/>
              </w:rPr>
              <w:t xml:space="preserve">、龙柏 </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1.0m</w:t>
            </w:r>
            <w:r>
              <w:rPr>
                <w:rFonts w:ascii="仿宋_GB2312" w:hAnsi="仿宋_GB2312" w:cs="仿宋_GB2312" w:eastAsia="仿宋_GB2312"/>
                <w:sz w:val="28"/>
              </w:rPr>
              <w:t xml:space="preserve">、龙柏 </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1.5m</w:t>
            </w:r>
            <w:r>
              <w:rPr>
                <w:rFonts w:ascii="仿宋_GB2312" w:hAnsi="仿宋_GB2312" w:cs="仿宋_GB2312" w:eastAsia="仿宋_GB2312"/>
                <w:sz w:val="28"/>
              </w:rPr>
              <w:t>、紫薇：Φ≥</w:t>
            </w:r>
            <w:r>
              <w:rPr>
                <w:rFonts w:ascii="仿宋_GB2312" w:hAnsi="仿宋_GB2312" w:cs="仿宋_GB2312" w:eastAsia="仿宋_GB2312"/>
                <w:sz w:val="28"/>
              </w:rPr>
              <w:t>5cm</w:t>
            </w:r>
            <w:r>
              <w:rPr>
                <w:rFonts w:ascii="仿宋_GB2312" w:hAnsi="仿宋_GB2312" w:cs="仿宋_GB2312" w:eastAsia="仿宋_GB2312"/>
                <w:sz w:val="28"/>
              </w:rPr>
              <w:t>、黄栌：Φ≥</w:t>
            </w:r>
            <w:r>
              <w:rPr>
                <w:rFonts w:ascii="仿宋_GB2312" w:hAnsi="仿宋_GB2312" w:cs="仿宋_GB2312" w:eastAsia="仿宋_GB2312"/>
                <w:sz w:val="28"/>
              </w:rPr>
              <w:t>5cm</w:t>
            </w:r>
            <w:r>
              <w:rPr>
                <w:rFonts w:ascii="仿宋_GB2312" w:hAnsi="仿宋_GB2312" w:cs="仿宋_GB2312" w:eastAsia="仿宋_GB2312"/>
                <w:sz w:val="28"/>
              </w:rPr>
              <w:t>、腊梅：Φ≥</w:t>
            </w:r>
            <w:r>
              <w:rPr>
                <w:rFonts w:ascii="仿宋_GB2312" w:hAnsi="仿宋_GB2312" w:cs="仿宋_GB2312" w:eastAsia="仿宋_GB2312"/>
                <w:sz w:val="28"/>
              </w:rPr>
              <w:t>6cm</w:t>
            </w:r>
            <w:r>
              <w:rPr>
                <w:rFonts w:ascii="仿宋_GB2312" w:hAnsi="仿宋_GB2312" w:cs="仿宋_GB2312" w:eastAsia="仿宋_GB2312"/>
                <w:sz w:val="28"/>
              </w:rPr>
              <w:t>、红花继木：</w:t>
            </w:r>
            <w:r>
              <w:rPr>
                <w:rFonts w:ascii="仿宋_GB2312" w:hAnsi="仿宋_GB2312" w:cs="仿宋_GB2312" w:eastAsia="仿宋_GB2312"/>
                <w:sz w:val="28"/>
              </w:rPr>
              <w:t>G</w:t>
            </w:r>
            <w:r>
              <w:rPr>
                <w:rFonts w:ascii="仿宋_GB2312" w:hAnsi="仿宋_GB2312" w:cs="仿宋_GB2312" w:eastAsia="仿宋_GB2312"/>
                <w:sz w:val="28"/>
              </w:rPr>
              <w:t>≥</w:t>
            </w:r>
            <w:r>
              <w:rPr>
                <w:rFonts w:ascii="仿宋_GB2312" w:hAnsi="仿宋_GB2312" w:cs="仿宋_GB2312" w:eastAsia="仿宋_GB2312"/>
                <w:sz w:val="28"/>
              </w:rPr>
              <w:t>1m</w:t>
            </w:r>
            <w:r>
              <w:rPr>
                <w:rFonts w:ascii="仿宋_GB2312" w:hAnsi="仿宋_GB2312" w:cs="仿宋_GB2312" w:eastAsia="仿宋_GB2312"/>
                <w:sz w:val="28"/>
              </w:rPr>
              <w:t>、杏梅：Φ≥</w:t>
            </w:r>
            <w:r>
              <w:rPr>
                <w:rFonts w:ascii="仿宋_GB2312" w:hAnsi="仿宋_GB2312" w:cs="仿宋_GB2312" w:eastAsia="仿宋_GB2312"/>
                <w:sz w:val="28"/>
              </w:rPr>
              <w:t>6cm</w:t>
            </w:r>
            <w:r>
              <w:rPr>
                <w:rFonts w:ascii="仿宋_GB2312" w:hAnsi="仿宋_GB2312" w:cs="仿宋_GB2312" w:eastAsia="仿宋_GB2312"/>
                <w:sz w:val="28"/>
              </w:rPr>
              <w:t xml:space="preserve">、金枝槐 </w:t>
            </w:r>
            <w:r>
              <w:rPr>
                <w:rFonts w:ascii="仿宋_GB2312" w:hAnsi="仿宋_GB2312" w:cs="仿宋_GB2312" w:eastAsia="仿宋_GB2312"/>
                <w:sz w:val="28"/>
              </w:rPr>
              <w:t>1</w:t>
            </w:r>
            <w:r>
              <w:rPr>
                <w:rFonts w:ascii="仿宋_GB2312" w:hAnsi="仿宋_GB2312" w:cs="仿宋_GB2312" w:eastAsia="仿宋_GB2312"/>
                <w:sz w:val="28"/>
              </w:rPr>
              <w:t>：Φ≥</w:t>
            </w:r>
            <w:r>
              <w:rPr>
                <w:rFonts w:ascii="仿宋_GB2312" w:hAnsi="仿宋_GB2312" w:cs="仿宋_GB2312" w:eastAsia="仿宋_GB2312"/>
                <w:sz w:val="28"/>
              </w:rPr>
              <w:t>10cm</w:t>
            </w:r>
            <w:r>
              <w:rPr>
                <w:rFonts w:ascii="仿宋_GB2312" w:hAnsi="仿宋_GB2312" w:cs="仿宋_GB2312" w:eastAsia="仿宋_GB2312"/>
                <w:sz w:val="28"/>
              </w:rPr>
              <w:t xml:space="preserve">、金枝槐 </w:t>
            </w:r>
            <w:r>
              <w:rPr>
                <w:rFonts w:ascii="仿宋_GB2312" w:hAnsi="仿宋_GB2312" w:cs="仿宋_GB2312" w:eastAsia="仿宋_GB2312"/>
                <w:sz w:val="28"/>
              </w:rPr>
              <w:t>2</w:t>
            </w:r>
            <w:r>
              <w:rPr>
                <w:rFonts w:ascii="仿宋_GB2312" w:hAnsi="仿宋_GB2312" w:cs="仿宋_GB2312" w:eastAsia="仿宋_GB2312"/>
                <w:sz w:val="28"/>
              </w:rPr>
              <w:t>：Φ≥</w:t>
            </w:r>
            <w:r>
              <w:rPr>
                <w:rFonts w:ascii="仿宋_GB2312" w:hAnsi="仿宋_GB2312" w:cs="仿宋_GB2312" w:eastAsia="仿宋_GB2312"/>
                <w:sz w:val="28"/>
              </w:rPr>
              <w:t>12cm</w:t>
            </w:r>
            <w:r>
              <w:rPr>
                <w:rFonts w:ascii="仿宋_GB2312" w:hAnsi="仿宋_GB2312" w:cs="仿宋_GB2312" w:eastAsia="仿宋_GB2312"/>
                <w:sz w:val="28"/>
              </w:rPr>
              <w:t>、丛生金枝槐：</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2.0m</w:t>
            </w:r>
            <w:r>
              <w:rPr>
                <w:rFonts w:ascii="仿宋_GB2312" w:hAnsi="仿宋_GB2312" w:cs="仿宋_GB2312" w:eastAsia="仿宋_GB2312"/>
                <w:sz w:val="28"/>
              </w:rPr>
              <w:t xml:space="preserve">、卫矛球 </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G</w:t>
            </w:r>
            <w:r>
              <w:rPr>
                <w:rFonts w:ascii="仿宋_GB2312" w:hAnsi="仿宋_GB2312" w:cs="仿宋_GB2312" w:eastAsia="仿宋_GB2312"/>
                <w:sz w:val="28"/>
              </w:rPr>
              <w:t>≥</w:t>
            </w:r>
            <w:r>
              <w:rPr>
                <w:rFonts w:ascii="仿宋_GB2312" w:hAnsi="仿宋_GB2312" w:cs="仿宋_GB2312" w:eastAsia="仿宋_GB2312"/>
                <w:sz w:val="28"/>
              </w:rPr>
              <w:t>1.0m</w:t>
            </w:r>
            <w:r>
              <w:rPr>
                <w:rFonts w:ascii="仿宋_GB2312" w:hAnsi="仿宋_GB2312" w:cs="仿宋_GB2312" w:eastAsia="仿宋_GB2312"/>
                <w:sz w:val="28"/>
              </w:rPr>
              <w:t xml:space="preserve">、卫矛球 </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G</w:t>
            </w:r>
            <w:r>
              <w:rPr>
                <w:rFonts w:ascii="仿宋_GB2312" w:hAnsi="仿宋_GB2312" w:cs="仿宋_GB2312" w:eastAsia="仿宋_GB2312"/>
                <w:sz w:val="28"/>
              </w:rPr>
              <w:t>≥</w:t>
            </w:r>
            <w:r>
              <w:rPr>
                <w:rFonts w:ascii="仿宋_GB2312" w:hAnsi="仿宋_GB2312" w:cs="仿宋_GB2312" w:eastAsia="仿宋_GB2312"/>
                <w:sz w:val="28"/>
              </w:rPr>
              <w:t>1.2m</w:t>
            </w:r>
            <w:r>
              <w:rPr>
                <w:rFonts w:ascii="仿宋_GB2312" w:hAnsi="仿宋_GB2312" w:cs="仿宋_GB2312" w:eastAsia="仿宋_GB2312"/>
                <w:sz w:val="28"/>
              </w:rPr>
              <w:t>、南天竹：</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30cm</w:t>
            </w:r>
            <w:r>
              <w:rPr>
                <w:rFonts w:ascii="仿宋_GB2312" w:hAnsi="仿宋_GB2312" w:cs="仿宋_GB2312" w:eastAsia="仿宋_GB2312"/>
                <w:sz w:val="28"/>
              </w:rPr>
              <w:t>、红瑞木：</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30cm</w:t>
            </w:r>
            <w:r>
              <w:rPr>
                <w:rFonts w:ascii="仿宋_GB2312" w:hAnsi="仿宋_GB2312" w:cs="仿宋_GB2312" w:eastAsia="仿宋_GB2312"/>
                <w:sz w:val="28"/>
              </w:rPr>
              <w:t xml:space="preserve">、七叶树 </w:t>
            </w:r>
            <w:r>
              <w:rPr>
                <w:rFonts w:ascii="仿宋_GB2312" w:hAnsi="仿宋_GB2312" w:cs="仿宋_GB2312" w:eastAsia="仿宋_GB2312"/>
                <w:sz w:val="28"/>
              </w:rPr>
              <w:t>1</w:t>
            </w:r>
            <w:r>
              <w:rPr>
                <w:rFonts w:ascii="仿宋_GB2312" w:hAnsi="仿宋_GB2312" w:cs="仿宋_GB2312" w:eastAsia="仿宋_GB2312"/>
                <w:sz w:val="28"/>
              </w:rPr>
              <w:t>：Φ≥</w:t>
            </w:r>
            <w:r>
              <w:rPr>
                <w:rFonts w:ascii="仿宋_GB2312" w:hAnsi="仿宋_GB2312" w:cs="仿宋_GB2312" w:eastAsia="仿宋_GB2312"/>
                <w:sz w:val="28"/>
              </w:rPr>
              <w:t>5cm</w:t>
            </w:r>
            <w:r>
              <w:rPr>
                <w:rFonts w:ascii="仿宋_GB2312" w:hAnsi="仿宋_GB2312" w:cs="仿宋_GB2312" w:eastAsia="仿宋_GB2312"/>
                <w:sz w:val="28"/>
              </w:rPr>
              <w:t xml:space="preserve">、七叶树 </w:t>
            </w:r>
            <w:r>
              <w:rPr>
                <w:rFonts w:ascii="仿宋_GB2312" w:hAnsi="仿宋_GB2312" w:cs="仿宋_GB2312" w:eastAsia="仿宋_GB2312"/>
                <w:sz w:val="28"/>
              </w:rPr>
              <w:t>2</w:t>
            </w:r>
            <w:r>
              <w:rPr>
                <w:rFonts w:ascii="仿宋_GB2312" w:hAnsi="仿宋_GB2312" w:cs="仿宋_GB2312" w:eastAsia="仿宋_GB2312"/>
                <w:sz w:val="28"/>
              </w:rPr>
              <w:t>：Φ≥</w:t>
            </w:r>
            <w:r>
              <w:rPr>
                <w:rFonts w:ascii="仿宋_GB2312" w:hAnsi="仿宋_GB2312" w:cs="仿宋_GB2312" w:eastAsia="仿宋_GB2312"/>
                <w:sz w:val="28"/>
              </w:rPr>
              <w:t>10cm</w:t>
            </w:r>
            <w:r>
              <w:rPr>
                <w:rFonts w:ascii="仿宋_GB2312" w:hAnsi="仿宋_GB2312" w:cs="仿宋_GB2312" w:eastAsia="仿宋_GB2312"/>
                <w:sz w:val="28"/>
              </w:rPr>
              <w:t>、高杆卫矛球：Φ≥</w:t>
            </w:r>
            <w:r>
              <w:rPr>
                <w:rFonts w:ascii="仿宋_GB2312" w:hAnsi="仿宋_GB2312" w:cs="仿宋_GB2312" w:eastAsia="仿宋_GB2312"/>
                <w:sz w:val="28"/>
              </w:rPr>
              <w:t>5cm</w:t>
            </w:r>
            <w:r>
              <w:rPr>
                <w:rFonts w:ascii="仿宋_GB2312" w:hAnsi="仿宋_GB2312" w:cs="仿宋_GB2312" w:eastAsia="仿宋_GB2312"/>
                <w:sz w:val="28"/>
              </w:rPr>
              <w:t>、塔柏：</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2.0m</w:t>
            </w:r>
            <w:r>
              <w:rPr>
                <w:rFonts w:ascii="仿宋_GB2312" w:hAnsi="仿宋_GB2312" w:cs="仿宋_GB2312" w:eastAsia="仿宋_GB2312"/>
                <w:sz w:val="28"/>
              </w:rPr>
              <w:t>、五角枫：Φ</w:t>
            </w:r>
            <w:r>
              <w:rPr>
                <w:rFonts w:ascii="仿宋_GB2312" w:hAnsi="仿宋_GB2312" w:cs="仿宋_GB2312" w:eastAsia="仿宋_GB2312"/>
                <w:sz w:val="28"/>
              </w:rPr>
              <w:t>=7-8cm</w:t>
            </w:r>
            <w:r>
              <w:rPr>
                <w:rFonts w:ascii="仿宋_GB2312" w:hAnsi="仿宋_GB2312" w:cs="仿宋_GB2312" w:eastAsia="仿宋_GB2312"/>
                <w:sz w:val="28"/>
              </w:rPr>
              <w:t>、雪松：</w:t>
            </w:r>
            <w:r>
              <w:rPr>
                <w:rFonts w:ascii="仿宋_GB2312" w:hAnsi="仿宋_GB2312" w:cs="仿宋_GB2312" w:eastAsia="仿宋_GB2312"/>
                <w:sz w:val="28"/>
              </w:rPr>
              <w:t>h</w:t>
            </w:r>
            <w:r>
              <w:rPr>
                <w:rFonts w:ascii="仿宋_GB2312" w:hAnsi="仿宋_GB2312" w:cs="仿宋_GB2312" w:eastAsia="仿宋_GB2312"/>
                <w:sz w:val="28"/>
              </w:rPr>
              <w:t>≥</w:t>
            </w:r>
            <w:r>
              <w:rPr>
                <w:rFonts w:ascii="仿宋_GB2312" w:hAnsi="仿宋_GB2312" w:cs="仿宋_GB2312" w:eastAsia="仿宋_GB2312"/>
                <w:sz w:val="28"/>
              </w:rPr>
              <w:t>3.5m</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 xml:space="preserve"> </w:t>
            </w:r>
            <w:r>
              <w:rPr>
                <w:rFonts w:ascii="仿宋_GB2312" w:hAnsi="仿宋_GB2312" w:cs="仿宋_GB2312" w:eastAsia="仿宋_GB2312"/>
                <w:sz w:val="28"/>
                <w:b/>
              </w:rPr>
              <w:t>造林主要技术措施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）整地</w:t>
            </w:r>
          </w:p>
          <w:p>
            <w:pPr>
              <w:pStyle w:val="null3"/>
              <w:ind w:firstLine="560"/>
              <w:jc w:val="both"/>
            </w:pPr>
            <w:r>
              <w:rPr>
                <w:rFonts w:ascii="仿宋_GB2312" w:hAnsi="仿宋_GB2312" w:cs="仿宋_GB2312" w:eastAsia="仿宋_GB2312"/>
                <w:sz w:val="28"/>
              </w:rPr>
              <w:t>本次绿化造林采取穴状整地，整地规格为</w:t>
            </w:r>
            <w:r>
              <w:rPr>
                <w:rFonts w:ascii="仿宋_GB2312" w:hAnsi="仿宋_GB2312" w:cs="仿宋_GB2312" w:eastAsia="仿宋_GB2312"/>
                <w:sz w:val="28"/>
              </w:rPr>
              <w:t>80cm</w:t>
            </w:r>
            <w:r>
              <w:rPr>
                <w:rFonts w:ascii="仿宋_GB2312" w:hAnsi="仿宋_GB2312" w:cs="仿宋_GB2312" w:eastAsia="仿宋_GB2312"/>
                <w:sz w:val="28"/>
              </w:rPr>
              <w:t>×</w:t>
            </w:r>
            <w:r>
              <w:rPr>
                <w:rFonts w:ascii="仿宋_GB2312" w:hAnsi="仿宋_GB2312" w:cs="仿宋_GB2312" w:eastAsia="仿宋_GB2312"/>
                <w:sz w:val="28"/>
              </w:rPr>
              <w:t>80cm</w:t>
            </w:r>
            <w:r>
              <w:rPr>
                <w:rFonts w:ascii="仿宋_GB2312" w:hAnsi="仿宋_GB2312" w:cs="仿宋_GB2312" w:eastAsia="仿宋_GB2312"/>
                <w:sz w:val="28"/>
              </w:rPr>
              <w:t>×</w:t>
            </w:r>
            <w:r>
              <w:rPr>
                <w:rFonts w:ascii="仿宋_GB2312" w:hAnsi="仿宋_GB2312" w:cs="仿宋_GB2312" w:eastAsia="仿宋_GB2312"/>
                <w:sz w:val="28"/>
              </w:rPr>
              <w:t>80cm</w:t>
            </w:r>
            <w:r>
              <w:rPr>
                <w:rFonts w:ascii="仿宋_GB2312" w:hAnsi="仿宋_GB2312" w:cs="仿宋_GB2312" w:eastAsia="仿宋_GB2312"/>
                <w:sz w:val="28"/>
              </w:rPr>
              <w:t xml:space="preserve">，道路绿化株行距 </w:t>
            </w:r>
            <w:r>
              <w:rPr>
                <w:rFonts w:ascii="仿宋_GB2312" w:hAnsi="仿宋_GB2312" w:cs="仿宋_GB2312" w:eastAsia="仿宋_GB2312"/>
                <w:sz w:val="28"/>
              </w:rPr>
              <w:t xml:space="preserve">3 </w:t>
            </w:r>
            <w:r>
              <w:rPr>
                <w:rFonts w:ascii="仿宋_GB2312" w:hAnsi="仿宋_GB2312" w:cs="仿宋_GB2312" w:eastAsia="仿宋_GB2312"/>
                <w:sz w:val="28"/>
              </w:rPr>
              <w:t>米×</w:t>
            </w:r>
            <w:r>
              <w:rPr>
                <w:rFonts w:ascii="仿宋_GB2312" w:hAnsi="仿宋_GB2312" w:cs="仿宋_GB2312" w:eastAsia="仿宋_GB2312"/>
                <w:sz w:val="28"/>
              </w:rPr>
              <w:t xml:space="preserve">3 </w:t>
            </w:r>
            <w:r>
              <w:rPr>
                <w:rFonts w:ascii="仿宋_GB2312" w:hAnsi="仿宋_GB2312" w:cs="仿宋_GB2312" w:eastAsia="仿宋_GB2312"/>
                <w:sz w:val="28"/>
              </w:rPr>
              <w:t>米 ，节点绿化随栽植点进行栽植。每个坑穴设计为单株种植单元，埂体拱形构造可引导径流形成非直线下泄路径。整地时一定要严格按照设计的要求进行整地，同时要尽量保护林地中不影响幼苗生长的原生植被，防止造成新的水土流失。</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）栽植</w:t>
            </w:r>
          </w:p>
          <w:p>
            <w:pPr>
              <w:pStyle w:val="null3"/>
              <w:ind w:firstLine="560"/>
              <w:jc w:val="both"/>
            </w:pPr>
            <w:r>
              <w:rPr>
                <w:rFonts w:ascii="仿宋_GB2312" w:hAnsi="仿宋_GB2312" w:cs="仿宋_GB2312" w:eastAsia="仿宋_GB2312"/>
                <w:sz w:val="28"/>
              </w:rPr>
              <w:t>采用植苗方法，每穴</w:t>
            </w:r>
            <w:r>
              <w:rPr>
                <w:rFonts w:ascii="仿宋_GB2312" w:hAnsi="仿宋_GB2312" w:cs="仿宋_GB2312" w:eastAsia="仿宋_GB2312"/>
                <w:sz w:val="28"/>
              </w:rPr>
              <w:t xml:space="preserve">1 </w:t>
            </w:r>
            <w:r>
              <w:rPr>
                <w:rFonts w:ascii="仿宋_GB2312" w:hAnsi="仿宋_GB2312" w:cs="仿宋_GB2312" w:eastAsia="仿宋_GB2312"/>
                <w:sz w:val="28"/>
              </w:rPr>
              <w:t xml:space="preserve">株。栽植应做到苗端位正，根系舒展，深浅适当，覆土高度稍高于苗木根径 </w:t>
            </w:r>
            <w:r>
              <w:rPr>
                <w:rFonts w:ascii="仿宋_GB2312" w:hAnsi="仿宋_GB2312" w:cs="仿宋_GB2312" w:eastAsia="仿宋_GB2312"/>
                <w:sz w:val="28"/>
              </w:rPr>
              <w:t xml:space="preserve">5 </w:t>
            </w:r>
            <w:r>
              <w:rPr>
                <w:rFonts w:ascii="仿宋_GB2312" w:hAnsi="仿宋_GB2312" w:cs="仿宋_GB2312" w:eastAsia="仿宋_GB2312"/>
                <w:sz w:val="28"/>
              </w:rPr>
              <w:t xml:space="preserve">厘米为宜，分层踩实，保留 </w:t>
            </w:r>
            <w:r>
              <w:rPr>
                <w:rFonts w:ascii="仿宋_GB2312" w:hAnsi="仿宋_GB2312" w:cs="仿宋_GB2312" w:eastAsia="仿宋_GB2312"/>
                <w:sz w:val="28"/>
              </w:rPr>
              <w:t xml:space="preserve">15 </w:t>
            </w:r>
            <w:r>
              <w:rPr>
                <w:rFonts w:ascii="仿宋_GB2312" w:hAnsi="仿宋_GB2312" w:cs="仿宋_GB2312" w:eastAsia="仿宋_GB2312"/>
                <w:sz w:val="28"/>
              </w:rPr>
              <w:t>厘米左右深的坑，以利于蓄水保墒。栽植时要严格按照“一垫、二提、三埋、四踩”的要求进行认真栽植。由于作业区土壤条件较差，本次增加坑穴换土，栽植回填土全部选择外购黄土入穴，为林木生长提供好的土壤，以保证苗木成活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）浇水</w:t>
            </w:r>
          </w:p>
          <w:p>
            <w:pPr>
              <w:pStyle w:val="null3"/>
              <w:ind w:firstLine="560"/>
              <w:jc w:val="both"/>
            </w:pPr>
            <w:r>
              <w:rPr>
                <w:rFonts w:ascii="仿宋_GB2312" w:hAnsi="仿宋_GB2312" w:cs="仿宋_GB2312" w:eastAsia="仿宋_GB2312"/>
                <w:sz w:val="28"/>
              </w:rPr>
              <w:t>苗木栽植后应及时浇足、浇透定根水。浇水后，尽量利用有机覆盖物等铺在坑穴表面，可有效减少蒸腾作用，起到保水保墒的作用。如遇极端干旱天气，要增加浇水的次数，保障苗木不因干旱而死亡。浇水后坑内容易引起土壤板结，通气不良，要增加松土次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）抗旱造林技术应用</w:t>
            </w:r>
          </w:p>
          <w:p>
            <w:pPr>
              <w:pStyle w:val="null3"/>
              <w:ind w:firstLine="560"/>
              <w:jc w:val="both"/>
            </w:pPr>
            <w:r>
              <w:rPr>
                <w:rFonts w:ascii="仿宋_GB2312" w:hAnsi="仿宋_GB2312" w:cs="仿宋_GB2312" w:eastAsia="仿宋_GB2312"/>
                <w:sz w:val="28"/>
              </w:rPr>
              <w:t>为确保造林成活率，提高造林质量，造林时物料使用</w:t>
            </w:r>
            <w:r>
              <w:rPr>
                <w:rFonts w:ascii="仿宋_GB2312" w:hAnsi="仿宋_GB2312" w:cs="仿宋_GB2312" w:eastAsia="仿宋_GB2312"/>
                <w:sz w:val="28"/>
              </w:rPr>
              <w:t>GGR6</w:t>
            </w:r>
            <w:r>
              <w:rPr>
                <w:rFonts w:ascii="仿宋_GB2312" w:hAnsi="仿宋_GB2312" w:cs="仿宋_GB2312" w:eastAsia="仿宋_GB2312"/>
                <w:sz w:val="28"/>
              </w:rPr>
              <w:t>，促进苗木根系生长。造林所需的苗木应做到随起随栽，确需调运的应采取相应的保护措施，以减少运输途中苗木的损伤和水分的丧失，提高造林成活率。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）成活率、保存率</w:t>
            </w:r>
          </w:p>
          <w:p>
            <w:pPr>
              <w:pStyle w:val="null3"/>
              <w:ind w:firstLine="560"/>
              <w:jc w:val="both"/>
            </w:pPr>
            <w:r>
              <w:rPr>
                <w:rFonts w:ascii="仿宋_GB2312" w:hAnsi="仿宋_GB2312" w:cs="仿宋_GB2312" w:eastAsia="仿宋_GB2312"/>
                <w:sz w:val="28"/>
              </w:rPr>
              <w:t>需达到</w:t>
            </w:r>
            <w:r>
              <w:rPr>
                <w:rFonts w:ascii="仿宋_GB2312" w:hAnsi="仿宋_GB2312" w:cs="仿宋_GB2312" w:eastAsia="仿宋_GB2312"/>
                <w:sz w:val="28"/>
              </w:rPr>
              <w:t>95%</w:t>
            </w:r>
            <w:r>
              <w:rPr>
                <w:rFonts w:ascii="仿宋_GB2312" w:hAnsi="仿宋_GB2312" w:cs="仿宋_GB2312" w:eastAsia="仿宋_GB2312"/>
                <w:sz w:val="28"/>
              </w:rPr>
              <w:t>以上。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）抚育</w:t>
            </w:r>
          </w:p>
          <w:p>
            <w:pPr>
              <w:pStyle w:val="null3"/>
              <w:ind w:firstLine="560"/>
              <w:jc w:val="both"/>
            </w:pPr>
            <w:r>
              <w:rPr>
                <w:rFonts w:ascii="仿宋_GB2312" w:hAnsi="仿宋_GB2312" w:cs="仿宋_GB2312" w:eastAsia="仿宋_GB2312"/>
                <w:sz w:val="28"/>
              </w:rPr>
              <w:t>在栽植后一段时间里所进行的各种技术措施。新栽树木一般要经历缓苗、扎根、生长并逐步进入速生的过程，对以后林木快速生长影响极大。抚育的根本任务在于为幼树提供一个优越的生长环境，满足幼树对水、肥、气、光、热的要求。通过松土、除草、扩穴等改善土壤理化性质，给幼苗幼树创造一个良好的生长环境。造林后</w:t>
            </w:r>
            <w:r>
              <w:rPr>
                <w:rFonts w:ascii="仿宋_GB2312" w:hAnsi="仿宋_GB2312" w:cs="仿宋_GB2312" w:eastAsia="仿宋_GB2312"/>
                <w:sz w:val="28"/>
              </w:rPr>
              <w:t xml:space="preserve">1 </w:t>
            </w:r>
            <w:r>
              <w:rPr>
                <w:rFonts w:ascii="仿宋_GB2312" w:hAnsi="仿宋_GB2312" w:cs="仿宋_GB2312" w:eastAsia="仿宋_GB2312"/>
                <w:sz w:val="28"/>
              </w:rPr>
              <w:t xml:space="preserve">年内抚育 </w:t>
            </w:r>
            <w:r>
              <w:rPr>
                <w:rFonts w:ascii="仿宋_GB2312" w:hAnsi="仿宋_GB2312" w:cs="仿宋_GB2312" w:eastAsia="仿宋_GB2312"/>
                <w:sz w:val="28"/>
              </w:rPr>
              <w:t xml:space="preserve">1 </w:t>
            </w:r>
            <w:r>
              <w:rPr>
                <w:rFonts w:ascii="仿宋_GB2312" w:hAnsi="仿宋_GB2312" w:cs="仿宋_GB2312" w:eastAsia="仿宋_GB2312"/>
                <w:sz w:val="28"/>
              </w:rPr>
              <w:t>次，抚育的主要内容是松土、除草、除萌、扩穴、砍灌、培土、整枝、林业有害生物防治等。松土除草要做到“三不伤、二干净、一培土”，即不伤根、不伤皮、不伤树梢；杂灌草除干净，把除掉的杂草覆盖到树根附近，以减少水分蒸发和增加有机质。松土深度要适当，做到里浅外深，栽植后第一年浅，以后逐年加深。发现病、虫、鼠、兔等林业有害生物要及时进行防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）管护</w:t>
            </w:r>
          </w:p>
          <w:p>
            <w:pPr>
              <w:pStyle w:val="null3"/>
              <w:ind w:firstLine="560"/>
              <w:jc w:val="both"/>
            </w:pPr>
            <w:r>
              <w:rPr>
                <w:rFonts w:ascii="仿宋_GB2312" w:hAnsi="仿宋_GB2312" w:cs="仿宋_GB2312" w:eastAsia="仿宋_GB2312"/>
                <w:sz w:val="28"/>
              </w:rPr>
              <w:t>栽植后，要切实加强对项目区的管护工作，明确管护人员，管护责任，考核标准等，可以设立专职或兼职护林员进行管护。</w:t>
            </w:r>
          </w:p>
          <w:p>
            <w:pPr>
              <w:pStyle w:val="null3"/>
              <w:ind w:firstLine="562"/>
              <w:jc w:val="both"/>
            </w:pPr>
            <w:r>
              <w:rPr>
                <w:rFonts w:ascii="仿宋_GB2312" w:hAnsi="仿宋_GB2312" w:cs="仿宋_GB2312" w:eastAsia="仿宋_GB2312"/>
                <w:sz w:val="28"/>
                <w:b/>
              </w:rPr>
              <w:t>5</w:t>
            </w:r>
            <w:r>
              <w:rPr>
                <w:rFonts w:ascii="仿宋_GB2312" w:hAnsi="仿宋_GB2312" w:cs="仿宋_GB2312" w:eastAsia="仿宋_GB2312"/>
                <w:sz w:val="28"/>
                <w:b/>
              </w:rPr>
              <w:t>、</w:t>
            </w:r>
            <w:r>
              <w:rPr>
                <w:rFonts w:ascii="仿宋_GB2312" w:hAnsi="仿宋_GB2312" w:cs="仿宋_GB2312" w:eastAsia="仿宋_GB2312"/>
                <w:sz w:val="28"/>
                <w:b/>
              </w:rPr>
              <w:t xml:space="preserve"> </w:t>
            </w:r>
            <w:r>
              <w:rPr>
                <w:rFonts w:ascii="仿宋_GB2312" w:hAnsi="仿宋_GB2312" w:cs="仿宋_GB2312" w:eastAsia="仿宋_GB2312"/>
                <w:sz w:val="28"/>
                <w:b/>
              </w:rPr>
              <w:t>苗木量</w:t>
            </w:r>
          </w:p>
          <w:p>
            <w:pPr>
              <w:pStyle w:val="null3"/>
              <w:ind w:firstLine="560"/>
              <w:jc w:val="both"/>
            </w:pPr>
            <w:r>
              <w:rPr>
                <w:rFonts w:ascii="仿宋_GB2312" w:hAnsi="仿宋_GB2312" w:cs="仿宋_GB2312" w:eastAsia="仿宋_GB2312"/>
                <w:sz w:val="28"/>
              </w:rPr>
              <w:t>项目共需苗木</w:t>
            </w:r>
            <w:r>
              <w:rPr>
                <w:rFonts w:ascii="仿宋_GB2312" w:hAnsi="仿宋_GB2312" w:cs="仿宋_GB2312" w:eastAsia="仿宋_GB2312"/>
                <w:sz w:val="28"/>
              </w:rPr>
              <w:t xml:space="preserve">8360 </w:t>
            </w:r>
            <w:r>
              <w:rPr>
                <w:rFonts w:ascii="仿宋_GB2312" w:hAnsi="仿宋_GB2312" w:cs="仿宋_GB2312" w:eastAsia="仿宋_GB2312"/>
                <w:sz w:val="28"/>
              </w:rPr>
              <w:t xml:space="preserve">株、混播草籽 </w:t>
            </w:r>
            <w:r>
              <w:rPr>
                <w:rFonts w:ascii="仿宋_GB2312" w:hAnsi="仿宋_GB2312" w:cs="仿宋_GB2312" w:eastAsia="仿宋_GB2312"/>
                <w:sz w:val="28"/>
              </w:rPr>
              <w:t xml:space="preserve">80 </w:t>
            </w:r>
            <w:r>
              <w:rPr>
                <w:rFonts w:ascii="仿宋_GB2312" w:hAnsi="仿宋_GB2312" w:cs="仿宋_GB2312" w:eastAsia="仿宋_GB2312"/>
                <w:sz w:val="28"/>
              </w:rPr>
              <w:t xml:space="preserve">公斤、麦冬草 </w:t>
            </w:r>
            <w:r>
              <w:rPr>
                <w:rFonts w:ascii="仿宋_GB2312" w:hAnsi="仿宋_GB2312" w:cs="仿宋_GB2312" w:eastAsia="仿宋_GB2312"/>
                <w:sz w:val="28"/>
              </w:rPr>
              <w:t xml:space="preserve">3.5 </w:t>
            </w:r>
            <w:r>
              <w:rPr>
                <w:rFonts w:ascii="仿宋_GB2312" w:hAnsi="仿宋_GB2312" w:cs="仿宋_GB2312" w:eastAsia="仿宋_GB2312"/>
                <w:sz w:val="28"/>
              </w:rPr>
              <w:t xml:space="preserve">吨。其中：白皮松 </w:t>
            </w:r>
            <w:r>
              <w:rPr>
                <w:rFonts w:ascii="仿宋_GB2312" w:hAnsi="仿宋_GB2312" w:cs="仿宋_GB2312" w:eastAsia="仿宋_GB2312"/>
                <w:sz w:val="28"/>
              </w:rPr>
              <w:t xml:space="preserve">325 </w:t>
            </w:r>
            <w:r>
              <w:rPr>
                <w:rFonts w:ascii="仿宋_GB2312" w:hAnsi="仿宋_GB2312" w:cs="仿宋_GB2312" w:eastAsia="仿宋_GB2312"/>
                <w:sz w:val="28"/>
              </w:rPr>
              <w:t xml:space="preserve">株、龙柏 </w:t>
            </w:r>
            <w:r>
              <w:rPr>
                <w:rFonts w:ascii="仿宋_GB2312" w:hAnsi="仿宋_GB2312" w:cs="仿宋_GB2312" w:eastAsia="仿宋_GB2312"/>
                <w:sz w:val="28"/>
              </w:rPr>
              <w:t xml:space="preserve">49 </w:t>
            </w:r>
            <w:r>
              <w:rPr>
                <w:rFonts w:ascii="仿宋_GB2312" w:hAnsi="仿宋_GB2312" w:cs="仿宋_GB2312" w:eastAsia="仿宋_GB2312"/>
                <w:sz w:val="28"/>
              </w:rPr>
              <w:t xml:space="preserve">株、紫薇 </w:t>
            </w:r>
            <w:r>
              <w:rPr>
                <w:rFonts w:ascii="仿宋_GB2312" w:hAnsi="仿宋_GB2312" w:cs="仿宋_GB2312" w:eastAsia="仿宋_GB2312"/>
                <w:sz w:val="28"/>
              </w:rPr>
              <w:t xml:space="preserve">18 </w:t>
            </w:r>
            <w:r>
              <w:rPr>
                <w:rFonts w:ascii="仿宋_GB2312" w:hAnsi="仿宋_GB2312" w:cs="仿宋_GB2312" w:eastAsia="仿宋_GB2312"/>
                <w:sz w:val="28"/>
              </w:rPr>
              <w:t xml:space="preserve">株、黄栌 </w:t>
            </w:r>
            <w:r>
              <w:rPr>
                <w:rFonts w:ascii="仿宋_GB2312" w:hAnsi="仿宋_GB2312" w:cs="仿宋_GB2312" w:eastAsia="仿宋_GB2312"/>
                <w:sz w:val="28"/>
              </w:rPr>
              <w:t xml:space="preserve">7 </w:t>
            </w:r>
            <w:r>
              <w:rPr>
                <w:rFonts w:ascii="仿宋_GB2312" w:hAnsi="仿宋_GB2312" w:cs="仿宋_GB2312" w:eastAsia="仿宋_GB2312"/>
                <w:sz w:val="28"/>
              </w:rPr>
              <w:t xml:space="preserve">株、腊梅 </w:t>
            </w:r>
            <w:r>
              <w:rPr>
                <w:rFonts w:ascii="仿宋_GB2312" w:hAnsi="仿宋_GB2312" w:cs="仿宋_GB2312" w:eastAsia="仿宋_GB2312"/>
                <w:sz w:val="28"/>
              </w:rPr>
              <w:t xml:space="preserve">11 </w:t>
            </w:r>
            <w:r>
              <w:rPr>
                <w:rFonts w:ascii="仿宋_GB2312" w:hAnsi="仿宋_GB2312" w:cs="仿宋_GB2312" w:eastAsia="仿宋_GB2312"/>
                <w:sz w:val="28"/>
              </w:rPr>
              <w:t xml:space="preserve">株、红花继木 </w:t>
            </w:r>
            <w:r>
              <w:rPr>
                <w:rFonts w:ascii="仿宋_GB2312" w:hAnsi="仿宋_GB2312" w:cs="仿宋_GB2312" w:eastAsia="仿宋_GB2312"/>
                <w:sz w:val="28"/>
              </w:rPr>
              <w:t xml:space="preserve">25 </w:t>
            </w:r>
            <w:r>
              <w:rPr>
                <w:rFonts w:ascii="仿宋_GB2312" w:hAnsi="仿宋_GB2312" w:cs="仿宋_GB2312" w:eastAsia="仿宋_GB2312"/>
                <w:sz w:val="28"/>
              </w:rPr>
              <w:t xml:space="preserve">株、杏梅 </w:t>
            </w:r>
            <w:r>
              <w:rPr>
                <w:rFonts w:ascii="仿宋_GB2312" w:hAnsi="仿宋_GB2312" w:cs="仿宋_GB2312" w:eastAsia="仿宋_GB2312"/>
                <w:sz w:val="28"/>
              </w:rPr>
              <w:t xml:space="preserve">6 </w:t>
            </w:r>
            <w:r>
              <w:rPr>
                <w:rFonts w:ascii="仿宋_GB2312" w:hAnsi="仿宋_GB2312" w:cs="仿宋_GB2312" w:eastAsia="仿宋_GB2312"/>
                <w:sz w:val="28"/>
              </w:rPr>
              <w:t xml:space="preserve">株、金枝槐 </w:t>
            </w:r>
            <w:r>
              <w:rPr>
                <w:rFonts w:ascii="仿宋_GB2312" w:hAnsi="仿宋_GB2312" w:cs="仿宋_GB2312" w:eastAsia="仿宋_GB2312"/>
                <w:sz w:val="28"/>
              </w:rPr>
              <w:t xml:space="preserve">12 </w:t>
            </w:r>
            <w:r>
              <w:rPr>
                <w:rFonts w:ascii="仿宋_GB2312" w:hAnsi="仿宋_GB2312" w:cs="仿宋_GB2312" w:eastAsia="仿宋_GB2312"/>
                <w:sz w:val="28"/>
              </w:rPr>
              <w:t xml:space="preserve">株、丛生金枝槐 </w:t>
            </w:r>
            <w:r>
              <w:rPr>
                <w:rFonts w:ascii="仿宋_GB2312" w:hAnsi="仿宋_GB2312" w:cs="仿宋_GB2312" w:eastAsia="仿宋_GB2312"/>
                <w:sz w:val="28"/>
              </w:rPr>
              <w:t xml:space="preserve">4 </w:t>
            </w:r>
            <w:r>
              <w:rPr>
                <w:rFonts w:ascii="仿宋_GB2312" w:hAnsi="仿宋_GB2312" w:cs="仿宋_GB2312" w:eastAsia="仿宋_GB2312"/>
                <w:sz w:val="28"/>
              </w:rPr>
              <w:t xml:space="preserve">株、卫矛球 </w:t>
            </w:r>
            <w:r>
              <w:rPr>
                <w:rFonts w:ascii="仿宋_GB2312" w:hAnsi="仿宋_GB2312" w:cs="仿宋_GB2312" w:eastAsia="仿宋_GB2312"/>
                <w:sz w:val="28"/>
              </w:rPr>
              <w:t xml:space="preserve">16 </w:t>
            </w:r>
            <w:r>
              <w:rPr>
                <w:rFonts w:ascii="仿宋_GB2312" w:hAnsi="仿宋_GB2312" w:cs="仿宋_GB2312" w:eastAsia="仿宋_GB2312"/>
                <w:sz w:val="28"/>
              </w:rPr>
              <w:t xml:space="preserve">株、南天竹 </w:t>
            </w:r>
            <w:r>
              <w:rPr>
                <w:rFonts w:ascii="仿宋_GB2312" w:hAnsi="仿宋_GB2312" w:cs="仿宋_GB2312" w:eastAsia="仿宋_GB2312"/>
                <w:sz w:val="28"/>
              </w:rPr>
              <w:t xml:space="preserve">2520 </w:t>
            </w:r>
            <w:r>
              <w:rPr>
                <w:rFonts w:ascii="仿宋_GB2312" w:hAnsi="仿宋_GB2312" w:cs="仿宋_GB2312" w:eastAsia="仿宋_GB2312"/>
                <w:sz w:val="28"/>
              </w:rPr>
              <w:t xml:space="preserve">株、红瑞木 </w:t>
            </w:r>
            <w:r>
              <w:rPr>
                <w:rFonts w:ascii="仿宋_GB2312" w:hAnsi="仿宋_GB2312" w:cs="仿宋_GB2312" w:eastAsia="仿宋_GB2312"/>
                <w:sz w:val="28"/>
              </w:rPr>
              <w:t xml:space="preserve">4140 </w:t>
            </w:r>
            <w:r>
              <w:rPr>
                <w:rFonts w:ascii="仿宋_GB2312" w:hAnsi="仿宋_GB2312" w:cs="仿宋_GB2312" w:eastAsia="仿宋_GB2312"/>
                <w:sz w:val="28"/>
              </w:rPr>
              <w:t xml:space="preserve">株、七叶树 </w:t>
            </w:r>
            <w:r>
              <w:rPr>
                <w:rFonts w:ascii="仿宋_GB2312" w:hAnsi="仿宋_GB2312" w:cs="仿宋_GB2312" w:eastAsia="仿宋_GB2312"/>
                <w:sz w:val="28"/>
              </w:rPr>
              <w:t xml:space="preserve">429 </w:t>
            </w:r>
            <w:r>
              <w:rPr>
                <w:rFonts w:ascii="仿宋_GB2312" w:hAnsi="仿宋_GB2312" w:cs="仿宋_GB2312" w:eastAsia="仿宋_GB2312"/>
                <w:sz w:val="28"/>
              </w:rPr>
              <w:t xml:space="preserve">株、高杆卫矛球 </w:t>
            </w:r>
            <w:r>
              <w:rPr>
                <w:rFonts w:ascii="仿宋_GB2312" w:hAnsi="仿宋_GB2312" w:cs="仿宋_GB2312" w:eastAsia="仿宋_GB2312"/>
                <w:sz w:val="28"/>
              </w:rPr>
              <w:t xml:space="preserve">342 </w:t>
            </w:r>
            <w:r>
              <w:rPr>
                <w:rFonts w:ascii="仿宋_GB2312" w:hAnsi="仿宋_GB2312" w:cs="仿宋_GB2312" w:eastAsia="仿宋_GB2312"/>
                <w:sz w:val="28"/>
              </w:rPr>
              <w:t xml:space="preserve">株、塔柏 </w:t>
            </w:r>
            <w:r>
              <w:rPr>
                <w:rFonts w:ascii="仿宋_GB2312" w:hAnsi="仿宋_GB2312" w:cs="仿宋_GB2312" w:eastAsia="仿宋_GB2312"/>
                <w:sz w:val="28"/>
              </w:rPr>
              <w:t xml:space="preserve">365 </w:t>
            </w:r>
            <w:r>
              <w:rPr>
                <w:rFonts w:ascii="仿宋_GB2312" w:hAnsi="仿宋_GB2312" w:cs="仿宋_GB2312" w:eastAsia="仿宋_GB2312"/>
                <w:sz w:val="28"/>
              </w:rPr>
              <w:t xml:space="preserve">株、五角枫 </w:t>
            </w:r>
            <w:r>
              <w:rPr>
                <w:rFonts w:ascii="仿宋_GB2312" w:hAnsi="仿宋_GB2312" w:cs="仿宋_GB2312" w:eastAsia="仿宋_GB2312"/>
                <w:sz w:val="28"/>
              </w:rPr>
              <w:t xml:space="preserve">58 </w:t>
            </w:r>
            <w:r>
              <w:rPr>
                <w:rFonts w:ascii="仿宋_GB2312" w:hAnsi="仿宋_GB2312" w:cs="仿宋_GB2312" w:eastAsia="仿宋_GB2312"/>
                <w:sz w:val="28"/>
              </w:rPr>
              <w:t xml:space="preserve">株、雪松 </w:t>
            </w:r>
            <w:r>
              <w:rPr>
                <w:rFonts w:ascii="仿宋_GB2312" w:hAnsi="仿宋_GB2312" w:cs="仿宋_GB2312" w:eastAsia="仿宋_GB2312"/>
                <w:sz w:val="28"/>
              </w:rPr>
              <w:t xml:space="preserve">33 </w:t>
            </w:r>
            <w:r>
              <w:rPr>
                <w:rFonts w:ascii="仿宋_GB2312" w:hAnsi="仿宋_GB2312" w:cs="仿宋_GB2312" w:eastAsia="仿宋_GB2312"/>
                <w:sz w:val="28"/>
              </w:rPr>
              <w:t xml:space="preserve">株、混播草籽 </w:t>
            </w:r>
            <w:r>
              <w:rPr>
                <w:rFonts w:ascii="仿宋_GB2312" w:hAnsi="仿宋_GB2312" w:cs="仿宋_GB2312" w:eastAsia="仿宋_GB2312"/>
                <w:sz w:val="28"/>
              </w:rPr>
              <w:t xml:space="preserve">80 </w:t>
            </w:r>
            <w:r>
              <w:rPr>
                <w:rFonts w:ascii="仿宋_GB2312" w:hAnsi="仿宋_GB2312" w:cs="仿宋_GB2312" w:eastAsia="仿宋_GB2312"/>
                <w:sz w:val="28"/>
              </w:rPr>
              <w:t xml:space="preserve">公斤、麦冬草 </w:t>
            </w:r>
            <w:r>
              <w:rPr>
                <w:rFonts w:ascii="仿宋_GB2312" w:hAnsi="仿宋_GB2312" w:cs="仿宋_GB2312" w:eastAsia="仿宋_GB2312"/>
                <w:sz w:val="28"/>
              </w:rPr>
              <w:t xml:space="preserve">3.5 </w:t>
            </w:r>
            <w:r>
              <w:rPr>
                <w:rFonts w:ascii="仿宋_GB2312" w:hAnsi="仿宋_GB2312" w:cs="仿宋_GB2312" w:eastAsia="仿宋_GB2312"/>
                <w:sz w:val="28"/>
              </w:rPr>
              <w:t>吨。在苗木调拨时尽量选择当地自产苗木，需要外调苗木时应选择气候条件、立地条件相近地区的苗木，同时要注意对苗木的检疫，确保苗木质量。</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合规要求，强调供应商必须遵守的法律法规、行业标准和政府政策要求,包括知识产权保护等方面的要求。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投标人投标报价未超出采购预算或最高限价且报价唯一</w:t>
            </w:r>
          </w:p>
        </w:tc>
        <w:tc>
          <w:tcPr>
            <w:tcW w:type="dxa" w:w="1661"/>
          </w:tcPr>
          <w:p>
            <w:pPr>
              <w:pStyle w:val="null3"/>
            </w:pPr>
            <w:r>
              <w:rPr>
                <w:rFonts w:ascii="仿宋_GB2312" w:hAnsi="仿宋_GB2312" w:cs="仿宋_GB2312" w:eastAsia="仿宋_GB2312"/>
              </w:rPr>
              <w:t>分项报价表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不存在其它不符合法律法规或采购文件规定的投标无效情形</w:t>
            </w:r>
          </w:p>
        </w:tc>
        <w:tc>
          <w:tcPr>
            <w:tcW w:type="dxa" w:w="1661"/>
          </w:tcPr>
          <w:p>
            <w:pPr>
              <w:pStyle w:val="null3"/>
            </w:pPr>
            <w:r>
              <w:rPr>
                <w:rFonts w:ascii="仿宋_GB2312" w:hAnsi="仿宋_GB2312" w:cs="仿宋_GB2312" w:eastAsia="仿宋_GB2312"/>
              </w:rPr>
              <w:t>采购内容及要求响应偏离表 商务应答表 供应商应提交的相关资格证明材料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评委根据供应商所提供的项目实施方案进行相应评分，包括但不限于：①作业区域的作业内容；②作业时间；③服务人员安排；④作业方法等内容。以上评审内容，每项6分，满分24分。 （1）内容完整，合理性强、可行性强，每项得6分； （2）内容完整，但未针对各项内容进行详细描述，每项得4分； （3）内容较完整，合理性一般、可行性一般，每项得2分； （4）内容有缺项或未提供相关内容的，根据评审内容此项得0分。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专业人员配备合理、全面、满足项目需求，人员分工、岗位职责明确。 根据人员架构的设置情况是否充分，是否覆盖与本项目相关的专业技术能力，岗位划分是否清晰，职责是否明确进行得分（满分9分）： (1)项目组人员配备方案非常完整、非常合理，针对性及可实施性非常强，完全满足项目需求得9分； (2)方案比较完整、比较合理，具有一定的针对性及可实施性，基本满足招标文件要求，得6分； (3)方案完整度一般、合理性一般，针对性及可实施性一般，基本满足招标文件要求，部分满足项目需求得3分； (4)方案过于简单，不能满足要求，或未提供相关内容不得分。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拟投入作业设备、物资及劳保用品配备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评委根据供应商所提供的拟投入作业设备、物资及劳保用品配备进行相应评分，包括但不限于：①作业设备、物资及劳保用品配备；②备品备件计划保证措施；以上评审内容，每项6分，满分12分。 （1）内容完整，合理性强、可行性强，每项得6分； （2）内容完整，但未针对各项内容进行详细描述，每项得4分； （3）内容较完整，合理性一般、可行性一般，每项得2分； （4）内容有缺项或未提供相关内容的，根据评审内容此项得0分。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1.供应商具有完善的工作内部管理制度，分工明确、流程完整合理。根据制度完备性、措施合理性进行赋分，完全满足项目要求，得6分； 2.供应商具有较完善的工作内部管理制度，分工较明确、流程较合理。根据制度完备性、措施合理性进行赋分，基本满足项目要求，得4分； 3.供应商具有较一般的工作内部管理制度，分工一般、流程一般。根据制度完备性、措施合理性进行赋分，部分满足项目要求，得2分； 4.不能满足要求，或未提供相关内容不得分。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针对本项目出现突发状况或问题后的补救措施等方面，包括但不限于：①对突发情况响应时间；②服务承诺；③应急方案等；以上评审内容，每项3分，满分9分。 （1）内容完整，合理性强、可行性强，每项得3分； （2）内容完整，但未针对各项内容进行详细描述，每项得1.5分； （3）内容较完整，合理性一般、可行性一般，每项得1分； （4）内容有缺项或未提供相关内容的，根据评审内容此项得0分。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 质量保证措施切实可行、责任明确得9分； 质量保证措施可行性一般、责任较明确得6分； 质量保证措施可行性低、责任不明确得3分。 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针对本项目制定工作进度保证措施： 工作进度计划详细可行、合理，以严谨且可执行的保障措施实现本项目对时间的要求得9分； 工作进度计划较详细可行、合理，保障措施一般得6分； 工作进度计划可行性低、不合理，保障措施无法满足本项目对时间的要求得3分。 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针对本项目提出合理化建议满足项目需要，方案科学计6分，合理化建议安排较能满足项目需要、较合理，方案较科学计4分，合理化建议安排不够详细，科学性、合理性、可行性差的计2分。 注：未进行描述的本项不得分。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提供供应商自2023年6 月 1 日至今承担过的类似项目业绩，每提供 1 个项目合同得 2分，最多得 6分。 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采用低价优先法计算，即满足磋商文件要求且价格最低的磋商报价为磋商基准价，其价格分为满分。 磋商报价得分＝（磋商基准价/最终磋商报价）×价格权值×100 注：磋商小组认为供应商的报价明显低于其他通过符合性审查供应商的报价，有可能影响服务质量或者不能诚信履约的，应当要求其在磋商现场合理的时间内提供书面说明，必要时提交相关证明材料；供应商不能证明其报价合理性的，磋商小组应当将其作为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详见附件：采购内容及要求响应偏离表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