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452C7">
      <w:pPr>
        <w:keepNext w:val="0"/>
        <w:keepLines w:val="0"/>
        <w:widowControl/>
        <w:suppressLineNumbers w:val="0"/>
        <w:shd w:val="clear"/>
        <w:spacing w:line="360" w:lineRule="auto"/>
        <w:jc w:val="center"/>
        <w:rPr>
          <w:rFonts w:hint="eastAsia" w:ascii="宋体" w:hAnsi="宋体" w:eastAsia="宋体" w:cs="宋体"/>
        </w:rPr>
      </w:pPr>
      <w:r>
        <w:rPr>
          <w:rFonts w:hint="eastAsia" w:ascii="宋体" w:hAnsi="宋体" w:eastAsia="宋体" w:cs="宋体"/>
          <w:b/>
          <w:color w:val="000000" w:themeColor="text1"/>
          <w:sz w:val="36"/>
          <w14:textFill>
            <w14:solidFill>
              <w14:schemeClr w14:val="tx1"/>
            </w14:solidFill>
          </w14:textFill>
        </w:rPr>
        <w:t xml:space="preserve"> </w:t>
      </w:r>
      <w:r>
        <w:rPr>
          <w:rFonts w:hint="eastAsia" w:ascii="宋体" w:hAnsi="宋体" w:eastAsia="宋体" w:cs="宋体"/>
          <w:b/>
          <w:sz w:val="36"/>
        </w:rPr>
        <w:t>拟签订采购合同文本</w:t>
      </w:r>
    </w:p>
    <w:p w14:paraId="1ABCC2F7">
      <w:pPr>
        <w:shd w:val="clear"/>
        <w:spacing w:line="360" w:lineRule="auto"/>
        <w:jc w:val="center"/>
        <w:rPr>
          <w:rFonts w:hint="eastAsia"/>
          <w:b/>
          <w:bCs/>
          <w:color w:val="auto"/>
          <w:sz w:val="52"/>
          <w:szCs w:val="52"/>
          <w:highlight w:val="none"/>
          <w:lang w:eastAsia="zh-CN"/>
        </w:rPr>
      </w:pPr>
    </w:p>
    <w:p w14:paraId="7C923776">
      <w:pPr>
        <w:shd w:val="clear"/>
        <w:spacing w:line="360" w:lineRule="auto"/>
        <w:jc w:val="center"/>
        <w:rPr>
          <w:rFonts w:hint="eastAsia" w:asciiTheme="minorEastAsia" w:hAnsiTheme="minorEastAsia" w:eastAsiaTheme="minorEastAsia" w:cstheme="minorEastAsia"/>
          <w:b/>
          <w:bCs/>
          <w:color w:val="auto"/>
          <w:sz w:val="48"/>
          <w:szCs w:val="48"/>
          <w:highlight w:val="none"/>
          <w:lang w:eastAsia="zh-CN"/>
        </w:rPr>
      </w:pPr>
      <w:r>
        <w:rPr>
          <w:rFonts w:hint="eastAsia" w:asciiTheme="minorEastAsia" w:hAnsiTheme="minorEastAsia" w:eastAsiaTheme="minorEastAsia" w:cstheme="minorEastAsia"/>
          <w:b/>
          <w:bCs/>
          <w:color w:val="auto"/>
          <w:sz w:val="48"/>
          <w:szCs w:val="48"/>
          <w:highlight w:val="none"/>
          <w:lang w:eastAsia="zh-CN"/>
        </w:rPr>
        <w:t>2026年实验楼废气、废水处理及实验室通排风系统运行维护项目</w:t>
      </w:r>
    </w:p>
    <w:p w14:paraId="55929DA4">
      <w:pPr>
        <w:shd w:val="clear"/>
        <w:jc w:val="center"/>
        <w:rPr>
          <w:b/>
          <w:bCs/>
          <w:color w:val="auto"/>
          <w:sz w:val="44"/>
          <w:szCs w:val="44"/>
          <w:highlight w:val="none"/>
          <w:lang w:eastAsia="zh-CN"/>
        </w:rPr>
      </w:pPr>
    </w:p>
    <w:p w14:paraId="0DE7B92C">
      <w:pPr>
        <w:shd w:val="clear"/>
        <w:rPr>
          <w:color w:val="auto"/>
          <w:highlight w:val="none"/>
          <w:lang w:eastAsia="zh-CN"/>
        </w:rPr>
      </w:pPr>
    </w:p>
    <w:p w14:paraId="783CBAD1">
      <w:pPr>
        <w:shd w:val="clear"/>
        <w:rPr>
          <w:color w:val="auto"/>
          <w:highlight w:val="none"/>
          <w:lang w:eastAsia="zh-CN"/>
        </w:rPr>
      </w:pPr>
    </w:p>
    <w:p w14:paraId="1071F73B">
      <w:pPr>
        <w:shd w:val="clear"/>
        <w:rPr>
          <w:color w:val="auto"/>
          <w:highlight w:val="none"/>
          <w:lang w:eastAsia="zh-CN"/>
        </w:rPr>
      </w:pPr>
    </w:p>
    <w:p w14:paraId="278AED31">
      <w:pPr>
        <w:shd w:val="clear"/>
        <w:rPr>
          <w:color w:val="auto"/>
          <w:highlight w:val="none"/>
          <w:lang w:eastAsia="zh-CN"/>
        </w:rPr>
      </w:pPr>
    </w:p>
    <w:p w14:paraId="6EF2758D">
      <w:pPr>
        <w:shd w:val="clear"/>
        <w:rPr>
          <w:color w:val="auto"/>
          <w:highlight w:val="none"/>
          <w:lang w:eastAsia="zh-CN"/>
        </w:rPr>
      </w:pPr>
    </w:p>
    <w:p w14:paraId="10C826A6">
      <w:pPr>
        <w:shd w:val="clear"/>
        <w:jc w:val="center"/>
        <w:rPr>
          <w:b/>
          <w:color w:val="auto"/>
          <w:sz w:val="36"/>
          <w:szCs w:val="36"/>
          <w:highlight w:val="none"/>
          <w:lang w:eastAsia="zh-CN"/>
        </w:rPr>
      </w:pPr>
      <w:r>
        <w:rPr>
          <w:rFonts w:hint="eastAsia"/>
          <w:b/>
          <w:color w:val="auto"/>
          <w:sz w:val="36"/>
          <w:szCs w:val="36"/>
          <w:highlight w:val="none"/>
          <w:lang w:eastAsia="zh-CN"/>
        </w:rPr>
        <w:t>（示范文本）</w:t>
      </w:r>
    </w:p>
    <w:p w14:paraId="3C36BBC6">
      <w:pPr>
        <w:shd w:val="clear"/>
        <w:spacing w:before="120" w:beforeLines="50" w:line="408" w:lineRule="auto"/>
        <w:jc w:val="center"/>
        <w:rPr>
          <w:rFonts w:hint="eastAsia"/>
          <w:b/>
          <w:bCs/>
          <w:color w:val="auto"/>
          <w:sz w:val="32"/>
          <w:szCs w:val="32"/>
          <w:highlight w:val="none"/>
          <w:lang w:eastAsia="zh-CN"/>
        </w:rPr>
        <w:sectPr>
          <w:pgSz w:w="11906" w:h="16838"/>
          <w:pgMar w:top="1440" w:right="1800" w:bottom="1440" w:left="1800" w:header="851" w:footer="992" w:gutter="0"/>
          <w:cols w:space="425" w:num="1"/>
          <w:docGrid w:type="lines" w:linePitch="312" w:charSpace="0"/>
        </w:sectPr>
      </w:pPr>
    </w:p>
    <w:p w14:paraId="64F74A70">
      <w:pPr>
        <w:shd w:val="clear"/>
        <w:spacing w:before="120" w:beforeLines="50" w:line="408" w:lineRule="auto"/>
        <w:jc w:val="center"/>
        <w:rPr>
          <w:b/>
          <w:bCs/>
          <w:color w:val="auto"/>
          <w:sz w:val="32"/>
          <w:szCs w:val="32"/>
          <w:highlight w:val="none"/>
          <w:lang w:eastAsia="zh-CN"/>
        </w:rPr>
      </w:pPr>
      <w:r>
        <w:rPr>
          <w:rFonts w:hint="eastAsia"/>
          <w:b/>
          <w:bCs/>
          <w:color w:val="auto"/>
          <w:sz w:val="32"/>
          <w:szCs w:val="32"/>
          <w:highlight w:val="none"/>
          <w:lang w:eastAsia="zh-CN"/>
        </w:rPr>
        <w:t>第一部分  协议书</w:t>
      </w:r>
    </w:p>
    <w:p w14:paraId="69D290CF">
      <w:pPr>
        <w:shd w:val="clear"/>
        <w:adjustRightInd w:val="0"/>
        <w:snapToGrid w:val="0"/>
        <w:spacing w:line="500" w:lineRule="exact"/>
        <w:ind w:firstLine="420" w:firstLineChars="200"/>
        <w:rPr>
          <w:b/>
          <w:color w:val="auto"/>
          <w:sz w:val="21"/>
          <w:szCs w:val="21"/>
          <w:highlight w:val="none"/>
          <w:lang w:eastAsia="zh-CN"/>
        </w:rPr>
      </w:pPr>
      <w:r>
        <w:rPr>
          <w:rFonts w:hint="eastAsia"/>
          <w:b/>
          <w:color w:val="auto"/>
          <w:sz w:val="21"/>
          <w:szCs w:val="21"/>
          <w:highlight w:val="none"/>
          <w:lang w:eastAsia="zh-CN"/>
        </w:rPr>
        <w:t>甲方（全称）：</w:t>
      </w:r>
      <w:r>
        <w:rPr>
          <w:rFonts w:hint="eastAsia"/>
          <w:b/>
          <w:color w:val="auto"/>
          <w:sz w:val="21"/>
          <w:szCs w:val="21"/>
          <w:highlight w:val="none"/>
          <w:u w:val="single"/>
          <w:lang w:eastAsia="zh-CN"/>
        </w:rPr>
        <w:t xml:space="preserve">                                      </w:t>
      </w:r>
    </w:p>
    <w:p w14:paraId="5088C52B">
      <w:pPr>
        <w:shd w:val="clear"/>
        <w:adjustRightInd w:val="0"/>
        <w:snapToGrid w:val="0"/>
        <w:spacing w:line="500" w:lineRule="exact"/>
        <w:ind w:firstLine="420" w:firstLineChars="200"/>
        <w:rPr>
          <w:color w:val="auto"/>
          <w:sz w:val="21"/>
          <w:szCs w:val="21"/>
          <w:highlight w:val="none"/>
          <w:lang w:eastAsia="zh-CN"/>
        </w:rPr>
      </w:pPr>
      <w:r>
        <w:rPr>
          <w:rFonts w:hint="eastAsia"/>
          <w:b/>
          <w:color w:val="auto"/>
          <w:sz w:val="21"/>
          <w:szCs w:val="21"/>
          <w:highlight w:val="none"/>
          <w:lang w:eastAsia="zh-CN"/>
        </w:rPr>
        <w:t>乙方（全称）：</w:t>
      </w:r>
      <w:r>
        <w:rPr>
          <w:rFonts w:hint="eastAsia"/>
          <w:b/>
          <w:color w:val="auto"/>
          <w:sz w:val="21"/>
          <w:szCs w:val="21"/>
          <w:highlight w:val="none"/>
          <w:u w:val="single"/>
          <w:lang w:eastAsia="zh-CN"/>
        </w:rPr>
        <w:t xml:space="preserve">                                   </w:t>
      </w:r>
      <w:r>
        <w:rPr>
          <w:rFonts w:hint="eastAsia"/>
          <w:color w:val="auto"/>
          <w:sz w:val="21"/>
          <w:szCs w:val="21"/>
          <w:highlight w:val="none"/>
          <w:u w:val="single"/>
          <w:lang w:eastAsia="zh-CN"/>
        </w:rPr>
        <w:t xml:space="preserve">   </w:t>
      </w:r>
    </w:p>
    <w:p w14:paraId="283B67CB">
      <w:pPr>
        <w:shd w:val="clear"/>
        <w:spacing w:line="500" w:lineRule="exact"/>
        <w:ind w:firstLine="420" w:firstLineChars="200"/>
        <w:rPr>
          <w:color w:val="auto"/>
          <w:sz w:val="21"/>
          <w:szCs w:val="21"/>
          <w:highlight w:val="none"/>
          <w:lang w:eastAsia="zh-CN"/>
        </w:rPr>
      </w:pPr>
      <w:r>
        <w:rPr>
          <w:rFonts w:hint="eastAsia"/>
          <w:color w:val="auto"/>
          <w:sz w:val="21"/>
          <w:szCs w:val="21"/>
          <w:highlight w:val="none"/>
          <w:lang w:eastAsia="zh-CN"/>
        </w:rPr>
        <w:t>甲方就采购所需，按照政府采购程序组织竞争性磋商，确定乙方为成交供应商。依据《中华人民共和国政府采购法》、《中华人民共和国民法典》等相关法律以及竞争性磋商文件、成交供应商竞争性磋商响应文件和澄清表（函）、成交通知书，经甲、乙双方协商，达成如下条款。</w:t>
      </w:r>
    </w:p>
    <w:p w14:paraId="1A13A584">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一、服务内容： </w:t>
      </w:r>
    </w:p>
    <w:p w14:paraId="60A45860">
      <w:pPr>
        <w:shd w:val="clear"/>
        <w:spacing w:line="500" w:lineRule="exact"/>
        <w:ind w:firstLine="420" w:firstLineChars="200"/>
        <w:rPr>
          <w:color w:val="auto"/>
          <w:sz w:val="21"/>
          <w:szCs w:val="21"/>
          <w:highlight w:val="none"/>
          <w:lang w:eastAsia="zh-CN"/>
        </w:rPr>
      </w:pPr>
      <w:r>
        <w:rPr>
          <w:rFonts w:hint="eastAsia"/>
          <w:color w:val="auto"/>
          <w:sz w:val="21"/>
          <w:szCs w:val="21"/>
          <w:highlight w:val="none"/>
          <w:lang w:eastAsia="zh-CN"/>
        </w:rPr>
        <w:t>1、项目名称：</w:t>
      </w:r>
      <w:r>
        <w:rPr>
          <w:rFonts w:hint="eastAsia"/>
          <w:color w:val="auto"/>
          <w:sz w:val="21"/>
          <w:szCs w:val="21"/>
          <w:highlight w:val="none"/>
          <w:u w:val="single"/>
          <w:lang w:eastAsia="zh-CN"/>
        </w:rPr>
        <w:t>2026年实验楼废气、废水处理及实验室通排风系统运行维护项目</w:t>
      </w:r>
    </w:p>
    <w:p w14:paraId="38C2F2C2">
      <w:pPr>
        <w:shd w:val="clear"/>
        <w:spacing w:line="500" w:lineRule="exact"/>
        <w:ind w:firstLine="420" w:firstLineChars="200"/>
        <w:rPr>
          <w:rFonts w:hint="default"/>
          <w:color w:val="auto"/>
          <w:sz w:val="21"/>
          <w:szCs w:val="21"/>
          <w:highlight w:val="none"/>
          <w:lang w:val="en-US" w:eastAsia="zh-CN"/>
        </w:rPr>
      </w:pPr>
      <w:r>
        <w:rPr>
          <w:rFonts w:hint="eastAsia"/>
          <w:color w:val="auto"/>
          <w:sz w:val="21"/>
          <w:szCs w:val="21"/>
          <w:highlight w:val="none"/>
          <w:lang w:eastAsia="zh-CN"/>
        </w:rPr>
        <w:t>2、项目概况：</w:t>
      </w:r>
      <w:bookmarkStart w:id="0" w:name="_GoBack"/>
      <w:bookmarkEnd w:id="0"/>
      <w:r>
        <w:rPr>
          <w:rFonts w:hint="eastAsia"/>
          <w:color w:val="auto"/>
          <w:sz w:val="21"/>
          <w:szCs w:val="21"/>
          <w:highlight w:val="none"/>
          <w:u w:val="single"/>
          <w:lang w:val="en-US" w:eastAsia="zh-CN"/>
        </w:rPr>
        <w:t xml:space="preserve">内容包含：回用水处理站、废气处理系统（有机废气及酸雾）、实验室通排风系统、新风空调系统、纯水系统、集中供气系统、UPS不间断电源系统和信息机房维护。 </w:t>
      </w:r>
    </w:p>
    <w:p w14:paraId="2A318113">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二、服务地点及服务期 </w:t>
      </w:r>
    </w:p>
    <w:p w14:paraId="311851AD">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1、服务地点：西安市环境监测站指定地点。 </w:t>
      </w:r>
    </w:p>
    <w:p w14:paraId="7FA148A6">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2、服务期：自合同签订之日起1年</w:t>
      </w:r>
    </w:p>
    <w:p w14:paraId="4CEDFDCA">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三、合同价款 </w:t>
      </w:r>
    </w:p>
    <w:p w14:paraId="00FA02BC">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1、本合同总价为完成本项目所要求运维服务内容且验收合格的所有费用，</w:t>
      </w:r>
      <w:r>
        <w:rPr>
          <w:rFonts w:hint="eastAsia" w:cs="宋体"/>
          <w:color w:val="auto"/>
          <w:kern w:val="0"/>
          <w:sz w:val="21"/>
          <w:szCs w:val="21"/>
          <w:highlight w:val="none"/>
          <w:lang w:val="en-US" w:eastAsia="zh-CN" w:bidi="ar"/>
        </w:rPr>
        <w:t>总价包括但不限于人工费、运维费、管理费、社保费、招标代理服务费、税金等其他一切相关费用</w:t>
      </w:r>
      <w:r>
        <w:rPr>
          <w:rFonts w:hint="eastAsia" w:ascii="宋体" w:hAnsi="宋体" w:eastAsia="宋体" w:cs="宋体"/>
          <w:color w:val="auto"/>
          <w:kern w:val="0"/>
          <w:sz w:val="21"/>
          <w:szCs w:val="21"/>
          <w:highlight w:val="none"/>
          <w:lang w:val="en-US" w:eastAsia="zh-CN" w:bidi="ar"/>
        </w:rPr>
        <w:t>。</w:t>
      </w:r>
    </w:p>
    <w:p w14:paraId="654FBB5B">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w:t>
      </w:r>
      <w:r>
        <w:rPr>
          <w:rFonts w:hint="eastAsia"/>
          <w:color w:val="auto"/>
          <w:sz w:val="21"/>
          <w:szCs w:val="21"/>
          <w:highlight w:val="none"/>
          <w:lang w:eastAsia="zh-CN"/>
        </w:rPr>
        <w:t>合同总价款为人民币</w:t>
      </w:r>
      <w:r>
        <w:rPr>
          <w:rFonts w:hint="eastAsia"/>
          <w:color w:val="auto"/>
          <w:sz w:val="21"/>
          <w:szCs w:val="21"/>
          <w:highlight w:val="none"/>
          <w:u w:val="none"/>
          <w:lang w:eastAsia="zh-CN"/>
        </w:rPr>
        <w:t>大写</w:t>
      </w:r>
      <w:r>
        <w:rPr>
          <w:rFonts w:hint="eastAsia"/>
          <w:color w:val="auto"/>
          <w:sz w:val="21"/>
          <w:szCs w:val="21"/>
          <w:highlight w:val="none"/>
          <w:u w:val="single"/>
          <w:lang w:eastAsia="zh-CN"/>
        </w:rPr>
        <w:t xml:space="preserve">          </w:t>
      </w:r>
      <w:r>
        <w:rPr>
          <w:rFonts w:hint="eastAsia"/>
          <w:color w:val="auto"/>
          <w:sz w:val="21"/>
          <w:szCs w:val="21"/>
          <w:highlight w:val="none"/>
          <w:u w:val="none"/>
          <w:lang w:eastAsia="zh-CN"/>
        </w:rPr>
        <w:t>小写（¥</w:t>
      </w:r>
      <w:r>
        <w:rPr>
          <w:rFonts w:hint="eastAsia"/>
          <w:color w:val="auto"/>
          <w:sz w:val="21"/>
          <w:szCs w:val="21"/>
          <w:highlight w:val="none"/>
          <w:u w:val="single"/>
          <w:lang w:eastAsia="zh-CN"/>
        </w:rPr>
        <w:t xml:space="preserve">       </w:t>
      </w:r>
      <w:r>
        <w:rPr>
          <w:rFonts w:hint="eastAsia"/>
          <w:color w:val="auto"/>
          <w:sz w:val="21"/>
          <w:szCs w:val="21"/>
          <w:highlight w:val="none"/>
          <w:u w:val="none"/>
          <w:lang w:eastAsia="zh-CN"/>
        </w:rPr>
        <w:t>）。</w:t>
      </w:r>
    </w:p>
    <w:p w14:paraId="7B771619">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四、款项结算 </w:t>
      </w:r>
    </w:p>
    <w:p w14:paraId="197873C9">
      <w:pPr>
        <w:keepNext w:val="0"/>
        <w:keepLines w:val="0"/>
        <w:pageBreakBefore w:val="0"/>
        <w:widowControl w:val="0"/>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1、付款比例： </w:t>
      </w:r>
    </w:p>
    <w:p w14:paraId="13B69E7C">
      <w:pPr>
        <w:keepNext w:val="0"/>
        <w:keepLines w:val="0"/>
        <w:pageBreakBefore w:val="0"/>
        <w:widowControl w:val="0"/>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①合同签订后，10个工作日内，供应商开具相应正式发票，甲方向乙方支付合同总价款的50%；</w:t>
      </w:r>
    </w:p>
    <w:p w14:paraId="01643DE8">
      <w:pPr>
        <w:keepNext w:val="0"/>
        <w:keepLines w:val="0"/>
        <w:pageBreakBefore w:val="0"/>
        <w:widowControl w:val="0"/>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②服务期满后，按照合同要求进行验收，验收通过后，供应商开具相应正式发票，采购人向供应商支付合同总价款的50%。</w:t>
      </w:r>
    </w:p>
    <w:p w14:paraId="7AA2436D">
      <w:pPr>
        <w:keepNext w:val="0"/>
        <w:keepLines w:val="0"/>
        <w:pageBreakBefore w:val="0"/>
        <w:widowControl w:val="0"/>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2、支付方式：银行转账。 </w:t>
      </w:r>
    </w:p>
    <w:p w14:paraId="7851E66A">
      <w:pPr>
        <w:keepNext w:val="0"/>
        <w:keepLines w:val="0"/>
        <w:pageBreakBefore w:val="0"/>
        <w:widowControl w:val="0"/>
        <w:suppressLineNumbers w:val="0"/>
        <w:shd w:val="clear"/>
        <w:kinsoku/>
        <w:wordWrap/>
        <w:overflowPunct/>
        <w:topLinePunct w:val="0"/>
        <w:autoSpaceDE/>
        <w:autoSpaceDN/>
        <w:bidi w:val="0"/>
        <w:adjustRightInd/>
        <w:snapToGrid/>
        <w:spacing w:line="360" w:lineRule="auto"/>
        <w:ind w:firstLine="420" w:firstLineChars="200"/>
        <w:jc w:val="left"/>
        <w:textAlignment w:val="auto"/>
        <w:rPr>
          <w:color w:val="auto"/>
          <w:sz w:val="21"/>
          <w:szCs w:val="21"/>
          <w:highlight w:val="none"/>
          <w:lang w:eastAsia="zh-CN"/>
        </w:rPr>
      </w:pPr>
      <w:r>
        <w:rPr>
          <w:rFonts w:hint="eastAsia" w:ascii="宋体" w:hAnsi="宋体" w:eastAsia="宋体" w:cs="宋体"/>
          <w:color w:val="auto"/>
          <w:kern w:val="0"/>
          <w:sz w:val="21"/>
          <w:szCs w:val="21"/>
          <w:highlight w:val="none"/>
          <w:lang w:val="en-US" w:eastAsia="zh-CN" w:bidi="ar"/>
        </w:rPr>
        <w:t>3、结算方式：</w:t>
      </w:r>
      <w:r>
        <w:rPr>
          <w:rFonts w:hint="eastAsia"/>
          <w:color w:val="auto"/>
          <w:sz w:val="21"/>
          <w:szCs w:val="21"/>
          <w:highlight w:val="none"/>
          <w:lang w:eastAsia="zh-CN"/>
        </w:rPr>
        <w:t>在甲方进行每笔付款前，乙方需向甲方开具等额的增值税普通发票，因乙方未及时提供发票引起的支付延误由乙方自行承担责任，</w:t>
      </w:r>
      <w:r>
        <w:rPr>
          <w:rFonts w:hint="eastAsia"/>
          <w:color w:val="auto"/>
          <w:sz w:val="21"/>
          <w:szCs w:val="21"/>
          <w:highlight w:val="none"/>
          <w:lang w:val="en-US" w:eastAsia="zh-CN"/>
        </w:rPr>
        <w:t>甲方不构成违约</w:t>
      </w:r>
      <w:r>
        <w:rPr>
          <w:rFonts w:hint="eastAsia"/>
          <w:color w:val="auto"/>
          <w:sz w:val="21"/>
          <w:szCs w:val="21"/>
          <w:highlight w:val="none"/>
          <w:lang w:eastAsia="zh-CN"/>
        </w:rPr>
        <w:t>。</w:t>
      </w:r>
    </w:p>
    <w:p w14:paraId="2B3BE3CF">
      <w:pPr>
        <w:keepNext w:val="0"/>
        <w:keepLines w:val="0"/>
        <w:pageBreakBefore w:val="0"/>
        <w:widowControl/>
        <w:shd w:val="clear"/>
        <w:kinsoku/>
        <w:wordWrap/>
        <w:overflowPunct/>
        <w:topLinePunct w:val="0"/>
        <w:bidi w:val="0"/>
        <w:adjustRightInd/>
        <w:snapToGrid/>
        <w:spacing w:line="500" w:lineRule="exact"/>
        <w:ind w:firstLine="420" w:firstLineChars="200"/>
        <w:textAlignment w:val="auto"/>
        <w:rPr>
          <w:color w:val="auto"/>
          <w:sz w:val="21"/>
          <w:szCs w:val="21"/>
          <w:highlight w:val="none"/>
          <w:lang w:eastAsia="zh-CN"/>
        </w:rPr>
      </w:pPr>
      <w:r>
        <w:rPr>
          <w:rFonts w:hint="eastAsia"/>
          <w:color w:val="auto"/>
          <w:sz w:val="21"/>
          <w:szCs w:val="21"/>
          <w:highlight w:val="none"/>
          <w:lang w:val="en-US" w:eastAsia="zh-CN"/>
        </w:rPr>
        <w:t>4</w:t>
      </w:r>
      <w:r>
        <w:rPr>
          <w:rFonts w:hint="eastAsia"/>
          <w:color w:val="auto"/>
          <w:sz w:val="21"/>
          <w:szCs w:val="21"/>
          <w:highlight w:val="none"/>
          <w:lang w:eastAsia="zh-CN"/>
        </w:rPr>
        <w:t>、甲方通过银行转账的方式向乙方支付协议款项，乙方提供银行账号。</w:t>
      </w:r>
    </w:p>
    <w:p w14:paraId="5F163803">
      <w:pPr>
        <w:shd w:val="clear"/>
        <w:spacing w:line="500" w:lineRule="exact"/>
        <w:ind w:firstLine="420" w:firstLineChars="200"/>
        <w:rPr>
          <w:color w:val="auto"/>
          <w:sz w:val="21"/>
          <w:szCs w:val="21"/>
          <w:highlight w:val="none"/>
          <w:lang w:eastAsia="zh-CN"/>
        </w:rPr>
      </w:pPr>
      <w:r>
        <w:rPr>
          <w:rFonts w:hint="eastAsia"/>
          <w:color w:val="auto"/>
          <w:sz w:val="21"/>
          <w:szCs w:val="21"/>
          <w:highlight w:val="none"/>
          <w:lang w:val="en-US" w:eastAsia="zh-CN"/>
        </w:rPr>
        <w:t>5</w:t>
      </w:r>
      <w:r>
        <w:rPr>
          <w:rFonts w:hint="eastAsia"/>
          <w:color w:val="auto"/>
          <w:sz w:val="21"/>
          <w:szCs w:val="21"/>
          <w:highlight w:val="none"/>
          <w:lang w:eastAsia="zh-CN"/>
        </w:rPr>
        <w:t>、乙方指定账户为：</w:t>
      </w:r>
    </w:p>
    <w:p w14:paraId="27A9EFB2">
      <w:pPr>
        <w:shd w:val="clear"/>
        <w:spacing w:line="500" w:lineRule="exact"/>
        <w:ind w:firstLine="420" w:firstLineChars="200"/>
        <w:rPr>
          <w:color w:val="auto"/>
          <w:sz w:val="21"/>
          <w:szCs w:val="21"/>
          <w:highlight w:val="none"/>
          <w:lang w:eastAsia="zh-CN"/>
        </w:rPr>
      </w:pPr>
      <w:r>
        <w:rPr>
          <w:rFonts w:hint="eastAsia"/>
          <w:color w:val="auto"/>
          <w:sz w:val="21"/>
          <w:szCs w:val="21"/>
          <w:highlight w:val="none"/>
          <w:lang w:eastAsia="zh-CN"/>
        </w:rPr>
        <w:t>账户名称：</w:t>
      </w:r>
      <w:r>
        <w:rPr>
          <w:rFonts w:hint="eastAsia"/>
          <w:color w:val="auto"/>
          <w:sz w:val="21"/>
          <w:szCs w:val="21"/>
          <w:highlight w:val="none"/>
          <w:u w:val="single"/>
          <w:lang w:eastAsia="zh-CN"/>
        </w:rPr>
        <w:t xml:space="preserve">                </w:t>
      </w:r>
    </w:p>
    <w:p w14:paraId="7BD51063">
      <w:pPr>
        <w:shd w:val="clear"/>
        <w:spacing w:line="500" w:lineRule="exact"/>
        <w:ind w:firstLine="420" w:firstLineChars="200"/>
        <w:rPr>
          <w:color w:val="auto"/>
          <w:sz w:val="21"/>
          <w:szCs w:val="21"/>
          <w:highlight w:val="none"/>
          <w:lang w:eastAsia="zh-CN"/>
        </w:rPr>
      </w:pPr>
      <w:r>
        <w:rPr>
          <w:rFonts w:hint="eastAsia"/>
          <w:color w:val="auto"/>
          <w:sz w:val="21"/>
          <w:szCs w:val="21"/>
          <w:highlight w:val="none"/>
          <w:lang w:eastAsia="zh-CN"/>
        </w:rPr>
        <w:t>开户行：</w:t>
      </w:r>
      <w:r>
        <w:rPr>
          <w:rFonts w:hint="eastAsia"/>
          <w:color w:val="auto"/>
          <w:sz w:val="21"/>
          <w:szCs w:val="21"/>
          <w:highlight w:val="none"/>
          <w:u w:val="single"/>
          <w:lang w:eastAsia="zh-CN"/>
        </w:rPr>
        <w:t xml:space="preserve">                  </w:t>
      </w:r>
    </w:p>
    <w:p w14:paraId="2E4A5E13">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color w:val="auto"/>
          <w:sz w:val="21"/>
          <w:szCs w:val="21"/>
          <w:highlight w:val="none"/>
          <w:lang w:eastAsia="zh-CN"/>
        </w:rPr>
        <w:t>账</w:t>
      </w:r>
      <w:r>
        <w:rPr>
          <w:rFonts w:hint="eastAsia"/>
          <w:color w:val="auto"/>
          <w:sz w:val="21"/>
          <w:szCs w:val="21"/>
          <w:highlight w:val="none"/>
          <w:lang w:val="en-US" w:eastAsia="zh-CN"/>
        </w:rPr>
        <w:t>号</w:t>
      </w:r>
      <w:r>
        <w:rPr>
          <w:rFonts w:hint="eastAsia"/>
          <w:color w:val="auto"/>
          <w:sz w:val="21"/>
          <w:szCs w:val="21"/>
          <w:highlight w:val="none"/>
          <w:lang w:eastAsia="zh-CN"/>
        </w:rPr>
        <w:t>：</w:t>
      </w:r>
      <w:r>
        <w:rPr>
          <w:rFonts w:hint="eastAsia"/>
          <w:color w:val="auto"/>
          <w:sz w:val="21"/>
          <w:szCs w:val="21"/>
          <w:highlight w:val="none"/>
          <w:u w:val="single"/>
          <w:lang w:eastAsia="zh-CN"/>
        </w:rPr>
        <w:t xml:space="preserve">                </w:t>
      </w:r>
    </w:p>
    <w:p w14:paraId="34DC5333">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五、双方的权利和义务 </w:t>
      </w:r>
    </w:p>
    <w:p w14:paraId="19B3C6F9">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（一）甲方的权利与义务 </w:t>
      </w:r>
    </w:p>
    <w:p w14:paraId="003D49B7">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1、甲方负责配合本次项目服务工作； </w:t>
      </w:r>
    </w:p>
    <w:p w14:paraId="2DC99543">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2、甲方应按本合同的约定向乙方支付合同价款； </w:t>
      </w:r>
    </w:p>
    <w:p w14:paraId="26B3D5D5">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3、甲方根据需要对乙方提供的服务方案进行审核，提供建议及意见，确定最终实施的服务方案，以便乙方遵照执行；</w:t>
      </w:r>
    </w:p>
    <w:p w14:paraId="51163978">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4、甲方有权对乙方的工作进行监督和考核。 </w:t>
      </w:r>
    </w:p>
    <w:p w14:paraId="1645FDA8">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（二）乙方的权利与义务 </w:t>
      </w:r>
    </w:p>
    <w:p w14:paraId="72D58293">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1、乙方的工作人员必须严格遵守甲方的规章制度，以良好的形象和积极的工作态度，按甲方要求开展工作； </w:t>
      </w:r>
    </w:p>
    <w:p w14:paraId="70C665C9">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2、乙方应服从甲方统筹管理并按流程开展工作； </w:t>
      </w:r>
    </w:p>
    <w:p w14:paraId="7E286770">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3、乙方提交的方案等应得到甲方确认再予以实施； </w:t>
      </w:r>
    </w:p>
    <w:p w14:paraId="62529B4F">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4、乙方在服务期间发布的任何涉及有关甲方的相关信息，需经甲方确认无误后方可发布</w:t>
      </w:r>
      <w:r>
        <w:rPr>
          <w:rFonts w:hint="eastAsia" w:cs="宋体"/>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 xml:space="preserve"> </w:t>
      </w:r>
    </w:p>
    <w:p w14:paraId="75F2B386">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六、服务质量保证 </w:t>
      </w:r>
    </w:p>
    <w:p w14:paraId="780F92E6">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1、乙方需建立高效的管理团队，项目团队组成合理。 </w:t>
      </w:r>
    </w:p>
    <w:p w14:paraId="1A719655">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2、乙方需派一名项目经理，直接与甲方沟通，项目经理接收甲方提出的问题与要求，并及时反馈给工作组，解决在项目实施过程中遇到的问题。 </w:t>
      </w:r>
    </w:p>
    <w:p w14:paraId="4BD44EE7">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3、项目在实施过程中会出现不可预料的需求变更，乙方需积极配合甲方的需求变更，并按照变更后的需求继续实施。 </w:t>
      </w:r>
    </w:p>
    <w:p w14:paraId="49D3942F">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4、乙方需设有详细的技术资料档案和服务档案以便于更好地提供服务，项目结束后乙方须向甲方提交所有实施方案流程及说明文档。 </w:t>
      </w:r>
    </w:p>
    <w:p w14:paraId="06BE2071">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七、保密规定 </w:t>
      </w:r>
    </w:p>
    <w:p w14:paraId="5993DD1E">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甲、乙双方应永久恪守因签署或履行本合同而获知的对方秘密信息及其它秘密资料。任何一方如将获知的对方秘密信息泄露给第三方，应赔偿因泄密而给对方造成的一切损失并承担相应的法律责任（包括刑事责任）。 </w:t>
      </w:r>
    </w:p>
    <w:p w14:paraId="53201A3C">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八、其他事项 </w:t>
      </w:r>
    </w:p>
    <w:p w14:paraId="62EAC16F">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1、乙方不得转让、分包给其它单位或个人。 </w:t>
      </w:r>
    </w:p>
    <w:p w14:paraId="2D431856">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2、乙方的响应文件和承诺等内容将列入合同。 </w:t>
      </w:r>
    </w:p>
    <w:p w14:paraId="3DD4421C">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九、验收 </w:t>
      </w:r>
    </w:p>
    <w:p w14:paraId="6C64861E">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（一）本项目验收费用，由乙方自行承担。 </w:t>
      </w:r>
    </w:p>
    <w:p w14:paraId="29A5FD19">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二）服务期满后，由乙方向甲方递交验收通知书，经甲方确认后，组织乙方进行系统验收（必要时采购人可委托具有相关资质的第三方检测机构/技术专家对本次服务进行系统验收，需要国家法定检验部门进行检验或验收的由乙方负责联系）。验收合格后，填写政府采购项目验收单作为对本次服务的最终认可。 </w:t>
      </w:r>
    </w:p>
    <w:p w14:paraId="5C270CF1">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（三）验收依据： </w:t>
      </w:r>
    </w:p>
    <w:p w14:paraId="6326AE40">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（1）本合同及附加文本； </w:t>
      </w:r>
    </w:p>
    <w:p w14:paraId="1087024D">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（2）磋商文件、成交供应商的响应文件及澄清（承诺）函； </w:t>
      </w:r>
    </w:p>
    <w:p w14:paraId="32A90D03">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（3）国家相应的标准、规范。 </w:t>
      </w:r>
    </w:p>
    <w:p w14:paraId="492C5D3E">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十、违约责任 </w:t>
      </w:r>
    </w:p>
    <w:p w14:paraId="7EAE8D00">
      <w:pPr>
        <w:shd w:val="clear"/>
        <w:spacing w:line="500" w:lineRule="exact"/>
        <w:ind w:firstLine="420" w:firstLineChars="200"/>
        <w:rPr>
          <w:color w:val="auto"/>
          <w:sz w:val="21"/>
          <w:szCs w:val="21"/>
          <w:highlight w:val="none"/>
          <w:lang w:eastAsia="zh-CN"/>
        </w:rPr>
      </w:pPr>
      <w:r>
        <w:rPr>
          <w:rFonts w:hint="eastAsia"/>
          <w:color w:val="auto"/>
          <w:sz w:val="21"/>
          <w:szCs w:val="21"/>
          <w:highlight w:val="none"/>
          <w:lang w:eastAsia="zh-CN"/>
        </w:rPr>
        <w:t>1、任何一方未履行本合同项下的条款均被视为违约。除因不可抗力（即因地震、火灾等自然灾害、战争、罢工、停电、政府和军队行为等）造成合同无法履行外，任何一方不得单方面中止合同。</w:t>
      </w:r>
    </w:p>
    <w:p w14:paraId="38C663B3">
      <w:pPr>
        <w:shd w:val="clear"/>
        <w:spacing w:line="500" w:lineRule="exact"/>
        <w:ind w:firstLine="420" w:firstLineChars="200"/>
        <w:rPr>
          <w:color w:val="auto"/>
          <w:sz w:val="21"/>
          <w:szCs w:val="21"/>
          <w:highlight w:val="none"/>
          <w:lang w:eastAsia="zh-CN"/>
        </w:rPr>
      </w:pPr>
      <w:r>
        <w:rPr>
          <w:rFonts w:hint="eastAsia"/>
          <w:color w:val="auto"/>
          <w:sz w:val="21"/>
          <w:szCs w:val="21"/>
          <w:highlight w:val="none"/>
          <w:lang w:eastAsia="zh-CN"/>
        </w:rPr>
        <w:t>2、任何一方违反合同所规定条款，均构成违约，违约方必须承担由此给对方造成的经济损失。</w:t>
      </w:r>
    </w:p>
    <w:p w14:paraId="65FB13AF">
      <w:pPr>
        <w:shd w:val="clear"/>
        <w:spacing w:line="500" w:lineRule="exact"/>
        <w:ind w:firstLine="420" w:firstLineChars="200"/>
        <w:rPr>
          <w:color w:val="auto"/>
          <w:sz w:val="21"/>
          <w:szCs w:val="21"/>
          <w:highlight w:val="none"/>
          <w:lang w:eastAsia="zh-CN"/>
        </w:rPr>
      </w:pPr>
      <w:r>
        <w:rPr>
          <w:rFonts w:hint="eastAsia"/>
          <w:color w:val="auto"/>
          <w:sz w:val="21"/>
          <w:szCs w:val="21"/>
          <w:highlight w:val="none"/>
          <w:lang w:eastAsia="zh-CN"/>
        </w:rPr>
        <w:t>3、乙方在履行本合同中给甲方、自身及第三者造成的任何损害，乙方应承担全部赔偿责任。</w:t>
      </w:r>
    </w:p>
    <w:p w14:paraId="106FDE71">
      <w:pPr>
        <w:shd w:val="clear"/>
        <w:spacing w:line="500" w:lineRule="exact"/>
        <w:ind w:firstLine="420" w:firstLineChars="200"/>
        <w:rPr>
          <w:color w:val="auto"/>
          <w:sz w:val="21"/>
          <w:szCs w:val="21"/>
          <w:highlight w:val="none"/>
          <w:lang w:eastAsia="zh-CN"/>
        </w:rPr>
      </w:pPr>
      <w:r>
        <w:rPr>
          <w:rFonts w:hint="eastAsia"/>
          <w:color w:val="auto"/>
          <w:sz w:val="21"/>
          <w:szCs w:val="21"/>
          <w:highlight w:val="none"/>
          <w:lang w:eastAsia="zh-CN"/>
        </w:rPr>
        <w:t>4、因乙方管护不到位被甲方检测发现，每发现1个点位不合格或维护延期，每次按0.5万元向甲方支付违约金，被上级通报的，每次按1万元向甲方支付违约金，出现三次以上的约谈乙方公司主要负责人并更换项目经理，如出现五次以上，甲方有权解除本合同，乙方按本合同约定费用总额的30%向甲方支付违约金，若该违约金不足赔偿造成的损失，乙方应补足损失。</w:t>
      </w:r>
    </w:p>
    <w:p w14:paraId="17BE35A2">
      <w:pPr>
        <w:shd w:val="clear"/>
        <w:spacing w:line="500" w:lineRule="exact"/>
        <w:ind w:firstLine="420" w:firstLineChars="200"/>
        <w:rPr>
          <w:color w:val="auto"/>
          <w:sz w:val="21"/>
          <w:szCs w:val="21"/>
          <w:highlight w:val="none"/>
          <w:lang w:eastAsia="zh-CN"/>
        </w:rPr>
      </w:pPr>
      <w:r>
        <w:rPr>
          <w:rFonts w:hint="eastAsia"/>
          <w:color w:val="auto"/>
          <w:sz w:val="21"/>
          <w:szCs w:val="21"/>
          <w:highlight w:val="none"/>
          <w:lang w:eastAsia="zh-CN"/>
        </w:rPr>
        <w:t>5、依据《中华人民共和国民法典》、《中华人民共和国政府采购法》的相关条款和本合同约定，乙方未全面履行合同义务或者发生违约，甲方有权终止</w:t>
      </w:r>
      <w:r>
        <w:rPr>
          <w:rFonts w:hint="eastAsia"/>
          <w:color w:val="auto"/>
          <w:sz w:val="21"/>
          <w:szCs w:val="21"/>
          <w:highlight w:val="none"/>
          <w:lang w:val="en-US" w:eastAsia="zh-CN"/>
        </w:rPr>
        <w:t>或解除</w:t>
      </w:r>
      <w:r>
        <w:rPr>
          <w:rFonts w:hint="eastAsia"/>
          <w:color w:val="auto"/>
          <w:sz w:val="21"/>
          <w:szCs w:val="21"/>
          <w:highlight w:val="none"/>
          <w:lang w:eastAsia="zh-CN"/>
        </w:rPr>
        <w:t>合同，依法向乙方要求经济索赔，并报请政府采购监督管理机关进行相应的行政处罚。甲方违约的，应当赔偿给乙方造成的经济损失。</w:t>
      </w:r>
    </w:p>
    <w:p w14:paraId="2197AF67">
      <w:pPr>
        <w:shd w:val="clear"/>
        <w:spacing w:line="500" w:lineRule="exact"/>
        <w:ind w:firstLine="420" w:firstLineChars="200"/>
        <w:rPr>
          <w:b/>
          <w:color w:val="auto"/>
          <w:sz w:val="21"/>
          <w:szCs w:val="21"/>
          <w:highlight w:val="none"/>
          <w:lang w:eastAsia="zh-CN"/>
        </w:rPr>
      </w:pPr>
      <w:r>
        <w:rPr>
          <w:rFonts w:hint="eastAsia"/>
          <w:b/>
          <w:color w:val="auto"/>
          <w:sz w:val="21"/>
          <w:szCs w:val="21"/>
          <w:highlight w:val="none"/>
          <w:lang w:eastAsia="zh-CN"/>
        </w:rPr>
        <w:t>十</w:t>
      </w:r>
      <w:r>
        <w:rPr>
          <w:rFonts w:hint="eastAsia"/>
          <w:b/>
          <w:color w:val="auto"/>
          <w:sz w:val="21"/>
          <w:szCs w:val="21"/>
          <w:highlight w:val="none"/>
          <w:lang w:val="en-US" w:eastAsia="zh-CN"/>
        </w:rPr>
        <w:t>一</w:t>
      </w:r>
      <w:r>
        <w:rPr>
          <w:rFonts w:hint="eastAsia"/>
          <w:b/>
          <w:color w:val="auto"/>
          <w:sz w:val="21"/>
          <w:szCs w:val="21"/>
          <w:highlight w:val="none"/>
          <w:lang w:eastAsia="zh-CN"/>
        </w:rPr>
        <w:t>、监督和管理</w:t>
      </w:r>
    </w:p>
    <w:p w14:paraId="1A790C47">
      <w:pPr>
        <w:shd w:val="clear"/>
        <w:spacing w:line="500" w:lineRule="exact"/>
        <w:ind w:firstLine="420" w:firstLineChars="200"/>
        <w:rPr>
          <w:bCs/>
          <w:color w:val="auto"/>
          <w:sz w:val="21"/>
          <w:szCs w:val="21"/>
          <w:highlight w:val="none"/>
          <w:lang w:eastAsia="zh-CN"/>
        </w:rPr>
      </w:pPr>
      <w:r>
        <w:rPr>
          <w:rFonts w:hint="eastAsia"/>
          <w:bCs/>
          <w:color w:val="auto"/>
          <w:sz w:val="21"/>
          <w:szCs w:val="21"/>
          <w:highlight w:val="none"/>
          <w:lang w:eastAsia="zh-CN"/>
        </w:rPr>
        <w:t>1、政府采购合同履行中，甲方需追加与合同标的相同的工程或者服务的，在不改变合同其他条款的前提下，可以与乙方协商签订补充合同，但所有补充合同的采购金额不得超过原合同采购金额的百分之十。</w:t>
      </w:r>
    </w:p>
    <w:p w14:paraId="66F82719">
      <w:pPr>
        <w:shd w:val="clear"/>
        <w:spacing w:line="500" w:lineRule="exact"/>
        <w:ind w:firstLine="420" w:firstLineChars="200"/>
        <w:rPr>
          <w:bCs/>
          <w:color w:val="auto"/>
          <w:sz w:val="21"/>
          <w:szCs w:val="21"/>
          <w:highlight w:val="none"/>
          <w:lang w:eastAsia="zh-CN"/>
        </w:rPr>
      </w:pPr>
      <w:r>
        <w:rPr>
          <w:rFonts w:hint="eastAsia"/>
          <w:bCs/>
          <w:color w:val="auto"/>
          <w:sz w:val="21"/>
          <w:szCs w:val="21"/>
          <w:highlight w:val="none"/>
          <w:lang w:eastAsia="zh-CN"/>
        </w:rPr>
        <w:t>2、甲乙双方均应自觉配合有关监督管理部门对合同履行情况的监督检查，如实反映情况，提供有关资料；否则，将对有关单位、当事人按照有关规定予以处罚。</w:t>
      </w:r>
    </w:p>
    <w:p w14:paraId="7368D9E0">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十二、合同争议解决的方式 </w:t>
      </w:r>
    </w:p>
    <w:p w14:paraId="0A782436">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1、本合同须经甲、乙双方的法定代表人（授权代表）在合同书上签字并加盖本单位公章后正式生效。 </w:t>
      </w:r>
    </w:p>
    <w:p w14:paraId="06684D79">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2、合同生效后，甲、乙双方须严格执行本合同条款的规定，全面履行合同，违者按《中华人民共和国民法典》的有关规定及合同约定承担相应责任。 </w:t>
      </w:r>
    </w:p>
    <w:p w14:paraId="3847A03C">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lang w:eastAsia="zh-CN"/>
        </w:rPr>
        <w:t>双方因履行本合同而引起的争议或与本合同有关的争议，双方通过友好协商解决。协商不成，双方均应向甲方住所地</w:t>
      </w:r>
      <w:r>
        <w:rPr>
          <w:rFonts w:hint="eastAsia"/>
          <w:color w:val="auto"/>
          <w:sz w:val="21"/>
          <w:szCs w:val="21"/>
          <w:highlight w:val="none"/>
          <w:lang w:val="en-US" w:eastAsia="zh-CN"/>
        </w:rPr>
        <w:t>有管辖权的</w:t>
      </w:r>
      <w:r>
        <w:rPr>
          <w:rFonts w:hint="eastAsia"/>
          <w:color w:val="auto"/>
          <w:sz w:val="21"/>
          <w:szCs w:val="21"/>
          <w:highlight w:val="none"/>
          <w:lang w:eastAsia="zh-CN"/>
        </w:rPr>
        <w:t>人民法院诉讼解决。</w:t>
      </w:r>
    </w:p>
    <w:p w14:paraId="28E8DF38">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4、本合同一式</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份，甲乙双方各执</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份。 </w:t>
      </w:r>
    </w:p>
    <w:p w14:paraId="3D9B3839">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5、本合同如有未尽事宜，甲、乙双方协商解决。 </w:t>
      </w:r>
    </w:p>
    <w:p w14:paraId="43F90655">
      <w:pPr>
        <w:shd w:val="clear"/>
        <w:adjustRightInd w:val="0"/>
        <w:snapToGrid w:val="0"/>
        <w:spacing w:line="500" w:lineRule="exact"/>
        <w:ind w:firstLine="415" w:firstLineChars="198"/>
        <w:rPr>
          <w:color w:val="auto"/>
          <w:sz w:val="21"/>
          <w:szCs w:val="21"/>
          <w:highlight w:val="none"/>
          <w:lang w:eastAsia="zh-CN"/>
        </w:rPr>
      </w:pPr>
      <w:r>
        <w:rPr>
          <w:rFonts w:hint="eastAsia"/>
          <w:color w:val="auto"/>
          <w:sz w:val="21"/>
          <w:szCs w:val="21"/>
          <w:highlight w:val="none"/>
          <w:lang w:eastAsia="zh-CN"/>
        </w:rPr>
        <w:t>甲方：</w:t>
      </w:r>
      <w:r>
        <w:rPr>
          <w:rFonts w:hint="eastAsia"/>
          <w:color w:val="auto"/>
          <w:sz w:val="21"/>
          <w:szCs w:val="21"/>
          <w:highlight w:val="none"/>
          <w:u w:val="single"/>
          <w:lang w:eastAsia="zh-CN"/>
        </w:rPr>
        <w:t xml:space="preserve">   （盖章）         </w:t>
      </w:r>
      <w:r>
        <w:rPr>
          <w:rFonts w:hint="eastAsia"/>
          <w:color w:val="auto"/>
          <w:sz w:val="21"/>
          <w:szCs w:val="21"/>
          <w:highlight w:val="none"/>
          <w:lang w:eastAsia="zh-CN"/>
        </w:rPr>
        <w:t xml:space="preserve">                        乙方：</w:t>
      </w:r>
      <w:r>
        <w:rPr>
          <w:rFonts w:hint="eastAsia"/>
          <w:color w:val="auto"/>
          <w:sz w:val="21"/>
          <w:szCs w:val="21"/>
          <w:highlight w:val="none"/>
          <w:u w:val="single"/>
          <w:lang w:eastAsia="zh-CN"/>
        </w:rPr>
        <w:t xml:space="preserve">      （盖章）     </w:t>
      </w:r>
    </w:p>
    <w:p w14:paraId="0072BD5B">
      <w:pPr>
        <w:shd w:val="clear"/>
        <w:adjustRightInd w:val="0"/>
        <w:snapToGrid w:val="0"/>
        <w:spacing w:line="500" w:lineRule="exact"/>
        <w:ind w:firstLine="415" w:firstLineChars="198"/>
        <w:rPr>
          <w:color w:val="auto"/>
          <w:sz w:val="21"/>
          <w:szCs w:val="21"/>
          <w:highlight w:val="none"/>
          <w:lang w:eastAsia="zh-CN"/>
        </w:rPr>
      </w:pPr>
      <w:r>
        <w:rPr>
          <w:rFonts w:hint="eastAsia"/>
          <w:color w:val="auto"/>
          <w:sz w:val="21"/>
          <w:szCs w:val="21"/>
          <w:highlight w:val="none"/>
          <w:lang w:eastAsia="zh-CN"/>
        </w:rPr>
        <w:t>地  址：</w:t>
      </w:r>
      <w:r>
        <w:rPr>
          <w:rFonts w:hint="eastAsia"/>
          <w:color w:val="auto"/>
          <w:sz w:val="21"/>
          <w:szCs w:val="21"/>
          <w:highlight w:val="none"/>
          <w:u w:val="single"/>
          <w:lang w:eastAsia="zh-CN"/>
        </w:rPr>
        <w:t xml:space="preserve">                    </w:t>
      </w:r>
      <w:r>
        <w:rPr>
          <w:rFonts w:hint="eastAsia"/>
          <w:color w:val="auto"/>
          <w:sz w:val="21"/>
          <w:szCs w:val="21"/>
          <w:highlight w:val="none"/>
          <w:lang w:eastAsia="zh-CN"/>
        </w:rPr>
        <w:t xml:space="preserve">                      地  址：</w:t>
      </w:r>
      <w:r>
        <w:rPr>
          <w:rFonts w:hint="eastAsia"/>
          <w:color w:val="auto"/>
          <w:sz w:val="21"/>
          <w:szCs w:val="21"/>
          <w:highlight w:val="none"/>
          <w:u w:val="single"/>
          <w:lang w:eastAsia="zh-CN"/>
        </w:rPr>
        <w:t xml:space="preserve">                     </w:t>
      </w:r>
    </w:p>
    <w:p w14:paraId="447C8122">
      <w:pPr>
        <w:shd w:val="clear"/>
        <w:adjustRightInd w:val="0"/>
        <w:snapToGrid w:val="0"/>
        <w:spacing w:line="500" w:lineRule="exact"/>
        <w:ind w:firstLine="420" w:firstLineChars="200"/>
        <w:rPr>
          <w:color w:val="auto"/>
          <w:sz w:val="21"/>
          <w:szCs w:val="21"/>
          <w:highlight w:val="none"/>
          <w:lang w:eastAsia="zh-CN"/>
        </w:rPr>
      </w:pPr>
      <w:r>
        <w:rPr>
          <w:rFonts w:hint="eastAsia"/>
          <w:color w:val="auto"/>
          <w:sz w:val="21"/>
          <w:szCs w:val="21"/>
          <w:highlight w:val="none"/>
          <w:lang w:eastAsia="zh-CN"/>
        </w:rPr>
        <w:t>邮政编码：</w:t>
      </w:r>
      <w:r>
        <w:rPr>
          <w:rFonts w:hint="eastAsia"/>
          <w:color w:val="auto"/>
          <w:sz w:val="21"/>
          <w:szCs w:val="21"/>
          <w:highlight w:val="none"/>
          <w:u w:val="single"/>
          <w:lang w:eastAsia="zh-CN"/>
        </w:rPr>
        <w:t xml:space="preserve">                 </w:t>
      </w:r>
      <w:r>
        <w:rPr>
          <w:rFonts w:hint="eastAsia"/>
          <w:color w:val="auto"/>
          <w:sz w:val="21"/>
          <w:szCs w:val="21"/>
          <w:highlight w:val="none"/>
          <w:lang w:eastAsia="zh-CN"/>
        </w:rPr>
        <w:t xml:space="preserve">                       邮政编码：</w:t>
      </w:r>
      <w:r>
        <w:rPr>
          <w:rFonts w:hint="eastAsia"/>
          <w:color w:val="auto"/>
          <w:sz w:val="21"/>
          <w:szCs w:val="21"/>
          <w:highlight w:val="none"/>
          <w:u w:val="single"/>
          <w:lang w:eastAsia="zh-CN"/>
        </w:rPr>
        <w:t xml:space="preserve">                   </w:t>
      </w:r>
    </w:p>
    <w:p w14:paraId="3D70370E">
      <w:pPr>
        <w:shd w:val="clear"/>
        <w:adjustRightInd w:val="0"/>
        <w:snapToGrid w:val="0"/>
        <w:spacing w:line="500" w:lineRule="exact"/>
        <w:ind w:firstLine="415" w:firstLineChars="198"/>
        <w:rPr>
          <w:color w:val="auto"/>
          <w:sz w:val="21"/>
          <w:szCs w:val="21"/>
          <w:highlight w:val="none"/>
          <w:lang w:eastAsia="zh-CN"/>
        </w:rPr>
      </w:pPr>
      <w:r>
        <w:rPr>
          <w:rFonts w:hint="eastAsia"/>
          <w:color w:val="auto"/>
          <w:sz w:val="21"/>
          <w:szCs w:val="21"/>
          <w:highlight w:val="none"/>
          <w:lang w:eastAsia="zh-CN"/>
        </w:rPr>
        <w:t>法定代表人或其授权                                法定代表人或其授权</w:t>
      </w:r>
    </w:p>
    <w:p w14:paraId="770683A5">
      <w:pPr>
        <w:shd w:val="clear"/>
        <w:adjustRightInd w:val="0"/>
        <w:snapToGrid w:val="0"/>
        <w:spacing w:line="500" w:lineRule="exact"/>
        <w:ind w:firstLine="415" w:firstLineChars="198"/>
        <w:rPr>
          <w:color w:val="auto"/>
          <w:sz w:val="21"/>
          <w:szCs w:val="21"/>
          <w:highlight w:val="none"/>
          <w:lang w:eastAsia="zh-CN"/>
        </w:rPr>
      </w:pPr>
      <w:r>
        <w:rPr>
          <w:rFonts w:hint="eastAsia"/>
          <w:color w:val="auto"/>
          <w:sz w:val="21"/>
          <w:szCs w:val="21"/>
          <w:highlight w:val="none"/>
          <w:lang w:eastAsia="zh-CN"/>
        </w:rPr>
        <w:t>的代理人：</w:t>
      </w:r>
      <w:r>
        <w:rPr>
          <w:rFonts w:hint="eastAsia"/>
          <w:color w:val="auto"/>
          <w:sz w:val="21"/>
          <w:szCs w:val="21"/>
          <w:highlight w:val="none"/>
          <w:u w:val="single"/>
          <w:lang w:eastAsia="zh-CN"/>
        </w:rPr>
        <w:t xml:space="preserve">（签字或盖章）   </w:t>
      </w:r>
      <w:r>
        <w:rPr>
          <w:rFonts w:hint="eastAsia"/>
          <w:color w:val="auto"/>
          <w:sz w:val="21"/>
          <w:szCs w:val="21"/>
          <w:highlight w:val="none"/>
          <w:lang w:eastAsia="zh-CN"/>
        </w:rPr>
        <w:t xml:space="preserve">                       的代理人：</w:t>
      </w:r>
      <w:r>
        <w:rPr>
          <w:rFonts w:hint="eastAsia"/>
          <w:color w:val="auto"/>
          <w:sz w:val="21"/>
          <w:szCs w:val="21"/>
          <w:highlight w:val="none"/>
          <w:u w:val="single"/>
          <w:lang w:eastAsia="zh-CN"/>
        </w:rPr>
        <w:t xml:space="preserve">（签字或盖章）     </w:t>
      </w:r>
    </w:p>
    <w:p w14:paraId="38F305BF">
      <w:pPr>
        <w:shd w:val="clear"/>
        <w:adjustRightInd w:val="0"/>
        <w:snapToGrid w:val="0"/>
        <w:spacing w:line="500" w:lineRule="exact"/>
        <w:ind w:firstLine="415" w:firstLineChars="198"/>
        <w:rPr>
          <w:color w:val="auto"/>
          <w:sz w:val="21"/>
          <w:szCs w:val="21"/>
          <w:highlight w:val="none"/>
          <w:lang w:eastAsia="zh-CN"/>
        </w:rPr>
      </w:pPr>
      <w:r>
        <w:rPr>
          <w:rFonts w:hint="eastAsia"/>
          <w:color w:val="auto"/>
          <w:sz w:val="21"/>
          <w:szCs w:val="21"/>
          <w:highlight w:val="none"/>
          <w:lang w:eastAsia="zh-CN"/>
        </w:rPr>
        <w:t>开户银行：</w:t>
      </w:r>
      <w:r>
        <w:rPr>
          <w:rFonts w:hint="eastAsia"/>
          <w:color w:val="auto"/>
          <w:sz w:val="21"/>
          <w:szCs w:val="21"/>
          <w:highlight w:val="none"/>
          <w:u w:val="single"/>
          <w:lang w:eastAsia="zh-CN"/>
        </w:rPr>
        <w:t xml:space="preserve">                 </w:t>
      </w:r>
      <w:r>
        <w:rPr>
          <w:rFonts w:hint="eastAsia"/>
          <w:color w:val="auto"/>
          <w:sz w:val="21"/>
          <w:szCs w:val="21"/>
          <w:highlight w:val="none"/>
          <w:lang w:eastAsia="zh-CN"/>
        </w:rPr>
        <w:t xml:space="preserve">                       开户银行：</w:t>
      </w:r>
      <w:r>
        <w:rPr>
          <w:rFonts w:hint="eastAsia"/>
          <w:color w:val="auto"/>
          <w:sz w:val="21"/>
          <w:szCs w:val="21"/>
          <w:highlight w:val="none"/>
          <w:u w:val="single"/>
          <w:lang w:eastAsia="zh-CN"/>
        </w:rPr>
        <w:t xml:space="preserve">                   </w:t>
      </w:r>
    </w:p>
    <w:p w14:paraId="3210B534">
      <w:pPr>
        <w:shd w:val="clear"/>
        <w:adjustRightInd w:val="0"/>
        <w:snapToGrid w:val="0"/>
        <w:spacing w:line="500" w:lineRule="exact"/>
        <w:ind w:firstLine="415" w:firstLineChars="198"/>
        <w:rPr>
          <w:color w:val="auto"/>
          <w:sz w:val="21"/>
          <w:szCs w:val="21"/>
          <w:highlight w:val="none"/>
          <w:lang w:eastAsia="zh-CN"/>
        </w:rPr>
      </w:pPr>
      <w:r>
        <w:rPr>
          <w:rFonts w:hint="eastAsia"/>
          <w:color w:val="auto"/>
          <w:sz w:val="21"/>
          <w:szCs w:val="21"/>
          <w:highlight w:val="none"/>
          <w:lang w:eastAsia="zh-CN"/>
        </w:rPr>
        <w:t>账号：</w:t>
      </w:r>
      <w:r>
        <w:rPr>
          <w:rFonts w:hint="eastAsia"/>
          <w:color w:val="auto"/>
          <w:sz w:val="21"/>
          <w:szCs w:val="21"/>
          <w:highlight w:val="none"/>
          <w:u w:val="single"/>
          <w:lang w:eastAsia="zh-CN"/>
        </w:rPr>
        <w:t xml:space="preserve">                      </w:t>
      </w:r>
      <w:r>
        <w:rPr>
          <w:rFonts w:hint="eastAsia"/>
          <w:color w:val="auto"/>
          <w:sz w:val="21"/>
          <w:szCs w:val="21"/>
          <w:highlight w:val="none"/>
          <w:lang w:eastAsia="zh-CN"/>
        </w:rPr>
        <w:t xml:space="preserve">                      账号：</w:t>
      </w:r>
      <w:r>
        <w:rPr>
          <w:rFonts w:hint="eastAsia"/>
          <w:color w:val="auto"/>
          <w:sz w:val="21"/>
          <w:szCs w:val="21"/>
          <w:highlight w:val="none"/>
          <w:u w:val="single"/>
          <w:lang w:eastAsia="zh-CN"/>
        </w:rPr>
        <w:t xml:space="preserve">                       </w:t>
      </w:r>
    </w:p>
    <w:p w14:paraId="153EF758">
      <w:pPr>
        <w:shd w:val="clear"/>
        <w:adjustRightInd w:val="0"/>
        <w:snapToGrid w:val="0"/>
        <w:spacing w:line="500" w:lineRule="exact"/>
        <w:ind w:firstLine="415" w:firstLineChars="198"/>
        <w:rPr>
          <w:color w:val="auto"/>
          <w:sz w:val="21"/>
          <w:szCs w:val="21"/>
          <w:highlight w:val="none"/>
          <w:lang w:eastAsia="zh-CN"/>
        </w:rPr>
      </w:pPr>
      <w:r>
        <w:rPr>
          <w:rFonts w:hint="eastAsia"/>
          <w:color w:val="auto"/>
          <w:sz w:val="21"/>
          <w:szCs w:val="21"/>
          <w:highlight w:val="none"/>
          <w:lang w:eastAsia="zh-CN"/>
        </w:rPr>
        <w:t>电话：</w:t>
      </w:r>
      <w:r>
        <w:rPr>
          <w:rFonts w:hint="eastAsia"/>
          <w:color w:val="auto"/>
          <w:sz w:val="21"/>
          <w:szCs w:val="21"/>
          <w:highlight w:val="none"/>
          <w:u w:val="single"/>
          <w:lang w:eastAsia="zh-CN"/>
        </w:rPr>
        <w:t xml:space="preserve">                      </w:t>
      </w:r>
      <w:r>
        <w:rPr>
          <w:rFonts w:hint="eastAsia"/>
          <w:color w:val="auto"/>
          <w:sz w:val="21"/>
          <w:szCs w:val="21"/>
          <w:highlight w:val="none"/>
          <w:lang w:eastAsia="zh-CN"/>
        </w:rPr>
        <w:t xml:space="preserve">                      电话：</w:t>
      </w:r>
      <w:r>
        <w:rPr>
          <w:rFonts w:hint="eastAsia"/>
          <w:color w:val="auto"/>
          <w:sz w:val="21"/>
          <w:szCs w:val="21"/>
          <w:highlight w:val="none"/>
          <w:u w:val="single"/>
          <w:lang w:eastAsia="zh-CN"/>
        </w:rPr>
        <w:t xml:space="preserve">                       </w:t>
      </w:r>
    </w:p>
    <w:p w14:paraId="3AF64F33">
      <w:pPr>
        <w:ind w:firstLine="210" w:firstLineChars="100"/>
      </w:pPr>
      <w:r>
        <w:rPr>
          <w:rFonts w:hint="eastAsia"/>
          <w:color w:val="auto"/>
          <w:sz w:val="21"/>
          <w:szCs w:val="21"/>
          <w:highlight w:val="none"/>
          <w:lang w:eastAsia="zh-CN"/>
        </w:rPr>
        <w:t>传真：</w:t>
      </w:r>
      <w:r>
        <w:rPr>
          <w:rFonts w:hint="eastAsia"/>
          <w:color w:val="auto"/>
          <w:sz w:val="21"/>
          <w:szCs w:val="21"/>
          <w:highlight w:val="none"/>
          <w:u w:val="single"/>
          <w:lang w:eastAsia="zh-CN"/>
        </w:rPr>
        <w:t xml:space="preserve">                      </w:t>
      </w:r>
      <w:r>
        <w:rPr>
          <w:rFonts w:hint="eastAsia"/>
          <w:color w:val="auto"/>
          <w:sz w:val="21"/>
          <w:szCs w:val="21"/>
          <w:highlight w:val="none"/>
          <w:lang w:eastAsia="zh-CN"/>
        </w:rPr>
        <w:t xml:space="preserve">                      传真：</w:t>
      </w:r>
      <w:r>
        <w:rPr>
          <w:rFonts w:hint="eastAsia"/>
          <w:color w:val="auto"/>
          <w:sz w:val="21"/>
          <w:szCs w:val="21"/>
          <w:highlight w:val="none"/>
          <w:u w:val="single"/>
          <w:lang w:eastAsia="zh-CN"/>
        </w:rPr>
        <w:t xml:space="preserve">                    </w:t>
      </w:r>
    </w:p>
    <w:p w14:paraId="0D0CB12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F030CA"/>
    <w:rsid w:val="2BF030CA"/>
    <w:rsid w:val="56D81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2541</Words>
  <Characters>2558</Characters>
  <Lines>0</Lines>
  <Paragraphs>0</Paragraphs>
  <TotalTime>0</TotalTime>
  <ScaleCrop>false</ScaleCrop>
  <LinksUpToDate>false</LinksUpToDate>
  <CharactersWithSpaces>3246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2026-07-20T09:33:00Z</dcterms:created>
  <dc:creator>ZBB</dc:creator>
  <cp:lastModifiedBy>ZBB</cp:lastModifiedBy>
  <dcterms:modified xsi:type="dcterms:W3CDTF">2026-07-20T09:34:47Z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3F0A6527B0094BC3BFD0D34E567981E3_11</vt:lpwstr>
  </property>
  <property fmtid="{D5CDD505-2E9C-101B-9397-08002B2CF9AE}" pid="4" name="KSOTemplateDocerSaveRecord">
    <vt:lpwstr>eyJoZGlkIjoiOTZlMjIwZDU1YzM1YzYzMzlmOTYzOGVmN2ViZjZjMjQiLCJ1c2VySWQiOiIyNjQ2NDU1NDQifQ==</vt:lpwstr>
  </property>
</Properties>
</file>