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E4920F">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一、项目概况</w:t>
      </w:r>
    </w:p>
    <w:p w14:paraId="653E5EF0">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1.项目名称：西安市雁塔区电子三路一级消防救援站建设项目文勘前建筑垃圾清运工程。</w:t>
      </w:r>
    </w:p>
    <w:p w14:paraId="3A72C3E3">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2.项目地点：采购人指定地点。</w:t>
      </w:r>
    </w:p>
    <w:p w14:paraId="77709BEF">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3.计划服务期：自合同签订之日起</w:t>
      </w:r>
      <w:r>
        <w:rPr>
          <w:rFonts w:hint="eastAsia" w:ascii="仿宋_GB2312" w:hAnsi="仿宋_GB2312" w:eastAsia="仿宋_GB2312" w:cs="仿宋_GB2312"/>
          <w:lang w:val="en-US" w:eastAsia="zh-CN"/>
        </w:rPr>
        <w:t>15</w:t>
      </w:r>
      <w:r>
        <w:rPr>
          <w:rFonts w:hint="eastAsia" w:ascii="仿宋_GB2312" w:hAnsi="仿宋_GB2312" w:eastAsia="仿宋_GB2312" w:cs="仿宋_GB2312"/>
        </w:rPr>
        <w:t>日历天</w:t>
      </w:r>
    </w:p>
    <w:p w14:paraId="2F3A5F2E">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二、项目内容</w:t>
      </w:r>
    </w:p>
    <w:p w14:paraId="5379F0E5">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包括但不限于：对项目内现有的建筑垃圾进行清运，经初步现场测量暂估垃圾方量为</w:t>
      </w:r>
      <w:r>
        <w:rPr>
          <w:rFonts w:hint="eastAsia" w:ascii="仿宋_GB2312" w:hAnsi="仿宋_GB2312" w:eastAsia="仿宋_GB2312" w:cs="仿宋_GB2312"/>
          <w:lang w:val="en-US" w:eastAsia="zh-CN"/>
        </w:rPr>
        <w:t>20000.00</w:t>
      </w:r>
      <w:r>
        <w:rPr>
          <w:rFonts w:hint="eastAsia" w:ascii="仿宋_GB2312" w:hAnsi="仿宋_GB2312" w:eastAsia="仿宋_GB2312" w:cs="仿宋_GB2312"/>
        </w:rPr>
        <w:t>立方米。混凝土地面破除6292.53平方米</w:t>
      </w:r>
      <w:r>
        <w:rPr>
          <w:rFonts w:hint="eastAsia" w:ascii="仿宋_GB2312" w:hAnsi="仿宋_GB2312" w:eastAsia="仿宋_GB2312" w:cs="仿宋_GB2312"/>
          <w:lang w:eastAsia="zh-CN"/>
        </w:rPr>
        <w:t>。</w:t>
      </w:r>
      <w:r>
        <w:rPr>
          <w:rFonts w:hint="eastAsia" w:ascii="仿宋_GB2312" w:hAnsi="仿宋_GB2312" w:eastAsia="仿宋_GB2312" w:cs="仿宋_GB2312"/>
        </w:rPr>
        <w:t>运输过程中，必须确保建筑垃圾不会散落或渗漏。清运完成后场地自然平整，达到采购人要求。工程实施过程中要注意安全生产、治污减霾、场地看护等工作。</w:t>
      </w:r>
    </w:p>
    <w:p w14:paraId="60FDC958">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三、工程量清单</w:t>
      </w:r>
    </w:p>
    <w:tbl>
      <w:tblPr>
        <w:tblStyle w:val="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63"/>
        <w:gridCol w:w="2365"/>
        <w:gridCol w:w="1247"/>
        <w:gridCol w:w="2074"/>
        <w:gridCol w:w="1664"/>
      </w:tblGrid>
      <w:tr w14:paraId="10620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579" w:type="pct"/>
            <w:vAlign w:val="center"/>
          </w:tcPr>
          <w:p w14:paraId="36D87940">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z w:val="24"/>
              </w:rPr>
            </w:pPr>
            <w:bookmarkStart w:id="0" w:name="_GoBack"/>
            <w:r>
              <w:rPr>
                <w:rFonts w:hint="eastAsia" w:ascii="仿宋" w:hAnsi="仿宋" w:eastAsia="仿宋" w:cs="仿宋"/>
                <w:spacing w:val="-5"/>
                <w:sz w:val="24"/>
              </w:rPr>
              <w:t>序号</w:t>
            </w:r>
          </w:p>
        </w:tc>
        <w:tc>
          <w:tcPr>
            <w:tcW w:w="1422" w:type="pct"/>
            <w:vAlign w:val="center"/>
          </w:tcPr>
          <w:p w14:paraId="7E02612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z w:val="24"/>
              </w:rPr>
            </w:pPr>
            <w:r>
              <w:rPr>
                <w:rFonts w:hint="eastAsia" w:ascii="仿宋" w:hAnsi="仿宋" w:eastAsia="仿宋" w:cs="仿宋"/>
                <w:spacing w:val="-3"/>
                <w:sz w:val="24"/>
              </w:rPr>
              <w:t>清单项目</w:t>
            </w:r>
          </w:p>
        </w:tc>
        <w:tc>
          <w:tcPr>
            <w:tcW w:w="750" w:type="pct"/>
            <w:vAlign w:val="center"/>
          </w:tcPr>
          <w:p w14:paraId="249B792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z w:val="24"/>
                <w:highlight w:val="none"/>
              </w:rPr>
            </w:pPr>
            <w:r>
              <w:rPr>
                <w:rFonts w:hint="eastAsia" w:ascii="仿宋" w:hAnsi="仿宋" w:eastAsia="仿宋" w:cs="仿宋"/>
                <w:spacing w:val="-5"/>
                <w:sz w:val="24"/>
                <w:highlight w:val="none"/>
              </w:rPr>
              <w:t>单位</w:t>
            </w:r>
          </w:p>
        </w:tc>
        <w:tc>
          <w:tcPr>
            <w:tcW w:w="1247" w:type="pct"/>
            <w:vAlign w:val="center"/>
          </w:tcPr>
          <w:p w14:paraId="12092A5A">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z w:val="24"/>
                <w:highlight w:val="none"/>
              </w:rPr>
            </w:pPr>
            <w:r>
              <w:rPr>
                <w:rFonts w:hint="eastAsia" w:ascii="仿宋" w:hAnsi="仿宋" w:eastAsia="仿宋" w:cs="仿宋"/>
                <w:spacing w:val="-4"/>
                <w:sz w:val="24"/>
                <w:highlight w:val="none"/>
                <w:lang w:val="en-US" w:eastAsia="zh-CN"/>
              </w:rPr>
              <w:t>暂估</w:t>
            </w:r>
            <w:r>
              <w:rPr>
                <w:rFonts w:hint="eastAsia" w:ascii="仿宋" w:hAnsi="仿宋" w:eastAsia="仿宋" w:cs="仿宋"/>
                <w:spacing w:val="-4"/>
                <w:sz w:val="24"/>
                <w:highlight w:val="none"/>
              </w:rPr>
              <w:t>工程量</w:t>
            </w:r>
          </w:p>
        </w:tc>
        <w:tc>
          <w:tcPr>
            <w:tcW w:w="1000" w:type="pct"/>
            <w:vAlign w:val="center"/>
          </w:tcPr>
          <w:p w14:paraId="754ECAA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z w:val="24"/>
              </w:rPr>
            </w:pPr>
            <w:r>
              <w:rPr>
                <w:rFonts w:hint="eastAsia" w:ascii="仿宋" w:hAnsi="仿宋" w:eastAsia="仿宋" w:cs="仿宋"/>
                <w:spacing w:val="-5"/>
                <w:sz w:val="24"/>
              </w:rPr>
              <w:t>备注</w:t>
            </w:r>
          </w:p>
        </w:tc>
      </w:tr>
      <w:tr w14:paraId="236AA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579" w:type="pct"/>
            <w:vAlign w:val="center"/>
          </w:tcPr>
          <w:p w14:paraId="1DCA57E8">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z w:val="24"/>
              </w:rPr>
            </w:pPr>
            <w:r>
              <w:rPr>
                <w:rFonts w:hint="eastAsia" w:ascii="仿宋" w:hAnsi="仿宋" w:eastAsia="仿宋" w:cs="仿宋"/>
                <w:spacing w:val="-10"/>
                <w:sz w:val="24"/>
              </w:rPr>
              <w:t>1</w:t>
            </w:r>
          </w:p>
        </w:tc>
        <w:tc>
          <w:tcPr>
            <w:tcW w:w="1422" w:type="pct"/>
            <w:vAlign w:val="center"/>
          </w:tcPr>
          <w:p w14:paraId="21626687">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z w:val="24"/>
              </w:rPr>
            </w:pPr>
            <w:r>
              <w:rPr>
                <w:rFonts w:hint="eastAsia" w:ascii="仿宋" w:hAnsi="仿宋" w:eastAsia="仿宋" w:cs="仿宋"/>
                <w:spacing w:val="-2"/>
                <w:sz w:val="24"/>
              </w:rPr>
              <w:t>建筑垃圾清运</w:t>
            </w:r>
          </w:p>
        </w:tc>
        <w:tc>
          <w:tcPr>
            <w:tcW w:w="750" w:type="pct"/>
            <w:vAlign w:val="center"/>
          </w:tcPr>
          <w:p w14:paraId="42E9147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z w:val="24"/>
              </w:rPr>
            </w:pPr>
            <w:r>
              <w:rPr>
                <w:rFonts w:hint="eastAsia" w:ascii="仿宋" w:hAnsi="仿宋" w:eastAsia="仿宋" w:cs="仿宋"/>
                <w:spacing w:val="-5"/>
                <w:sz w:val="24"/>
              </w:rPr>
              <w:t>m³</w:t>
            </w:r>
          </w:p>
        </w:tc>
        <w:tc>
          <w:tcPr>
            <w:tcW w:w="1247" w:type="pct"/>
            <w:vAlign w:val="center"/>
          </w:tcPr>
          <w:p w14:paraId="08C684C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default" w:ascii="仿宋" w:hAnsi="仿宋" w:eastAsia="仿宋" w:cs="仿宋"/>
                <w:sz w:val="24"/>
                <w:lang w:val="en-US" w:eastAsia="zh-CN"/>
              </w:rPr>
            </w:pPr>
            <w:r>
              <w:rPr>
                <w:rFonts w:hint="eastAsia" w:cs="仿宋"/>
                <w:sz w:val="24"/>
                <w:lang w:val="en-US" w:eastAsia="zh-CN"/>
              </w:rPr>
              <w:t>20000.00</w:t>
            </w:r>
          </w:p>
        </w:tc>
        <w:tc>
          <w:tcPr>
            <w:tcW w:w="1000" w:type="pct"/>
            <w:vAlign w:val="center"/>
          </w:tcPr>
          <w:p w14:paraId="11B9B0DF">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z w:val="24"/>
              </w:rPr>
            </w:pPr>
            <w:r>
              <w:rPr>
                <w:rFonts w:hint="eastAsia" w:ascii="仿宋" w:hAnsi="仿宋" w:eastAsia="仿宋" w:cs="仿宋"/>
                <w:spacing w:val="-10"/>
                <w:sz w:val="24"/>
              </w:rPr>
              <w:t>/</w:t>
            </w:r>
          </w:p>
        </w:tc>
      </w:tr>
      <w:tr w14:paraId="65B0E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79" w:type="pct"/>
            <w:vAlign w:val="center"/>
          </w:tcPr>
          <w:p w14:paraId="0413696B">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pacing w:val="-10"/>
                <w:sz w:val="24"/>
                <w:lang w:val="en-US" w:eastAsia="zh-CN"/>
              </w:rPr>
            </w:pPr>
            <w:r>
              <w:rPr>
                <w:rFonts w:hint="eastAsia" w:cs="仿宋"/>
                <w:spacing w:val="-10"/>
                <w:sz w:val="24"/>
                <w:lang w:val="en-US" w:eastAsia="zh-CN"/>
              </w:rPr>
              <w:t>2</w:t>
            </w:r>
          </w:p>
        </w:tc>
        <w:tc>
          <w:tcPr>
            <w:tcW w:w="1422" w:type="pct"/>
            <w:vAlign w:val="center"/>
          </w:tcPr>
          <w:p w14:paraId="4C0E6BD7">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pacing w:val="-2"/>
                <w:sz w:val="24"/>
              </w:rPr>
            </w:pPr>
            <w:r>
              <w:rPr>
                <w:rFonts w:hint="eastAsia" w:ascii="仿宋_GB2312" w:hAnsi="仿宋_GB2312" w:eastAsia="仿宋_GB2312" w:cs="仿宋_GB2312"/>
              </w:rPr>
              <w:t>混凝土地面破除</w:t>
            </w:r>
          </w:p>
        </w:tc>
        <w:tc>
          <w:tcPr>
            <w:tcW w:w="750" w:type="pct"/>
            <w:vAlign w:val="center"/>
          </w:tcPr>
          <w:p w14:paraId="4B5E8950">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pacing w:val="-5"/>
                <w:sz w:val="24"/>
                <w:lang w:val="en-US" w:eastAsia="zh-CN"/>
              </w:rPr>
            </w:pPr>
            <w:r>
              <w:rPr>
                <w:rFonts w:hint="eastAsia" w:cs="仿宋"/>
                <w:spacing w:val="-5"/>
                <w:sz w:val="24"/>
                <w:lang w:val="en-US" w:eastAsia="zh-CN"/>
              </w:rPr>
              <w:t>㎡</w:t>
            </w:r>
          </w:p>
        </w:tc>
        <w:tc>
          <w:tcPr>
            <w:tcW w:w="1247" w:type="pct"/>
            <w:vAlign w:val="center"/>
          </w:tcPr>
          <w:p w14:paraId="72504A9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default" w:cs="仿宋"/>
                <w:sz w:val="24"/>
                <w:lang w:val="en-US" w:eastAsia="zh-CN"/>
              </w:rPr>
            </w:pPr>
            <w:r>
              <w:rPr>
                <w:rFonts w:hint="eastAsia" w:cs="仿宋"/>
                <w:sz w:val="24"/>
                <w:lang w:val="en-US" w:eastAsia="zh-CN"/>
              </w:rPr>
              <w:t>6292.53</w:t>
            </w:r>
          </w:p>
        </w:tc>
        <w:tc>
          <w:tcPr>
            <w:tcW w:w="1000" w:type="pct"/>
            <w:vAlign w:val="center"/>
          </w:tcPr>
          <w:p w14:paraId="7FB09761">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仿宋" w:hAnsi="仿宋" w:eastAsia="仿宋" w:cs="仿宋"/>
                <w:spacing w:val="-10"/>
                <w:sz w:val="24"/>
              </w:rPr>
            </w:pPr>
            <w:r>
              <w:rPr>
                <w:rFonts w:hint="eastAsia" w:ascii="仿宋" w:hAnsi="仿宋" w:eastAsia="仿宋" w:cs="仿宋"/>
                <w:spacing w:val="-10"/>
                <w:sz w:val="24"/>
              </w:rPr>
              <w:t>/</w:t>
            </w:r>
          </w:p>
        </w:tc>
      </w:tr>
      <w:bookmarkEnd w:id="0"/>
    </w:tbl>
    <w:p w14:paraId="2F4AD337">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p>
    <w:p w14:paraId="6D147C4F">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注：本工程量为暂估工程量，最终工程量以实际测量的工程量为准。</w:t>
      </w:r>
    </w:p>
    <w:p w14:paraId="19E7E793">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三、项目要求</w:t>
      </w:r>
    </w:p>
    <w:p w14:paraId="45FAAA7E">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1.垃圾清运工作严格按照西安市人民政府及其职能部门的相关规定和《西安市建筑垃 圾管理条例》的有关要求执行，清运至正规消纳地点进行倾倒或填埋,并承担处置费用和消纳费用。禁止在道路、桥梁、公共场地、公共绿地、农田、河流、湖泊、供排水设施、水利设施以及其他非指定场地倾倒清运垃圾。垃圾清运后应及时对清运地点进行收尾清理，平整地面。</w:t>
      </w:r>
    </w:p>
    <w:p w14:paraId="6C6BDFD8">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2.在安全文明施工问题上，必须严格按照标准规范严格执行，在此期间所发生的一切安全事故，均由投标人自行承担。</w:t>
      </w:r>
    </w:p>
    <w:p w14:paraId="32FA9D96">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3.项目实施过程中不得与其他人员发生纠纷，在服务期间与其他人员产生的纠纷，均由中标人承担全部责任。</w:t>
      </w:r>
    </w:p>
    <w:p w14:paraId="2B8ED23B">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p>
    <w:p w14:paraId="411E1529">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4.中标人在清运垃圾前需按照要求安装车辆冲洗设备及垃圾覆盖绿网、防尘措施等。</w:t>
      </w:r>
    </w:p>
    <w:p w14:paraId="06610F9B">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5.中标人应当对建筑垃圾进行分类，不得将建筑垃圾与生活垃圾、危险废物混合处置。清运前应设置符合相关技术规范的围蔽设施，出口道路硬化处理，设置车辆冲洗设备并有效使用，设置洗车槽和沉淀池并有效使用，采取措施避免扬尘。</w:t>
      </w:r>
    </w:p>
    <w:p w14:paraId="2C038AB1">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6.中标人应当建立健全建筑垃圾运输车辆安全管理、驾驶人培训、车辆清运规范服务制度，加强车辆维修养护，保证运输安全规范。</w:t>
      </w:r>
    </w:p>
    <w:p w14:paraId="03641F64">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7.运输垃圾造成道路及环境污染的，责任人应当立即清除污染。未及时清除的，由所在地城管执法、环境卫生等行政管理部门组织清除，清除费用由责任人承担。</w:t>
      </w:r>
    </w:p>
    <w:p w14:paraId="07BB5B37">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8.运输建筑垃圾造成道路及环境污染的，中标人应当立即清除污染。未及时清除的，由所在区、县市容环境卫生行政管理部门组织清除，清除费用由中标人承担。</w:t>
      </w:r>
    </w:p>
    <w:p w14:paraId="5172C548">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9.执行的法律法规、技术规范：</w:t>
      </w:r>
    </w:p>
    <w:p w14:paraId="2BD2A513">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《安全生产法》</w:t>
      </w:r>
    </w:p>
    <w:p w14:paraId="36855DB7">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《建设工程安全生产管理条例》</w:t>
      </w:r>
    </w:p>
    <w:p w14:paraId="57B397B2">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《西安市扬尘污染防治条例》</w:t>
      </w:r>
    </w:p>
    <w:p w14:paraId="6CDCCBE6">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《西安市建筑垃圾管理条例》</w:t>
      </w:r>
    </w:p>
    <w:p w14:paraId="670C7A96">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仅列出以上规范作为参考，具体标准参照国家或者行业最新标准执行。</w:t>
      </w:r>
    </w:p>
    <w:p w14:paraId="1A3167BD">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四、验收标准</w:t>
      </w:r>
    </w:p>
    <w:p w14:paraId="64ED11B5">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（一）验收方式</w:t>
      </w:r>
    </w:p>
    <w:p w14:paraId="0C4043ED">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1.中标人按照</w:t>
      </w:r>
      <w:r>
        <w:rPr>
          <w:rFonts w:hint="eastAsia" w:ascii="仿宋_GB2312" w:hAnsi="仿宋_GB2312" w:eastAsia="仿宋_GB2312" w:cs="仿宋_GB2312"/>
          <w:lang w:val="en-US" w:eastAsia="zh-CN"/>
        </w:rPr>
        <w:t>采购</w:t>
      </w:r>
      <w:r>
        <w:rPr>
          <w:rFonts w:hint="eastAsia" w:ascii="仿宋_GB2312" w:hAnsi="仿宋_GB2312" w:eastAsia="仿宋_GB2312" w:cs="仿宋_GB2312"/>
        </w:rPr>
        <w:t>人要求完成项目地块内全部建筑垃圾清运，场地自然平整，以书面形式向</w:t>
      </w:r>
      <w:r>
        <w:rPr>
          <w:rFonts w:hint="eastAsia" w:ascii="仿宋_GB2312" w:hAnsi="仿宋_GB2312" w:eastAsia="仿宋_GB2312" w:cs="仿宋_GB2312"/>
          <w:lang w:val="en-US" w:eastAsia="zh-CN"/>
        </w:rPr>
        <w:t>采购</w:t>
      </w:r>
      <w:r>
        <w:rPr>
          <w:rFonts w:hint="eastAsia" w:ascii="仿宋_GB2312" w:hAnsi="仿宋_GB2312" w:eastAsia="仿宋_GB2312" w:cs="仿宋_GB2312"/>
        </w:rPr>
        <w:t>人申请验收，</w:t>
      </w:r>
      <w:r>
        <w:rPr>
          <w:rFonts w:hint="eastAsia" w:ascii="仿宋_GB2312" w:hAnsi="仿宋_GB2312" w:eastAsia="仿宋_GB2312" w:cs="仿宋_GB2312"/>
          <w:lang w:val="en-US" w:eastAsia="zh-CN"/>
        </w:rPr>
        <w:t>采购</w:t>
      </w:r>
      <w:r>
        <w:rPr>
          <w:rFonts w:hint="eastAsia" w:ascii="仿宋_GB2312" w:hAnsi="仿宋_GB2312" w:eastAsia="仿宋_GB2312" w:cs="仿宋_GB2312"/>
        </w:rPr>
        <w:t>人收到中标人的验收申请后，安排人员进行验收，核实确认是否按照标准进行清理完毕，双方对清运地点及清运工程量再次进行确认核对。</w:t>
      </w:r>
    </w:p>
    <w:p w14:paraId="16AF4626">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2.验收合格后，填写验收单，双方签字生效。</w:t>
      </w:r>
    </w:p>
    <w:p w14:paraId="2E6910A9">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（二）验收标准</w:t>
      </w:r>
    </w:p>
    <w:p w14:paraId="008E6ADE">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1.清运期间必须组织有营运资质的车辆进行清理，中标人严格遵守《西安市建筑垃圾管理条例》规定，需将清运的建筑垃圾倾倒在指定的消纳场。</w:t>
      </w:r>
    </w:p>
    <w:p w14:paraId="33EA73AD">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2.清运车辆出现“漏渣、落渣”现象时，中标人负责清扫。</w:t>
      </w:r>
    </w:p>
    <w:p w14:paraId="31174DB9">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3.中标人在清理垃圾过程中发生其他有碍工作的事情，均由中标人协调解决。</w:t>
      </w:r>
    </w:p>
    <w:p w14:paraId="5D7B1D3F">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4.中标人在垃圾清运工作时应做到安全、有序、自觉遵守管理制度，服务期间发生的安全事故均由中标人负责。</w:t>
      </w:r>
    </w:p>
    <w:p w14:paraId="7766FCDD">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5.中标人在清运过程中必须配备清扫人员负责现场的道路保洁工作，现场清运作业过程中要有洒水降尘工作，清运作业完成后，由中标人负责清理干净现场的残留渣土。</w:t>
      </w:r>
    </w:p>
    <w:p w14:paraId="3C84B0AF">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rPr>
        <w:t>6.</w:t>
      </w:r>
      <w:r>
        <w:rPr>
          <w:rFonts w:hint="eastAsia" w:ascii="仿宋_GB2312" w:hAnsi="仿宋_GB2312" w:eastAsia="仿宋_GB2312" w:cs="仿宋_GB2312"/>
          <w:lang w:val="en-US" w:eastAsia="zh-CN"/>
        </w:rPr>
        <w:t>采购</w:t>
      </w:r>
      <w:r>
        <w:rPr>
          <w:rFonts w:hint="eastAsia" w:ascii="仿宋_GB2312" w:hAnsi="仿宋_GB2312" w:eastAsia="仿宋_GB2312" w:cs="仿宋_GB2312"/>
        </w:rPr>
        <w:t>人可派驻人员在中标人清理建筑垃圾时现场督导并核准数量。</w:t>
      </w:r>
    </w:p>
    <w:p w14:paraId="0CD6208D">
      <w:pPr>
        <w:pStyle w:val="5"/>
        <w:keepNext w:val="0"/>
        <w:keepLines w:val="0"/>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五、质量标准</w:t>
      </w:r>
    </w:p>
    <w:p w14:paraId="679EA5BA">
      <w:r>
        <w:rPr>
          <w:rFonts w:hint="eastAsia" w:ascii="仿宋_GB2312" w:hAnsi="仿宋_GB2312" w:eastAsia="仿宋_GB2312" w:cs="仿宋_GB2312"/>
        </w:rPr>
        <w:t>满足国家相关标准及规范要求</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D109C2"/>
    <w:rsid w:val="29D109C2"/>
    <w:rsid w:val="414621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 w:hAnsi="仿宋" w:eastAsia="仿宋" w:cs="仿宋"/>
      <w:sz w:val="22"/>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uiPriority w:val="0"/>
    <w:pPr>
      <w:spacing w:after="120" w:afterLines="0" w:afterAutospacing="0"/>
    </w:pPr>
  </w:style>
  <w:style w:type="paragraph" w:customStyle="1" w:styleId="5">
    <w:name w:val="null3"/>
    <w:hidden/>
    <w:qFormat/>
    <w:uiPriority w:val="0"/>
    <w:rPr>
      <w:rFonts w:hint="eastAsia" w:asciiTheme="minorHAnsi" w:hAnsiTheme="minorHAnsi" w:eastAsiaTheme="minorEastAsia" w:cstheme="minorBidi"/>
      <w:lang w:val="en-US" w:eastAsia="zh-Hans"/>
    </w:rPr>
  </w:style>
  <w:style w:type="paragraph" w:customStyle="1" w:styleId="6">
    <w:name w:val="Table Paragraph"/>
    <w:basedOn w:val="1"/>
    <w:qFormat/>
    <w:uiPriority w:val="1"/>
    <w:rPr>
      <w:rFonts w:ascii="仿宋" w:hAnsi="仿宋" w:eastAsia="仿宋" w:cs="仿宋"/>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2026-07-21T08:28:00Z</dcterms:created>
  <dc:creator>登高望远方</dc:creator>
  <cp:lastModifiedBy>登高望远方</cp:lastModifiedBy>
  <dcterms:modified xsi:type="dcterms:W3CDTF">2026-07-21T08:28:31Z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F2DF36506C904F6BB6FFC5DF6FCEBD89_11</vt:lpwstr>
  </property>
  <property fmtid="{D5CDD505-2E9C-101B-9397-08002B2CF9AE}" pid="4" name="KSOTemplateDocerSaveRecord">
    <vt:lpwstr>eyJoZGlkIjoiNTU3NjlhZWJjYWM3NTYzZGYyYmVlZDM1ZDY5ZDczMjAiLCJ1c2VySWQiOiIzMzY0MTIxOTgifQ==</vt:lpwstr>
  </property>
</Properties>
</file>