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5F5CB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投标响应方案</w:t>
      </w:r>
    </w:p>
    <w:p w14:paraId="18680D8E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（注：供应商根据评审细则及标</w:t>
      </w:r>
      <w:bookmarkStart w:id="0" w:name="_GoBack"/>
      <w:bookmarkEnd w:id="0"/>
      <w:r>
        <w:rPr>
          <w:rFonts w:hint="eastAsia"/>
          <w:lang w:val="en-US" w:eastAsia="zh-CN"/>
        </w:rPr>
        <w:t>准自行编制）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39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2026-03-24T01:01:49Z</dcterms:created>
  <dc:creator>shang</dc:creator>
  <cp:lastModifiedBy>mortal</cp:lastModifiedBy>
  <dcterms:modified xsi:type="dcterms:W3CDTF">2026-03-24T01:05:37Z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eyJoZGlkIjoiMjRjYjg4YjU2OGM3ODliYjQ3MTU5ZDJlYjhlOWY4NWEiLCJ1c2VySWQiOiIyNDc3MjYwNzcifQ==</vt:lpwstr>
  </property>
  <property fmtid="{D5CDD505-2E9C-101B-9397-08002B2CF9AE}" pid="4" name="ICV">
    <vt:lpwstr>B36AC04D84B84407AC0E9DBD44F21FA8_12</vt:lpwstr>
  </property>
</Properties>
</file>