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版本号：ZCSP-潼关县-2026-0007220260622002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秦东镇中心幼儿园（小学）室外消防工程项目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ZCSP-潼关县-2026-00072</w:t>
      </w:r>
      <w:r>
        <w:br/>
      </w:r>
      <w:r>
        <w:br/>
      </w:r>
      <w:r>
        <w:br/>
      </w:r>
    </w:p>
    <w:p>
      <w:pPr>
        <w:pStyle w:val="null3"/>
        <w:jc w:val="center"/>
        <w:outlineLvl w:val="2"/>
      </w:pPr>
      <w:r>
        <w:rPr>
          <w:rFonts w:ascii="仿宋_GB2312" w:hAnsi="仿宋_GB2312" w:cs="仿宋_GB2312" w:eastAsia="仿宋_GB2312"/>
          <w:sz w:val="28"/>
          <w:b/>
        </w:rPr>
        <w:t>潼关县教育体育局</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潼关县教育体育局</w:t>
      </w:r>
      <w:r>
        <w:rPr>
          <w:rFonts w:ascii="仿宋_GB2312" w:hAnsi="仿宋_GB2312" w:cs="仿宋_GB2312" w:eastAsia="仿宋_GB2312"/>
        </w:rPr>
        <w:t>委托，拟对</w:t>
      </w:r>
      <w:r>
        <w:rPr>
          <w:rFonts w:ascii="仿宋_GB2312" w:hAnsi="仿宋_GB2312" w:cs="仿宋_GB2312" w:eastAsia="仿宋_GB2312"/>
        </w:rPr>
        <w:t>秦东镇中心幼儿园（小学）室外消防工程项目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ZCSP-潼关县-2026-00072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秦东镇中心幼儿园（小学）室外消防工程项目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秦东镇中心幼儿园（小学）室外消防工程本次设计为设备用房，建筑面积543.40平方米。主体为框架结构，地上一层，建筑高度为5.7m,功能组成为发电机房及消防水泵房，其中发电机组功率为400KW,消防水箱有效容积为245m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采购包1（秦东镇中心幼儿园（小学）室外消防工程项目）：属于专门面向中小企业采购。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2、供应商应提供健全的财务会计制度的证明材料：具有良好的商业信誉和健全的财务会计制度以及有依法缴纳税收和社会保障资金的良好记录（提供相关证明或承诺）：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p>
      <w:pPr>
        <w:pStyle w:val="null3"/>
      </w:pPr>
      <w:r>
        <w:rPr>
          <w:rFonts w:ascii="仿宋_GB2312" w:hAnsi="仿宋_GB2312" w:cs="仿宋_GB2312" w:eastAsia="仿宋_GB2312"/>
        </w:rPr>
        <w:t>3、合法授权：法定代表人被授权人参加的，须出具授权书（附法定代表人、被授权人身份证复印件）及被授权人在本单位证明（提供开标前三个月内任一月在本单位的社保缴纳记录）；法定代表人参加的需提供法人身份证明书；</w:t>
      </w:r>
    </w:p>
    <w:p>
      <w:pPr>
        <w:pStyle w:val="null3"/>
      </w:pPr>
      <w:r>
        <w:rPr>
          <w:rFonts w:ascii="仿宋_GB2312" w:hAnsi="仿宋_GB2312" w:cs="仿宋_GB2312" w:eastAsia="仿宋_GB2312"/>
        </w:rPr>
        <w:t>4、参加政府采购活动前三年内在经营活动中没有重大违法记录的书面声明：提供参加政府采购活动前三年内在经营活动中没有重大违法记录的书面声明（格式自拟，加盖供应商公章）</w:t>
      </w:r>
    </w:p>
    <w:p>
      <w:pPr>
        <w:pStyle w:val="null3"/>
      </w:pPr>
      <w:r>
        <w:rPr>
          <w:rFonts w:ascii="仿宋_GB2312" w:hAnsi="仿宋_GB2312" w:cs="仿宋_GB2312" w:eastAsia="仿宋_GB2312"/>
        </w:rPr>
        <w:t>5、具有履行本合同所必需的设备和专业技术能力的说明或承诺：提供具有履行本合同所必需的设备和专业技术能力的说明或承诺（格式自拟，加盖供应商公章）。</w:t>
      </w:r>
    </w:p>
    <w:p>
      <w:pPr>
        <w:pStyle w:val="null3"/>
      </w:pPr>
      <w:r>
        <w:rPr>
          <w:rFonts w:ascii="仿宋_GB2312" w:hAnsi="仿宋_GB2312" w:cs="仿宋_GB2312" w:eastAsia="仿宋_GB2312"/>
        </w:rPr>
        <w:t>6、信誉要求：投标供应商不得被“信用中国”（www.creditchina.gov.cn ）列入重大税收违法失信主体；不 得被“中国执行信息公开网”（www.zxgk.court.gov.cn ）列入失信被执行人名单；不得被“中国政府采购网”（www.ccgp.gov.cn ）列入政府采购严重违法失信行为记录名单；</w:t>
      </w:r>
    </w:p>
    <w:p>
      <w:pPr>
        <w:pStyle w:val="null3"/>
      </w:pPr>
      <w:r>
        <w:rPr>
          <w:rFonts w:ascii="仿宋_GB2312" w:hAnsi="仿宋_GB2312" w:cs="仿宋_GB2312" w:eastAsia="仿宋_GB2312"/>
        </w:rPr>
        <w:t>7、控股关系：单位负责人为同一人或者存在直接控股、管理关系的不同投标供应商， 不得参加同一合同项下的政府采购活动；</w:t>
      </w:r>
    </w:p>
    <w:p>
      <w:pPr>
        <w:pStyle w:val="null3"/>
      </w:pPr>
      <w:r>
        <w:rPr>
          <w:rFonts w:ascii="仿宋_GB2312" w:hAnsi="仿宋_GB2312" w:cs="仿宋_GB2312" w:eastAsia="仿宋_GB2312"/>
        </w:rPr>
        <w:t>8、供应商资格要求：供应商须具备提供消防设施工程专业承包二级及以上资质，且具备有效的安全生产许可证；</w:t>
      </w:r>
    </w:p>
    <w:p>
      <w:pPr>
        <w:pStyle w:val="null3"/>
      </w:pPr>
      <w:r>
        <w:rPr>
          <w:rFonts w:ascii="仿宋_GB2312" w:hAnsi="仿宋_GB2312" w:cs="仿宋_GB2312" w:eastAsia="仿宋_GB2312"/>
        </w:rPr>
        <w:t>9、项目经理资格要求：项目经理须具备机电工程专业二级及以上注册建造师证书，有效的安全生产考核合格证书（B证），提供无在建项目承诺；</w:t>
      </w:r>
    </w:p>
    <w:p>
      <w:pPr>
        <w:pStyle w:val="null3"/>
      </w:pPr>
      <w:r>
        <w:rPr>
          <w:rFonts w:ascii="仿宋_GB2312" w:hAnsi="仿宋_GB2312" w:cs="仿宋_GB2312" w:eastAsia="仿宋_GB2312"/>
        </w:rPr>
        <w:t>10、保证金：磋商保证金缴纳凭证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渭南市潼关县育贤街（西段）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17392123933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陕西省西安市未央区陕西省西安市经济技术开发区凤城七路长和国际A座1502室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袁新洁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17349239651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18609239199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采购包1：2,512,752.24元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开户名称：品智工程咨询有限公司渭南分公司</w:t>
            </w:r>
          </w:p>
          <w:p>
            <w:pPr>
              <w:pStyle w:val="null3"/>
            </w:pPr>
            <w:r>
              <w:rPr>
                <w:rFonts w:ascii="仿宋_GB2312" w:hAnsi="仿宋_GB2312" w:cs="仿宋_GB2312" w:eastAsia="仿宋_GB2312"/>
              </w:rPr>
              <w:t>开户银行：中国建设银行股份有限公司渭南胜利大街支行</w:t>
            </w:r>
          </w:p>
          <w:p>
            <w:pPr>
              <w:pStyle w:val="null3"/>
            </w:pPr>
            <w:r>
              <w:rPr>
                <w:rFonts w:ascii="仿宋_GB2312" w:hAnsi="仿宋_GB2312" w:cs="仿宋_GB2312" w:eastAsia="仿宋_GB2312"/>
              </w:rPr>
              <w:t>银行账号：61050164140000001103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印发《招标代理服务收费管理暂行办法》的通知（计价格〔2002〕1980号）、国家发展改革委关于降低部分建设项目收费标准规范收费行为等有关问题的通知发改价格[2011]534号文件的规定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潼关县教育体育局</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品智工程咨询有限公司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联系人：袁新洁</w:t>
      </w:r>
    </w:p>
    <w:p>
      <w:pPr>
        <w:pStyle w:val="null3"/>
      </w:pPr>
      <w:r>
        <w:rPr>
          <w:rFonts w:ascii="仿宋_GB2312" w:hAnsi="仿宋_GB2312" w:cs="仿宋_GB2312" w:eastAsia="仿宋_GB2312"/>
        </w:rPr>
        <w:t>联系电话：17349239651</w:t>
      </w:r>
    </w:p>
    <w:p>
      <w:pPr>
        <w:pStyle w:val="null3"/>
      </w:pPr>
      <w:r>
        <w:rPr>
          <w:rFonts w:ascii="仿宋_GB2312" w:hAnsi="仿宋_GB2312" w:cs="仿宋_GB2312" w:eastAsia="仿宋_GB2312"/>
        </w:rPr>
        <w:t>地址：渭南市临渭区杜化路与胜利大街十字海兴城南门商铺</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2,512,752.24</w:t>
      </w:r>
    </w:p>
    <w:p>
      <w:pPr>
        <w:pStyle w:val="null3"/>
      </w:pPr>
      <w:r>
        <w:rPr>
          <w:rFonts w:ascii="仿宋_GB2312" w:hAnsi="仿宋_GB2312" w:cs="仿宋_GB2312" w:eastAsia="仿宋_GB2312"/>
        </w:rPr>
        <w:t>采购包最高限价（元）: 2,512,752.24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秦东镇中心幼儿园（小学）室外消防工程项目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2,512,752.24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标的名称：秦东镇中心幼儿园（小学）室外消防工程项目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b/>
              </w:rPr>
              <w:t>工程概况：</w:t>
            </w:r>
          </w:p>
          <w:p>
            <w:pPr>
              <w:pStyle w:val="null3"/>
              <w:spacing w:after="120"/>
              <w:ind w:firstLine="640"/>
              <w:jc w:val="both"/>
            </w:pPr>
            <w:r>
              <w:rPr>
                <w:rFonts w:ascii="仿宋_GB2312" w:hAnsi="仿宋_GB2312" w:cs="仿宋_GB2312" w:eastAsia="仿宋_GB2312"/>
                <w:sz w:val="21"/>
              </w:rPr>
              <w:t>工程名称：</w:t>
            </w:r>
            <w:r>
              <w:rPr>
                <w:rFonts w:ascii="仿宋_GB2312" w:hAnsi="仿宋_GB2312" w:cs="仿宋_GB2312" w:eastAsia="仿宋_GB2312"/>
                <w:sz w:val="21"/>
              </w:rPr>
              <w:t xml:space="preserve"> 秦东镇中心幼儿园（小学）室外消防工程项目；  </w:t>
            </w:r>
          </w:p>
          <w:p>
            <w:pPr>
              <w:pStyle w:val="null3"/>
              <w:spacing w:after="120"/>
              <w:ind w:firstLine="640"/>
              <w:jc w:val="both"/>
            </w:pPr>
            <w:r>
              <w:rPr>
                <w:rFonts w:ascii="仿宋_GB2312" w:hAnsi="仿宋_GB2312" w:cs="仿宋_GB2312" w:eastAsia="仿宋_GB2312"/>
                <w:sz w:val="21"/>
              </w:rPr>
              <w:t>工程地点：秦东镇中心幼儿园（小学）内</w:t>
            </w:r>
          </w:p>
          <w:p>
            <w:pPr>
              <w:pStyle w:val="null3"/>
              <w:spacing w:after="120"/>
              <w:ind w:firstLine="640"/>
              <w:jc w:val="both"/>
            </w:pPr>
            <w:r>
              <w:rPr>
                <w:rFonts w:ascii="仿宋_GB2312" w:hAnsi="仿宋_GB2312" w:cs="仿宋_GB2312" w:eastAsia="仿宋_GB2312"/>
                <w:sz w:val="21"/>
              </w:rPr>
              <w:t>工程范围：秦东镇中心幼儿园（小学）室外消防工程本次设计为设备用房，建筑面积543.40平方米。主体为框架结构，地上一层，建筑高度为5.7m,功能组成为发电机房及消防水泵房，其中发电机组功率为400KW,消防水箱有效容积为245m³。</w:t>
            </w:r>
          </w:p>
          <w:p>
            <w:pPr>
              <w:pStyle w:val="null3"/>
              <w:spacing w:after="120"/>
              <w:ind w:firstLine="640"/>
              <w:jc w:val="both"/>
            </w:pPr>
            <w:r>
              <w:rPr>
                <w:rFonts w:ascii="仿宋_GB2312" w:hAnsi="仿宋_GB2312" w:cs="仿宋_GB2312" w:eastAsia="仿宋_GB2312"/>
                <w:sz w:val="21"/>
              </w:rPr>
              <w:t>工期：</w:t>
            </w:r>
            <w:r>
              <w:rPr>
                <w:rFonts w:ascii="仿宋_GB2312" w:hAnsi="仿宋_GB2312" w:cs="仿宋_GB2312" w:eastAsia="仿宋_GB2312"/>
                <w:sz w:val="21"/>
              </w:rPr>
              <w:t>90日历天</w:t>
            </w:r>
          </w:p>
          <w:p>
            <w:pPr>
              <w:pStyle w:val="null3"/>
              <w:spacing w:after="120"/>
              <w:ind w:firstLine="640"/>
              <w:jc w:val="both"/>
            </w:pPr>
            <w:r>
              <w:rPr>
                <w:rFonts w:ascii="仿宋_GB2312" w:hAnsi="仿宋_GB2312" w:cs="仿宋_GB2312" w:eastAsia="仿宋_GB2312"/>
                <w:sz w:val="21"/>
              </w:rPr>
              <w:t>质保期：竣工验收合格后一年</w:t>
            </w:r>
          </w:p>
          <w:p>
            <w:pPr>
              <w:pStyle w:val="null3"/>
              <w:jc w:val="left"/>
            </w:pPr>
            <w:r>
              <w:rPr>
                <w:rFonts w:ascii="仿宋_GB2312" w:hAnsi="仿宋_GB2312" w:cs="仿宋_GB2312" w:eastAsia="仿宋_GB2312"/>
                <w:sz w:val="21"/>
                <w:b/>
              </w:rPr>
              <w:t>二、编制依据：</w:t>
            </w:r>
          </w:p>
          <w:p>
            <w:pPr>
              <w:pStyle w:val="null3"/>
              <w:jc w:val="both"/>
            </w:pPr>
            <w:r>
              <w:rPr>
                <w:rFonts w:ascii="仿宋_GB2312" w:hAnsi="仿宋_GB2312" w:cs="仿宋_GB2312" w:eastAsia="仿宋_GB2312"/>
                <w:sz w:val="21"/>
              </w:rPr>
              <w:t xml:space="preserve">      费用规则等计价依据的通知:</w:t>
            </w:r>
          </w:p>
          <w:p>
            <w:pPr>
              <w:pStyle w:val="null3"/>
            </w:pPr>
            <w:r>
              <w:rPr>
                <w:rFonts w:ascii="仿宋_GB2312" w:hAnsi="仿宋_GB2312" w:cs="仿宋_GB2312" w:eastAsia="仿宋_GB2312"/>
                <w:sz w:val="21"/>
              </w:rPr>
              <w:t xml:space="preserve">      1.陕西省住房和城乡建设厅关于印发2025陕西省建设工程费用规则等计价依据的通知；</w:t>
            </w:r>
          </w:p>
          <w:p>
            <w:pPr>
              <w:pStyle w:val="null3"/>
            </w:pPr>
            <w:r>
              <w:rPr>
                <w:rFonts w:ascii="仿宋_GB2312" w:hAnsi="仿宋_GB2312" w:cs="仿宋_GB2312" w:eastAsia="仿宋_GB2312"/>
                <w:sz w:val="21"/>
              </w:rPr>
              <w:t xml:space="preserve">      2.《建设工程工程量清单计价标准》(DB61/T5126-2025);</w:t>
            </w:r>
          </w:p>
          <w:p>
            <w:pPr>
              <w:pStyle w:val="null3"/>
            </w:pPr>
            <w:r>
              <w:rPr>
                <w:rFonts w:ascii="仿宋_GB2312" w:hAnsi="仿宋_GB2312" w:cs="仿宋_GB2312" w:eastAsia="仿宋_GB2312"/>
                <w:sz w:val="21"/>
              </w:rPr>
              <w:t xml:space="preserve">      3.《陕西省建设工程费用规则》(2025);</w:t>
            </w:r>
          </w:p>
          <w:p>
            <w:pPr>
              <w:pStyle w:val="null3"/>
            </w:pPr>
            <w:r>
              <w:rPr>
                <w:rFonts w:ascii="仿宋_GB2312" w:hAnsi="仿宋_GB2312" w:cs="仿宋_GB2312" w:eastAsia="仿宋_GB2312"/>
                <w:sz w:val="21"/>
              </w:rPr>
              <w:t xml:space="preserve">      4.《陕西省房屋建筑与装饰工程基价表》(2025);</w:t>
            </w:r>
          </w:p>
          <w:p>
            <w:pPr>
              <w:pStyle w:val="null3"/>
            </w:pPr>
            <w:r>
              <w:rPr>
                <w:rFonts w:ascii="仿宋_GB2312" w:hAnsi="仿宋_GB2312" w:cs="仿宋_GB2312" w:eastAsia="仿宋_GB2312"/>
                <w:sz w:val="21"/>
              </w:rPr>
              <w:t xml:space="preserve">      5.《陕西省通用安装工程基价表》(2025);</w:t>
            </w:r>
          </w:p>
          <w:p>
            <w:pPr>
              <w:pStyle w:val="null3"/>
            </w:pPr>
            <w:r>
              <w:rPr>
                <w:rFonts w:ascii="仿宋_GB2312" w:hAnsi="仿宋_GB2312" w:cs="仿宋_GB2312" w:eastAsia="仿宋_GB2312"/>
                <w:sz w:val="21"/>
              </w:rPr>
              <w:t xml:space="preserve">      6.项目施工图;</w:t>
            </w:r>
          </w:p>
          <w:p>
            <w:pPr>
              <w:pStyle w:val="null3"/>
            </w:pPr>
            <w:r>
              <w:rPr>
                <w:rFonts w:ascii="仿宋_GB2312" w:hAnsi="仿宋_GB2312" w:cs="仿宋_GB2312" w:eastAsia="仿宋_GB2312"/>
                <w:sz w:val="21"/>
              </w:rPr>
              <w:t xml:space="preserve">      7.设计说明、设计答疑、相关的标准图集、技术标准、施工</w:t>
            </w:r>
            <w:r>
              <w:rPr>
                <w:rFonts w:ascii="仿宋_GB2312" w:hAnsi="仿宋_GB2312" w:cs="仿宋_GB2312" w:eastAsia="仿宋_GB2312"/>
                <w:sz w:val="21"/>
              </w:rPr>
              <w:t>及验收规范等。</w:t>
            </w:r>
          </w:p>
          <w:p>
            <w:pPr>
              <w:pStyle w:val="null3"/>
            </w:pPr>
            <w:r>
              <w:rPr>
                <w:rFonts w:ascii="仿宋_GB2312" w:hAnsi="仿宋_GB2312" w:cs="仿宋_GB2312" w:eastAsia="仿宋_GB2312"/>
                <w:sz w:val="21"/>
              </w:rPr>
              <w:t>三、编制范围</w:t>
            </w:r>
          </w:p>
          <w:p>
            <w:pPr>
              <w:pStyle w:val="null3"/>
            </w:pPr>
            <w:r>
              <w:rPr>
                <w:rFonts w:ascii="仿宋_GB2312" w:hAnsi="仿宋_GB2312" w:cs="仿宋_GB2312" w:eastAsia="仿宋_GB2312"/>
                <w:sz w:val="21"/>
              </w:rPr>
              <w:t xml:space="preserve">  本次编制范围施工图纸所包含的全部工程内容。</w:t>
            </w:r>
          </w:p>
          <w:p>
            <w:pPr>
              <w:pStyle w:val="null3"/>
            </w:pPr>
            <w:r>
              <w:rPr>
                <w:rFonts w:ascii="仿宋_GB2312" w:hAnsi="仿宋_GB2312" w:cs="仿宋_GB2312" w:eastAsia="仿宋_GB2312"/>
                <w:sz w:val="21"/>
              </w:rPr>
              <w:t>四、计价说明</w:t>
            </w:r>
          </w:p>
          <w:p>
            <w:pPr>
              <w:pStyle w:val="null3"/>
            </w:pPr>
            <w:r>
              <w:rPr>
                <w:rFonts w:ascii="仿宋_GB2312" w:hAnsi="仿宋_GB2312" w:cs="仿宋_GB2312" w:eastAsia="仿宋_GB2312"/>
                <w:sz w:val="21"/>
              </w:rPr>
              <w:t xml:space="preserve">      1.计价方式:采用工程量清单综合单价计价，综合单价包含人工费、材料费、施工机具使用费、管理费、利润、风险费等全部费用。</w:t>
            </w:r>
          </w:p>
          <w:p>
            <w:pPr>
              <w:pStyle w:val="null3"/>
            </w:pPr>
            <w:r>
              <w:rPr>
                <w:rFonts w:ascii="仿宋_GB2312" w:hAnsi="仿宋_GB2312" w:cs="仿宋_GB2312" w:eastAsia="仿宋_GB2312"/>
                <w:sz w:val="21"/>
              </w:rPr>
              <w:t xml:space="preserve">      2.主要材料价格执行《渭南市工程造价信息》2026年第1期信息价并参考市场价计取。</w:t>
            </w:r>
          </w:p>
          <w:p>
            <w:pPr>
              <w:pStyle w:val="null3"/>
            </w:pPr>
            <w:r>
              <w:rPr>
                <w:rFonts w:ascii="仿宋_GB2312" w:hAnsi="仿宋_GB2312" w:cs="仿宋_GB2312" w:eastAsia="仿宋_GB2312"/>
                <w:sz w:val="21"/>
              </w:rPr>
              <w:t>五、其他说明</w:t>
            </w:r>
          </w:p>
          <w:p>
            <w:pPr>
              <w:pStyle w:val="null3"/>
            </w:pPr>
            <w:r>
              <w:rPr>
                <w:rFonts w:ascii="仿宋_GB2312" w:hAnsi="仿宋_GB2312" w:cs="仿宋_GB2312" w:eastAsia="仿宋_GB2312"/>
                <w:sz w:val="21"/>
              </w:rPr>
              <w:t xml:space="preserve">     1.本工程造价为含增值税造价。</w:t>
            </w:r>
          </w:p>
          <w:p>
            <w:pPr>
              <w:pStyle w:val="null3"/>
            </w:pPr>
            <w:r>
              <w:rPr>
                <w:rFonts w:ascii="仿宋_GB2312" w:hAnsi="仿宋_GB2312" w:cs="仿宋_GB2312" w:eastAsia="仿宋_GB2312"/>
                <w:sz w:val="21"/>
              </w:rPr>
              <w:t xml:space="preserve">     2.编制软件采用广联达云计价平台GCCP7.0，版本:7.5000.23.2，计税方式:增值税(一般计税方法)。</w:t>
            </w:r>
          </w:p>
          <w:p>
            <w:pPr>
              <w:pStyle w:val="null3"/>
            </w:pPr>
            <w:r>
              <w:rPr>
                <w:rFonts w:ascii="仿宋_GB2312" w:hAnsi="仿宋_GB2312" w:cs="仿宋_GB2312" w:eastAsia="仿宋_GB2312"/>
                <w:sz w:val="21"/>
              </w:rPr>
              <w:t xml:space="preserve">     3.暂估价:装配式不锈钢消防水箱(有效容积:245m3)共2台，按147500.00元/台计算，合计295000.00元。</w:t>
            </w:r>
          </w:p>
          <w:p>
            <w:pPr>
              <w:pStyle w:val="null3"/>
              <w:ind w:firstLine="640"/>
              <w:jc w:val="left"/>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符合采购要求，且必须达到国家及行业现行技术规范标准，符合国家及行业验收合格标准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1、供应商应保证其提供的资料真实有效。 2、中标（成交）供应商在领取中标（成交）通知书时提供一正两副纸质投标文件（与电子投标文件一致的签字、盖章的完整版本），纸质投标文件采用书籍（胶装）方式装订成册。 3、若采用保函形式缴纳保证金的供应商，需在文件递交截止之日前，将保函原件扫描件发送至代理公司邮箱2268936619@qq.com。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技术方案.docx 供应商应提供的资格证明文件材料.docx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供应商应提供的资格证明文件材料.docx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供应商应提供的资格证明文件材料.docx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tc>
        <w:tc>
          <w:tcPr>
            <w:tcW w:type="dxa" w:w="1661"/>
          </w:tcPr>
          <w:p>
            <w:pPr>
              <w:pStyle w:val="null3"/>
            </w:pPr>
            <w:r>
              <w:rPr>
                <w:rFonts w:ascii="仿宋_GB2312" w:hAnsi="仿宋_GB2312" w:cs="仿宋_GB2312" w:eastAsia="仿宋_GB2312"/>
              </w:rPr>
              <w:t>供应商应提供的资格证明文件材料.docx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合法授权</w:t>
            </w:r>
          </w:p>
        </w:tc>
        <w:tc>
          <w:tcPr>
            <w:tcW w:type="dxa" w:w="3322"/>
          </w:tcPr>
          <w:p>
            <w:pPr>
              <w:pStyle w:val="null3"/>
            </w:pPr>
            <w:r>
              <w:rPr>
                <w:rFonts w:ascii="仿宋_GB2312" w:hAnsi="仿宋_GB2312" w:cs="仿宋_GB2312" w:eastAsia="仿宋_GB2312"/>
              </w:rPr>
              <w:t>法定代表人被授权人参加的，须出具授权书（附法定代表人、被授权人身份证复印件）及被授权人在本单位证明（提供开标前三个月内任一月在本单位的社保缴纳记录）；法定代表人参加的需提供法人身份证明书；</w:t>
            </w:r>
          </w:p>
        </w:tc>
        <w:tc>
          <w:tcPr>
            <w:tcW w:type="dxa" w:w="1661"/>
          </w:tcPr>
          <w:p>
            <w:pPr>
              <w:pStyle w:val="null3"/>
            </w:pPr>
            <w:r>
              <w:rPr>
                <w:rFonts w:ascii="仿宋_GB2312" w:hAnsi="仿宋_GB2312" w:cs="仿宋_GB2312" w:eastAsia="仿宋_GB2312"/>
              </w:rPr>
              <w:t>供应商应提供的资格证明文件材料.docx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提供参加政府采购活动前三年内在经营活动中没有重大违法记录的书面声明（格式自拟，加盖供应商公章）</w:t>
            </w:r>
          </w:p>
        </w:tc>
        <w:tc>
          <w:tcPr>
            <w:tcW w:type="dxa" w:w="1661"/>
          </w:tcPr>
          <w:p>
            <w:pPr>
              <w:pStyle w:val="null3"/>
            </w:pPr>
            <w:r>
              <w:rPr>
                <w:rFonts w:ascii="仿宋_GB2312" w:hAnsi="仿宋_GB2312" w:cs="仿宋_GB2312" w:eastAsia="仿宋_GB2312"/>
              </w:rPr>
              <w:t>供应商应提供的资格证明文件材料.docx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具有履行本合同所必需的设备和专业技术能力的说明或承诺</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提供具有履行本合同所必需的设备和专业技术能力的说明或承诺（格式自拟，加盖供应商公章）。</w:t>
            </w:r>
          </w:p>
        </w:tc>
        <w:tc>
          <w:tcPr>
            <w:tcW w:type="dxa" w:w="1661"/>
          </w:tcPr>
          <w:p>
            <w:pPr>
              <w:pStyle w:val="null3"/>
            </w:pPr>
            <w:r>
              <w:rPr>
                <w:rFonts w:ascii="仿宋_GB2312" w:hAnsi="仿宋_GB2312" w:cs="仿宋_GB2312" w:eastAsia="仿宋_GB2312"/>
              </w:rPr>
              <w:t>供应商应提供的资格证明文件材料.docx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投标供应商不得被“信用中国”（www.creditchina.gov.cn ）列入重大税收违法失信主体；不 得被“中国执行信息公开网”（www.zxgk.court.gov.cn ）列入失信被执行人名单；不得被“中国政府采购网”（www.ccgp.gov.cn ）列入政府采购严重违法失信行为记录名单；</w:t>
            </w:r>
          </w:p>
        </w:tc>
        <w:tc>
          <w:tcPr>
            <w:tcW w:type="dxa" w:w="1661"/>
          </w:tcPr>
          <w:p>
            <w:pPr>
              <w:pStyle w:val="null3"/>
            </w:pPr>
            <w:r>
              <w:rPr>
                <w:rFonts w:ascii="仿宋_GB2312" w:hAnsi="仿宋_GB2312" w:cs="仿宋_GB2312" w:eastAsia="仿宋_GB2312"/>
              </w:rPr>
              <w:t>供应商应提供的资格证明文件材料.docx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单位负责人为同一人或者存在直接控股、管理关系的不同投标供应商， 不得参加同一合同项下的政府采购活动；</w:t>
            </w:r>
          </w:p>
        </w:tc>
        <w:tc>
          <w:tcPr>
            <w:tcW w:type="dxa" w:w="1661"/>
          </w:tcPr>
          <w:p>
            <w:pPr>
              <w:pStyle w:val="null3"/>
            </w:pPr>
            <w:r>
              <w:rPr>
                <w:rFonts w:ascii="仿宋_GB2312" w:hAnsi="仿宋_GB2312" w:cs="仿宋_GB2312" w:eastAsia="仿宋_GB2312"/>
              </w:rPr>
              <w:t>供应商应提供的资格证明文件材料.docx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供应商须具备提供消防设施工程专业承包二级及以上资质，且具备有效的安全生产许可证；</w:t>
            </w:r>
          </w:p>
        </w:tc>
        <w:tc>
          <w:tcPr>
            <w:tcW w:type="dxa" w:w="1661"/>
          </w:tcPr>
          <w:p>
            <w:pPr>
              <w:pStyle w:val="null3"/>
            </w:pPr>
            <w:r>
              <w:rPr>
                <w:rFonts w:ascii="仿宋_GB2312" w:hAnsi="仿宋_GB2312" w:cs="仿宋_GB2312" w:eastAsia="仿宋_GB2312"/>
              </w:rPr>
              <w:t>供应商应提供的资格证明文件材料.docx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项目经理须具备机电工程专业二级及以上注册建造师证书，有效的安全生产考核合格证书（B证），提供无在建项目承诺；</w:t>
            </w:r>
          </w:p>
        </w:tc>
        <w:tc>
          <w:tcPr>
            <w:tcW w:type="dxa" w:w="1661"/>
          </w:tcPr>
          <w:p>
            <w:pPr>
              <w:pStyle w:val="null3"/>
            </w:pPr>
            <w:r>
              <w:rPr>
                <w:rFonts w:ascii="仿宋_GB2312" w:hAnsi="仿宋_GB2312" w:cs="仿宋_GB2312" w:eastAsia="仿宋_GB2312"/>
              </w:rPr>
              <w:t>供应商应提供的资格证明文件材料.docx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磋商保证金缴纳凭证</w:t>
            </w:r>
          </w:p>
        </w:tc>
        <w:tc>
          <w:tcPr>
            <w:tcW w:type="dxa" w:w="1661"/>
          </w:tcPr>
          <w:p>
            <w:pPr>
              <w:pStyle w:val="null3"/>
            </w:pPr>
            <w:r>
              <w:rPr>
                <w:rFonts w:ascii="仿宋_GB2312" w:hAnsi="仿宋_GB2312" w:cs="仿宋_GB2312" w:eastAsia="仿宋_GB2312"/>
              </w:rPr>
              <w:t>供应商应提供的资格证明文件材料.docx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技术方案.docx 已标价工程量清单 供应商应提供的资格证明文件材料.docx 中小企业声明函 技术服务合同条款及其他商务要求应答表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技术方案.docx 已标价工程量清单 供应商应提供的资格证明文件材料.docx 中小企业声明函 技术服务合同条款及其他商务要求应答表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技术方案.docx 已标价工程量清单 供应商应提供的资格证明文件材料.docx 中小企业声明函 技术服务合同条款及其他商务要求应答表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技术方案.docx 已标价工程量清单 供应商应提供的资格证明文件材料.docx 中小企业声明函 技术服务合同条款及其他商务要求应答表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存在其他违反法律法规、磋商文件相关规定情形的，评标委员会有权否决其投标</w:t>
            </w:r>
          </w:p>
        </w:tc>
        <w:tc>
          <w:tcPr>
            <w:tcW w:type="dxa" w:w="1661"/>
          </w:tcPr>
          <w:p>
            <w:pPr>
              <w:pStyle w:val="null3"/>
            </w:pPr>
            <w:r>
              <w:rPr>
                <w:rFonts w:ascii="仿宋_GB2312" w:hAnsi="仿宋_GB2312" w:cs="仿宋_GB2312" w:eastAsia="仿宋_GB2312"/>
              </w:rPr>
              <w:t>技术方案.docx 已标价工程量清单 供应商应提供的资格证明文件材料.docx 中小企业声明函 技术服务合同条款及其他商务要求应答表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评审得分相同的，按照最后报价由低到高的顺序推荐。评审得分且最后报价相同的，按照技术指标优劣顺序推荐。评审得分且最后报价且技术指标得分均相同的，成交候选供应商由磋商小组成员无记名投票决定。</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评审内容: 内容至少包括①施工总平面布置;②施工目标:安全目标、工期目标、质量目标;③资源配备计划:主要施工机械设备、劳动力等配备计划;评审标准: 1.完整性:响应全面，对评审内容中的各项要求有详细描述:2.可实施性:内容科学，步骤清晰、合理，可实施性强:3.针对性:能够紧扣项目实际情况，满足具体要求。 赋分标准(12分): ①每一项评审内容完全满足评审标准得4分;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 内容至少包括①施工准备;②施工方法及相关技术措施;③重点难点工程分析及解决措施。评审标准: 1.完整性:响应全面，对评审内容中的各项要求有详细描述:2.可实施性:内容科学，步骤清晰、合理，可实施性强;3.针对性:能够紧扣项目实际情况，满足具体要求。 赋分标准(12分): ①每一项评审内容完全满足评审标准得4分;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评审内容： 内容至少包括①施工进度计划；②工期保障措施。 评审标准： 1.完整性：响应全面，对评审内容中的各项要求有详细描述； 2.可实施性：内容科学，步骤清晰、合理，可实施性强； 3.针对性：能够紧扣项目实际情况，满足具体要求。 赋分标准（6分）：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 技术组织措施</w:t>
            </w:r>
          </w:p>
        </w:tc>
        <w:tc>
          <w:tcPr>
            <w:tcW w:type="dxa" w:w="2492"/>
          </w:tcPr>
          <w:p>
            <w:pPr>
              <w:pStyle w:val="null3"/>
            </w:pPr>
            <w:r>
              <w:rPr>
                <w:rFonts w:ascii="仿宋_GB2312" w:hAnsi="仿宋_GB2312" w:cs="仿宋_GB2312" w:eastAsia="仿宋_GB2312"/>
              </w:rPr>
              <w:t>评审内容： 内容至少包括①质量管理体系；②施工质量保障措施。 评审标准： 1.完整性：响应全面，对评审内容中的各项要求有详细描述； 2.可实施性：内容科学，步骤清晰、合理，可实施性强； 3.针对性：能够紧扣项目实际情况，满足具体要求。 赋分标准（8分）： ①每一项评审内容完全满足评审标准得4分；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评审内容： 内容至少包括①安全生产管理制度②安全施工措施③安全应急预案④安全生产教育。 评审标准： 1.完整性：响应全面，对评审内容中的各项要求有详细描述； 2.可实施性：内容科学，步骤清晰、合理，可实施性强； 3.针对性：能够紧扣项目实际情况，满足具体要求。 赋分标准（8分）： ①每一项评审内容完全满足评审标准得2分；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评审内容： 内容至少包括①文明施工管理及保障措施；②防尘降噪措施；③环境保护管理及保障措施。 评审标准： 1.完整性：响应全面，对评审内容中的各项要求有详细描述； 2.可实施性：内容科学，步骤清晰、合理，可实施性强； 3.针对性：能够紧扣项目实际情况，满足具体要求。 赋分标准（ 9分）：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评审内容： 供应商针对本项目编制科学的项目管理机构，内容包含:①管理机构组织图②组织机构的岗位职责③项目管理机构人员配备情况。 评审标准： 1.完整性：响应全面，对评审内容中的各项要求有详细描述； 2.可实施性：内容科学，步骤清晰、合理，可实施性强； 3.针对性：能够紧扣项目实际情况，满足具体要求。 赋分标准（6分）： ①每一项评审内容完全满足评审标准得2分；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 年 1 月 1 日以来同类项目业绩。以合同签订日期为准，提供完整证明资料复印件加盖公章，每提供一份得 3分，资料不完整不得分，满分 9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价格分应当采用低价优先法计算，即满足磋商文件要求且磋商报价最低的报价为评标基准价，其价格分为满分。其他供应商的价格分统一按照下列公式计算： 磋商报价得分=(评标基准价／有效磋商报价)×价格权值×100 注：1.计算分数时四舍五入取小数点后两位。 2.因本项目为专门面向中小企业采购的项目，故不再执行价格评审优惠的扶持政策。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详见附件：供应商应提供的资格证明文件材料.docx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