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版本号：KFZB202605270220260603001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小金街办炮岭村产业园提升项目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KFZB2026052702</w:t>
      </w:r>
      <w:r>
        <w:br/>
      </w:r>
      <w:r>
        <w:br/>
      </w:r>
      <w:r>
        <w:br/>
      </w:r>
    </w:p>
    <w:p>
      <w:pPr>
        <w:pStyle w:val="null3"/>
        <w:jc w:val="center"/>
        <w:outlineLvl w:val="2"/>
      </w:pPr>
      <w:r>
        <w:rPr>
          <w:rFonts w:ascii="仿宋_GB2312" w:hAnsi="仿宋_GB2312" w:cs="仿宋_GB2312" w:eastAsia="仿宋_GB2312"/>
          <w:sz w:val="28"/>
          <w:b/>
        </w:rPr>
        <w:t>西安市临潼区小金街道办事处</w:t>
      </w:r>
    </w:p>
    <w:p>
      <w:pPr>
        <w:pStyle w:val="null3"/>
        <w:jc w:val="center"/>
        <w:outlineLvl w:val="2"/>
      </w:pPr>
      <w:r>
        <w:rPr>
          <w:rFonts w:ascii="仿宋_GB2312" w:hAnsi="仿宋_GB2312" w:cs="仿宋_GB2312" w:eastAsia="仿宋_GB2312"/>
          <w:sz w:val="28"/>
          <w:b/>
        </w:rPr>
        <w:t>陕西康丰建设项目管理有限公司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陕西康丰建设项目管理有限公司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西安市临潼区小金街道办事处</w:t>
      </w:r>
      <w:r>
        <w:rPr>
          <w:rFonts w:ascii="仿宋_GB2312" w:hAnsi="仿宋_GB2312" w:cs="仿宋_GB2312" w:eastAsia="仿宋_GB2312"/>
        </w:rPr>
        <w:t>委托，拟对</w:t>
      </w:r>
      <w:r>
        <w:rPr>
          <w:rFonts w:ascii="仿宋_GB2312" w:hAnsi="仿宋_GB2312" w:cs="仿宋_GB2312" w:eastAsia="仿宋_GB2312"/>
        </w:rPr>
        <w:t>小金街办炮岭村产业园提升项目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KFZB2026052702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小金街办炮岭村产业园提升项目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金街办炮岭村产业园提升项目，园区内铺设75PE管道749米，50PE管道823米，安装阀门14个，DE20绿地灌溉管线安装9854.65米，铺设DN300波纹管281米，铺设DN400波纹管155米，防草布铺设9761.22平方米，安装水肥一体化设备一套，总投资约68.9万 。详见工程量清单。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采购包1（小金街办炮岭村产业园提升项目）：属于专门面向中小企业采购。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w:t>
      </w:r>
    </w:p>
    <w:p>
      <w:pPr>
        <w:pStyle w:val="null3"/>
      </w:pPr>
      <w:r>
        <w:rPr>
          <w:rFonts w:ascii="仿宋_GB2312" w:hAnsi="仿宋_GB2312" w:cs="仿宋_GB2312" w:eastAsia="仿宋_GB2312"/>
        </w:rPr>
        <w:t>2、法定代表人授权委托书：供应商代表应提供法定代表人授权委托书（附法定代表人及被授权人身份证复印件或扫描件），法定代表人直接参加投标须提供法定代表人身份证明书及身份证复印件或扫描件:</w:t>
      </w:r>
    </w:p>
    <w:p>
      <w:pPr>
        <w:pStyle w:val="null3"/>
      </w:pPr>
      <w:r>
        <w:rPr>
          <w:rFonts w:ascii="仿宋_GB2312" w:hAnsi="仿宋_GB2312" w:cs="仿宋_GB2312" w:eastAsia="仿宋_GB2312"/>
        </w:rPr>
        <w:t>3、供应商资质：供应商须具备建设行政主管部门颁发的建筑工程或市政公用工程施工总承包三级(含三级)以上资质，并具有有效的安全生产许可证:</w:t>
      </w:r>
    </w:p>
    <w:p>
      <w:pPr>
        <w:pStyle w:val="null3"/>
      </w:pPr>
      <w:r>
        <w:rPr>
          <w:rFonts w:ascii="仿宋_GB2312" w:hAnsi="仿宋_GB2312" w:cs="仿宋_GB2312" w:eastAsia="仿宋_GB2312"/>
        </w:rPr>
        <w:t>4、项目经理：拟派项目经理须具备建筑工程或市政公用工程专业二级(含二级)及以上注册建造师证书，具有有效的安全生产考核合格证书（安B），且在本单位注册，无在建工程；（提供无在建工程承诺书）</w:t>
      </w:r>
    </w:p>
    <w:p>
      <w:pPr>
        <w:pStyle w:val="null3"/>
      </w:pPr>
      <w:r>
        <w:rPr>
          <w:rFonts w:ascii="仿宋_GB2312" w:hAnsi="仿宋_GB2312" w:cs="仿宋_GB2312" w:eastAsia="仿宋_GB2312"/>
        </w:rPr>
        <w:t>5、财务状况报告：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p>
      <w:pPr>
        <w:pStyle w:val="null3"/>
      </w:pPr>
      <w:r>
        <w:rPr>
          <w:rFonts w:ascii="仿宋_GB2312" w:hAnsi="仿宋_GB2312" w:cs="仿宋_GB2312" w:eastAsia="仿宋_GB2312"/>
        </w:rPr>
        <w:t>6、税收缴纳证明：提供投标截止时间前6个月内任意一个月的纳税证明或完税证明，依法免税的单位应提供相关证明材料；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8、参加政府采购活动前三年内，在经营活动中没有重大违法记录的书面声明：参加政府采购活动前三年内，在经营活动中没有重大违法记录的书面声明；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9、履行合同所必需的设备和专业技术能力的书面声明：履行合同所必需的设备和专业技术能力的书面声明;</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西安市临潼区小金街道办事处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陕西省西安市临潼区小金街1号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魏才广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13659281560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陕西康丰建设项目管理有限公司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陕西省西安市临潼区陕西省西安市临潼区西关正街铁一处小区6号楼1单元北侧一楼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田元香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17791292671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采购包1：688,994.99元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发改委“计价格[2002]1980号文”“发改办价格(2003)857号文”和“发改价格[2011]534号《国家发展和改革委员会关于降低部分建设项目收费标准规范收费行为等有关问题的通知》”差额定率累进法计算收取代理报酬。代理报酬不足5000元的按5000元计取。 2、工程造价咨询费以中标价为基数参照“陕价行发(2014)88号文《关于我省工程造价咨询服务收费管理有关问题的通知》”差额定率累进法计算收取代理报酬。工程造价咨询服务收费额低于2000元时，按2000元收费。 3、招标代理服务费、工程造价咨询费等由中标人支付，在《中标通知书》发出前，由中标人采用现金、转账或汇款方式一次性支付给采购代理机构。 招标代理服务费、工程造价咨询费等指定银行账户 户 名：陕西康丰建设项目管理有限公司 开户行：中国工商银行股份有限公司西安临潼区支行 账 号：3700029209200068450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西安市临潼区小金街道办事处</w:t>
      </w:r>
      <w:r>
        <w:rPr>
          <w:rFonts w:ascii="仿宋_GB2312" w:hAnsi="仿宋_GB2312" w:cs="仿宋_GB2312" w:eastAsia="仿宋_GB2312"/>
        </w:rPr>
        <w:t>和</w:t>
      </w:r>
      <w:r>
        <w:rPr>
          <w:rFonts w:ascii="仿宋_GB2312" w:hAnsi="仿宋_GB2312" w:cs="仿宋_GB2312" w:eastAsia="仿宋_GB2312"/>
        </w:rPr>
        <w:t>陕西康丰建设项目管理有限公司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西安市临潼区小金街道办事处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陕西康丰建设项目管理有限公司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西安市临潼区小金街道办事处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陕西康丰建设项目管理有限公司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联系人：田元香</w:t>
      </w:r>
    </w:p>
    <w:p>
      <w:pPr>
        <w:pStyle w:val="null3"/>
      </w:pPr>
      <w:r>
        <w:rPr>
          <w:rFonts w:ascii="仿宋_GB2312" w:hAnsi="仿宋_GB2312" w:cs="仿宋_GB2312" w:eastAsia="仿宋_GB2312"/>
        </w:rPr>
        <w:t>联系电话：17791292671</w:t>
      </w:r>
    </w:p>
    <w:p>
      <w:pPr>
        <w:pStyle w:val="null3"/>
      </w:pPr>
      <w:r>
        <w:rPr>
          <w:rFonts w:ascii="仿宋_GB2312" w:hAnsi="仿宋_GB2312" w:cs="仿宋_GB2312" w:eastAsia="仿宋_GB2312"/>
        </w:rPr>
        <w:t>地址：陕西省西安市临潼区西关正街铁一处小区6号楼1单元北侧一楼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688,994.99</w:t>
      </w:r>
    </w:p>
    <w:p>
      <w:pPr>
        <w:pStyle w:val="null3"/>
      </w:pPr>
      <w:r>
        <w:rPr>
          <w:rFonts w:ascii="仿宋_GB2312" w:hAnsi="仿宋_GB2312" w:cs="仿宋_GB2312" w:eastAsia="仿宋_GB2312"/>
        </w:rPr>
        <w:t>采购包最高限价（元）: 688,994.99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小金街办炮岭村产业园提升项目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688,994.99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标的名称：小金街办炮岭村产业园提升项目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项目名称：小金街办炮岭村产业园提升项目</w:t>
            </w:r>
            <w:r>
              <w:br/>
            </w:r>
            <w:r>
              <w:rPr>
                <w:rFonts w:ascii="仿宋_GB2312" w:hAnsi="仿宋_GB2312" w:cs="仿宋_GB2312" w:eastAsia="仿宋_GB2312"/>
              </w:rPr>
              <w:t xml:space="preserve"> 工程内容：小金街办炮岭村产业园提升项目，园区内铺设75PE管道749米，50PE管道823米，安装阀门14个，DE20绿地灌溉管线安装9854.65米，铺设DN300波纹管281米，铺设DN400波纹管155米，防草布铺设9761.22平方米，安装水肥一体化设备一套，总投资约68.9万。详见工程量清单。</w:t>
            </w:r>
            <w:r>
              <w:br/>
            </w:r>
            <w:r>
              <w:rPr>
                <w:rFonts w:ascii="仿宋_GB2312" w:hAnsi="仿宋_GB2312" w:cs="仿宋_GB2312" w:eastAsia="仿宋_GB2312"/>
              </w:rPr>
              <w:t xml:space="preserve"> 二、主要建设内容和施工地点、计划工期、质量标准</w:t>
            </w:r>
            <w:r>
              <w:br/>
            </w:r>
            <w:r>
              <w:rPr>
                <w:rFonts w:ascii="仿宋_GB2312" w:hAnsi="仿宋_GB2312" w:cs="仿宋_GB2312" w:eastAsia="仿宋_GB2312"/>
              </w:rPr>
              <w:t xml:space="preserve"> （一）主要建设内容：小金街办炮岭村产业园提升项目，园区内铺设75PE管道749米，50PE管道823米，安装阀门14个，DE20绿地灌溉管线安装9854.65米，铺设DN300波纹管281米，铺设DN400波纹管155米，防草布铺设9761.22平方米，安装水肥一体化设备一套，总投资约68.9万。详见工程量清单。</w:t>
            </w:r>
            <w:r>
              <w:br/>
            </w:r>
            <w:r>
              <w:rPr>
                <w:rFonts w:ascii="仿宋_GB2312" w:hAnsi="仿宋_GB2312" w:cs="仿宋_GB2312" w:eastAsia="仿宋_GB2312"/>
              </w:rPr>
              <w:t xml:space="preserve"> （二）施工地点：该项目位于西安市临潼区小金街办。</w:t>
            </w:r>
            <w:r>
              <w:br/>
            </w:r>
            <w:r>
              <w:rPr>
                <w:rFonts w:ascii="仿宋_GB2312" w:hAnsi="仿宋_GB2312" w:cs="仿宋_GB2312" w:eastAsia="仿宋_GB2312"/>
              </w:rPr>
              <w:t xml:space="preserve"> （三）计划工期：30日历天。</w:t>
            </w:r>
            <w:r>
              <w:br/>
            </w:r>
            <w:r>
              <w:rPr>
                <w:rFonts w:ascii="仿宋_GB2312" w:hAnsi="仿宋_GB2312" w:cs="仿宋_GB2312" w:eastAsia="仿宋_GB2312"/>
              </w:rPr>
              <w:t xml:space="preserve"> （四）质量标准：达到国家现行施工质量验收规范“合格”标准。</w:t>
            </w:r>
            <w:r>
              <w:br/>
            </w:r>
            <w:r>
              <w:rPr>
                <w:rFonts w:ascii="仿宋_GB2312" w:hAnsi="仿宋_GB2312" w:cs="仿宋_GB2312" w:eastAsia="仿宋_GB2312"/>
              </w:rPr>
              <w:t xml:space="preserve"> 三、工程量清单</w:t>
            </w:r>
            <w:r>
              <w:br/>
            </w:r>
            <w:r>
              <w:rPr>
                <w:rFonts w:ascii="仿宋_GB2312" w:hAnsi="仿宋_GB2312" w:cs="仿宋_GB2312" w:eastAsia="仿宋_GB2312"/>
              </w:rPr>
              <w:t xml:space="preserve"> 详见工程量清单。</w:t>
            </w:r>
            <w:r>
              <w:br/>
            </w:r>
            <w:r>
              <w:rPr>
                <w:rFonts w:ascii="仿宋_GB2312" w:hAnsi="仿宋_GB2312" w:cs="仿宋_GB2312" w:eastAsia="仿宋_GB2312"/>
              </w:rPr>
              <w:t xml:space="preserve"> 四、商务要求</w:t>
            </w:r>
            <w:r>
              <w:br/>
            </w:r>
            <w:r>
              <w:rPr>
                <w:rFonts w:ascii="仿宋_GB2312" w:hAnsi="仿宋_GB2312" w:cs="仿宋_GB2312" w:eastAsia="仿宋_GB2312"/>
              </w:rPr>
              <w:t xml:space="preserve"> 1、工期：30日历天</w:t>
            </w:r>
            <w:r>
              <w:br/>
            </w:r>
            <w:r>
              <w:rPr>
                <w:rFonts w:ascii="仿宋_GB2312" w:hAnsi="仿宋_GB2312" w:cs="仿宋_GB2312" w:eastAsia="仿宋_GB2312"/>
              </w:rPr>
              <w:t xml:space="preserve"> 2、合同款项的结算：合同签订后，采购人7个工作日内向成交供应商支付合同价的30%作为工程预付款，竣工验收合格后15个工作日内支付至合同价的80%，决算审计后15个工作日内支付至竣工结算审定价的97%，质量保修期结束后15个工作日内，支付剩余合同价款。</w:t>
            </w:r>
            <w:r>
              <w:br/>
            </w:r>
            <w:r>
              <w:rPr>
                <w:rFonts w:ascii="仿宋_GB2312" w:hAnsi="仿宋_GB2312" w:cs="仿宋_GB2312" w:eastAsia="仿宋_GB2312"/>
              </w:rPr>
              <w:t xml:space="preserve"> 3、质量保修期：2年。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符合国家、省、市、行业现行标准及采购人要求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3.4.1 投标单位需要在线提交所有通过电子化交易平台实施的政府采购项目的投标文件， 同时，线下递交投标文件（线上提交导出的电子版打印并加盖鲜章），正本壹份、副本贰份，电子文件(U 盘)壹份，电子文件随正本密封，电子文件工程量清单为广联达版和PDF版。若线上电子投标文件与纸质投标文件不一致以电子投标文件为准，若正本和副本不符，以正本为准。线下递交时间同线上投标文件递交截止时间;线下递交文件地点：陕西康丰建设项目管理有限公司(临潼区西关正街铁一处小区6号楼1单元北侧一楼)。 3.4.2 报价为完成本项目招标文件中所提出的工作范围及要求的全部内容，并达到国家及采购人验收标准而产生的所有费用，包括但不限于人工费、管理费、交通费、住宿费、办 公费、招标代理服务费、利润、税金、风险、验收等完成本项目所需的全部费用。任何错报、漏报由投标单位自行负责。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供应商代表应提供法定代表人授权委托书（附法定代表人及被授权人身份证复印件或扫描件），法定代表人直接参加投标须提供法定代表人身份证明书及身份证复印件或扫描件: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供应商须具备建设行政主管部门颁发的建筑工程或市政公用工程施工总承包三级(含三级)以上资质，并具有有效的安全生产许可证: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拟派项目经理须具备建筑工程或市政公用工程专业二级(含二级)及以上注册建造师证书，具有有效的安全生产考核合格证书（安B），且在本单位注册，无在建工程；（提供无在建工程承诺书）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履行合同所必需的设备和专业技术能力的书面声明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即低于最高限价的80%），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（1）投标文件的签署盖章：均按招标文件要求签字、盖章。 （2）投标文件格式：符合“投标文件格式”的规定。 （3）报价唯一：只能有一个有效报价，不得提交选择性报价，且报价不超过招标文件规定的采购预算金额或最高限价。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主要人员简历表.docx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工期、质量、投标有效期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响应函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括但不限于施工组织总体部署完整性；重难点分析及应对措施的针对性；主要分部分项施工工艺及方法的先进性、合理性等，方案总体思路清晰、合理、可操作性强、可执行程度强，且能很好推动项目实施得7～10分（含）；方案总体思路基本明确、可行性、合理性较高得4～7分（不含7分，含4分）；方案思路模糊、可行性、合理性一般得0～4分（不含4分，不含0分），本项满分10分，缺项或只有标题无内容或内容有严重错误者，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包括但不限于质量管理体系的完整性、质量保证及质量目标的明确性、保证工程质量具体措施的针对性及可实施性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包括但不限于安全生产计划、环节控制措施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包括但不限于扬尘治理、降噪、排污、绿色施工、文明工地措施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人员配备在数量上和专业上满足施工要求，完善，横向比较在1～6分之间打分。 项目经理附有建造师注册证书、安全生产考核合格证书等证书扫描件或复印件，每附一个证得0.5分；项目经理有管理过项目业绩，每附一份合同协议书扫描件或复印件，得1分，最高得2分； 技术负责人、施工员、质量员、安全员、材料员、资料员等附有职称证或上岗证书等扫描件或复印件，每附一个人员证书得0.5分。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括但不限于关键节点工期计划、保证项目顺利完工的工期节点考核措施、工期承诺等；措施内容科学可行、有针对性且内容详细计5～6分（含），措施内容较为可行、针对性较强、内容较详细计3～5分（不含5分，含3分），措施内容一般、针对性不强、内容简单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施工机械设备和材料投入、劳动力安排计划</w:t>
            </w:r>
          </w:p>
        </w:tc>
        <w:tc>
          <w:tcPr>
            <w:tcW w:type="dxa" w:w="2492"/>
          </w:tcPr>
          <w:p>
            <w:pPr>
              <w:pStyle w:val="null3"/>
            </w:pPr>
            <w:r>
              <w:rPr>
                <w:rFonts w:ascii="仿宋_GB2312" w:hAnsi="仿宋_GB2312" w:cs="仿宋_GB2312" w:eastAsia="仿宋_GB2312"/>
              </w:rPr>
              <w:t>施工机械设备和材料投入、劳动力安排计划合理、齐全计5～6分（含），较合理、较齐全计3～5分（不含5分，含3分），合理性一般、不够齐全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网络图或施工进度表，网络图或进度表内容详尽、安排合理且实施性强，计3-4分（含），内容较详尽、安排较合理且实施性较强，计2-3分（不含3分，含2分），内容详尽程度一般、合理性不高且实施性不强，计0-2分（不含2分，不含0分），本项满分4分，缺项或只有标题无内容或内容有严重错误者，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提供相关维修服务及保修承诺，可行性和可信程度高计5～6分（含），可行性和可信程度较高计3～5分（不含5分，含3分），可行性和可信程度一般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业绩的有关证明材料</w:t>
            </w:r>
          </w:p>
        </w:tc>
        <w:tc>
          <w:tcPr>
            <w:tcW w:type="dxa" w:w="2492"/>
          </w:tcPr>
          <w:p>
            <w:pPr>
              <w:pStyle w:val="null3"/>
            </w:pPr>
            <w:r>
              <w:rPr>
                <w:rFonts w:ascii="仿宋_GB2312" w:hAnsi="仿宋_GB2312" w:cs="仿宋_GB2312" w:eastAsia="仿宋_GB2312"/>
              </w:rPr>
              <w:t>提供2023年1月1日至今的类似项目业绩（以施工合同签订时间或中标通知书发出时间为准）每个计2分，最高得8分。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价格分统一采用低价优先法计算，即满足磋商文件要求且价格最低的报价为评标基准价，其价格分为满分。其他供应商的价格分统一按照下列公式计算：报价得分=(评标基准价／投标报价)×30×100%， 计算分数时四舍五入取小数点后两位。 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