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5CF6A">
      <w:pPr>
        <w:rPr>
          <w:rFonts w:hint="eastAsia" w:ascii="仿宋" w:hAnsi="仿宋" w:eastAsia="仿宋" w:cs="仿宋"/>
          <w:b/>
          <w:bCs/>
          <w:sz w:val="30"/>
          <w:szCs w:val="30"/>
        </w:rPr>
      </w:pPr>
      <w:r>
        <w:rPr>
          <w:rFonts w:hint="eastAsia" w:ascii="仿宋" w:hAnsi="仿宋" w:eastAsia="仿宋" w:cs="仿宋"/>
          <w:b/>
          <w:bCs/>
          <w:sz w:val="30"/>
          <w:szCs w:val="30"/>
        </w:rPr>
        <w:t>合同编号：</w:t>
      </w:r>
    </w:p>
    <w:p w14:paraId="777CDFD7">
      <w:pPr>
        <w:pStyle w:val="9"/>
        <w:rPr>
          <w:rFonts w:hint="eastAsia" w:ascii="仿宋" w:hAnsi="仿宋" w:eastAsia="仿宋" w:cs="仿宋"/>
          <w:bCs/>
          <w:sz w:val="30"/>
          <w:szCs w:val="30"/>
        </w:rPr>
      </w:pPr>
    </w:p>
    <w:p w14:paraId="7852FC91">
      <w:pPr>
        <w:pStyle w:val="9"/>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 xml:space="preserve"> </w:t>
      </w:r>
    </w:p>
    <w:p w14:paraId="2663F783">
      <w:pPr>
        <w:pStyle w:val="9"/>
        <w:rPr>
          <w:rFonts w:hint="eastAsia" w:ascii="仿宋" w:hAnsi="仿宋" w:eastAsia="仿宋" w:cs="仿宋"/>
        </w:rPr>
      </w:pPr>
    </w:p>
    <w:p w14:paraId="7CA03F37">
      <w:pPr>
        <w:rPr>
          <w:rFonts w:hint="eastAsia" w:ascii="仿宋" w:hAnsi="仿宋" w:eastAsia="仿宋" w:cs="仿宋"/>
        </w:rPr>
      </w:pPr>
    </w:p>
    <w:p w14:paraId="7D0A6299">
      <w:pPr>
        <w:bidi w:val="0"/>
        <w:rPr>
          <w:rFonts w:hint="eastAsia"/>
        </w:rPr>
      </w:pPr>
    </w:p>
    <w:p w14:paraId="0310CEC1">
      <w:pPr>
        <w:rPr>
          <w:rFonts w:hint="eastAsia"/>
        </w:rPr>
      </w:pPr>
    </w:p>
    <w:p w14:paraId="6E5FB19D">
      <w:pPr>
        <w:jc w:val="center"/>
        <w:rPr>
          <w:rFonts w:hint="eastAsia" w:ascii="仿宋" w:hAnsi="仿宋" w:eastAsia="仿宋" w:cs="仿宋"/>
          <w:b/>
          <w:bCs/>
          <w:sz w:val="44"/>
          <w:szCs w:val="44"/>
        </w:rPr>
      </w:pPr>
      <w:r>
        <w:rPr>
          <w:rFonts w:hint="eastAsia" w:ascii="仿宋" w:hAnsi="仿宋" w:eastAsia="仿宋" w:cs="仿宋"/>
          <w:b/>
          <w:bCs/>
          <w:sz w:val="44"/>
          <w:szCs w:val="44"/>
          <w:u w:val="single"/>
        </w:rPr>
        <w:t xml:space="preserve">                           </w:t>
      </w:r>
      <w:r>
        <w:rPr>
          <w:rFonts w:hint="eastAsia" w:ascii="仿宋" w:hAnsi="仿宋" w:eastAsia="仿宋" w:cs="仿宋"/>
          <w:b/>
          <w:bCs/>
          <w:sz w:val="44"/>
          <w:szCs w:val="44"/>
        </w:rPr>
        <w:t>采购项目</w:t>
      </w:r>
    </w:p>
    <w:p w14:paraId="5A512F27">
      <w:pPr>
        <w:rPr>
          <w:rFonts w:hint="eastAsia" w:ascii="仿宋" w:hAnsi="仿宋" w:eastAsia="仿宋" w:cs="仿宋"/>
        </w:rPr>
      </w:pPr>
    </w:p>
    <w:p w14:paraId="23EAB883">
      <w:pPr>
        <w:rPr>
          <w:rFonts w:hint="eastAsia" w:ascii="仿宋" w:hAnsi="仿宋" w:eastAsia="仿宋" w:cs="仿宋"/>
        </w:rPr>
      </w:pPr>
    </w:p>
    <w:p w14:paraId="732FFECB">
      <w:pPr>
        <w:bidi w:val="0"/>
        <w:rPr>
          <w:rFonts w:hint="eastAsia"/>
        </w:rPr>
      </w:pPr>
    </w:p>
    <w:p w14:paraId="4B777086">
      <w:pPr>
        <w:pStyle w:val="9"/>
        <w:rPr>
          <w:rFonts w:hint="eastAsia" w:ascii="仿宋" w:hAnsi="仿宋" w:eastAsia="仿宋" w:cs="仿宋"/>
        </w:rPr>
      </w:pPr>
    </w:p>
    <w:p w14:paraId="14BA12F5">
      <w:pPr>
        <w:rPr>
          <w:rFonts w:hint="eastAsia" w:ascii="仿宋" w:hAnsi="仿宋" w:eastAsia="仿宋" w:cs="仿宋"/>
        </w:rPr>
      </w:pPr>
    </w:p>
    <w:p w14:paraId="49DC4321">
      <w:pPr>
        <w:rPr>
          <w:rFonts w:hint="eastAsia" w:ascii="仿宋" w:hAnsi="仿宋" w:eastAsia="仿宋" w:cs="仿宋"/>
        </w:rPr>
      </w:pPr>
    </w:p>
    <w:p w14:paraId="5E8D90DF">
      <w:pPr>
        <w:jc w:val="center"/>
        <w:rPr>
          <w:rFonts w:hint="eastAsia" w:ascii="仿宋" w:hAnsi="仿宋" w:eastAsia="仿宋" w:cs="仿宋"/>
          <w:b/>
          <w:sz w:val="36"/>
          <w:szCs w:val="36"/>
        </w:rPr>
      </w:pPr>
      <w:r>
        <w:rPr>
          <w:rFonts w:hint="eastAsia" w:ascii="仿宋" w:hAnsi="仿宋" w:eastAsia="仿宋" w:cs="仿宋"/>
          <w:b/>
          <w:sz w:val="36"/>
          <w:szCs w:val="36"/>
        </w:rPr>
        <w:t>（示范文本仅供参考）</w:t>
      </w:r>
    </w:p>
    <w:p w14:paraId="671ADF9A">
      <w:pPr>
        <w:jc w:val="center"/>
        <w:rPr>
          <w:rFonts w:hint="eastAsia" w:ascii="仿宋" w:hAnsi="仿宋" w:eastAsia="仿宋" w:cs="仿宋"/>
          <w:b/>
          <w:sz w:val="36"/>
          <w:szCs w:val="36"/>
        </w:rPr>
      </w:pPr>
    </w:p>
    <w:p w14:paraId="2C316586">
      <w:pPr>
        <w:jc w:val="both"/>
        <w:rPr>
          <w:rFonts w:hint="eastAsia" w:ascii="仿宋" w:hAnsi="仿宋" w:eastAsia="仿宋" w:cs="仿宋"/>
          <w:b/>
          <w:sz w:val="36"/>
          <w:szCs w:val="36"/>
        </w:rPr>
      </w:pPr>
    </w:p>
    <w:p w14:paraId="06B7E145">
      <w:pPr>
        <w:jc w:val="center"/>
        <w:rPr>
          <w:rFonts w:hint="eastAsia" w:ascii="仿宋" w:hAnsi="仿宋" w:eastAsia="仿宋" w:cs="仿宋"/>
          <w:b/>
          <w:sz w:val="36"/>
          <w:szCs w:val="36"/>
        </w:rPr>
      </w:pPr>
    </w:p>
    <w:p w14:paraId="777A50BE">
      <w:pPr>
        <w:spacing w:before="161" w:beforeLines="50" w:line="360" w:lineRule="auto"/>
        <w:rPr>
          <w:rFonts w:hint="eastAsia" w:ascii="仿宋" w:hAnsi="仿宋" w:eastAsia="仿宋" w:cs="仿宋"/>
          <w:b/>
          <w:bCs/>
          <w:sz w:val="36"/>
          <w:szCs w:val="36"/>
        </w:rPr>
      </w:pPr>
    </w:p>
    <w:p w14:paraId="549B717C">
      <w:pPr>
        <w:bidi w:val="0"/>
        <w:rPr>
          <w:rFonts w:hint="eastAsia"/>
        </w:rPr>
      </w:pPr>
    </w:p>
    <w:p w14:paraId="46D3F16A">
      <w:pPr>
        <w:rPr>
          <w:rFonts w:hint="eastAsia"/>
        </w:rPr>
      </w:pPr>
    </w:p>
    <w:p w14:paraId="6DD0DB25">
      <w:pPr>
        <w:keepNext w:val="0"/>
        <w:keepLines w:val="0"/>
        <w:pageBreakBefore w:val="0"/>
        <w:widowControl w:val="0"/>
        <w:kinsoku/>
        <w:wordWrap/>
        <w:overflowPunct/>
        <w:topLinePunct w:val="0"/>
        <w:autoSpaceDE/>
        <w:autoSpaceDN/>
        <w:bidi w:val="0"/>
        <w:spacing w:before="162" w:beforeLines="50" w:line="360" w:lineRule="auto"/>
        <w:ind w:firstLine="1902" w:firstLineChars="592"/>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甲方</w:t>
      </w:r>
      <w:r>
        <w:rPr>
          <w:rFonts w:hint="eastAsia" w:ascii="仿宋" w:hAnsi="仿宋" w:eastAsia="仿宋" w:cs="仿宋"/>
          <w:b/>
          <w:bCs/>
          <w:sz w:val="32"/>
          <w:szCs w:val="32"/>
        </w:rPr>
        <w:t>：</w:t>
      </w:r>
      <w:r>
        <w:rPr>
          <w:rFonts w:hint="eastAsia" w:ascii="仿宋" w:hAnsi="仿宋" w:eastAsia="仿宋" w:cs="仿宋"/>
          <w:sz w:val="32"/>
          <w:szCs w:val="32"/>
          <w:u w:val="single"/>
        </w:rPr>
        <w:t xml:space="preserve">                     </w:t>
      </w:r>
    </w:p>
    <w:p w14:paraId="282A14E7">
      <w:pPr>
        <w:keepNext w:val="0"/>
        <w:keepLines w:val="0"/>
        <w:pageBreakBefore w:val="0"/>
        <w:widowControl w:val="0"/>
        <w:kinsoku/>
        <w:wordWrap/>
        <w:overflowPunct/>
        <w:topLinePunct w:val="0"/>
        <w:autoSpaceDE/>
        <w:autoSpaceDN/>
        <w:bidi w:val="0"/>
        <w:spacing w:before="162" w:beforeLines="50" w:line="360" w:lineRule="auto"/>
        <w:ind w:firstLine="1902" w:firstLineChars="592"/>
        <w:jc w:val="left"/>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乙方</w:t>
      </w:r>
      <w:r>
        <w:rPr>
          <w:rFonts w:hint="eastAsia" w:ascii="仿宋" w:hAnsi="仿宋" w:eastAsia="仿宋" w:cs="仿宋"/>
          <w:b/>
          <w:bCs/>
          <w:sz w:val="32"/>
          <w:szCs w:val="32"/>
        </w:rPr>
        <w:t>：</w:t>
      </w:r>
      <w:r>
        <w:rPr>
          <w:rFonts w:hint="eastAsia" w:ascii="仿宋" w:hAnsi="仿宋" w:eastAsia="仿宋" w:cs="仿宋"/>
          <w:sz w:val="32"/>
          <w:szCs w:val="32"/>
          <w:u w:val="single"/>
        </w:rPr>
        <w:t xml:space="preserve">                     </w:t>
      </w:r>
    </w:p>
    <w:p w14:paraId="791D1360">
      <w:pPr>
        <w:keepNext w:val="0"/>
        <w:keepLines w:val="0"/>
        <w:pageBreakBefore w:val="0"/>
        <w:widowControl w:val="0"/>
        <w:kinsoku/>
        <w:wordWrap/>
        <w:overflowPunct/>
        <w:topLinePunct w:val="0"/>
        <w:autoSpaceDE/>
        <w:autoSpaceDN/>
        <w:bidi w:val="0"/>
        <w:adjustRightInd w:val="0"/>
        <w:snapToGrid w:val="0"/>
        <w:spacing w:before="162" w:beforeLines="50" w:line="360" w:lineRule="auto"/>
        <w:ind w:firstLine="643" w:firstLineChars="200"/>
        <w:jc w:val="center"/>
        <w:textAlignment w:val="auto"/>
        <w:rPr>
          <w:rFonts w:hint="eastAsia" w:ascii="仿宋" w:hAnsi="仿宋" w:eastAsia="仿宋" w:cs="仿宋"/>
          <w:b/>
          <w:bCs/>
          <w:sz w:val="36"/>
          <w:szCs w:val="36"/>
        </w:rPr>
      </w:pPr>
      <w:r>
        <w:rPr>
          <w:rFonts w:hint="eastAsia" w:ascii="仿宋" w:hAnsi="仿宋" w:eastAsia="仿宋" w:cs="仿宋"/>
          <w:b/>
          <w:bCs/>
          <w:sz w:val="32"/>
          <w:szCs w:val="32"/>
        </w:rPr>
        <w:t>二〇二</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 xml:space="preserve">年 </w:t>
      </w:r>
      <w:r>
        <w:rPr>
          <w:rFonts w:hint="eastAsia" w:ascii="仿宋" w:hAnsi="仿宋" w:eastAsia="仿宋" w:cs="仿宋"/>
          <w:b/>
          <w:bCs/>
          <w:sz w:val="32"/>
          <w:szCs w:val="32"/>
          <w:lang w:val="en-US" w:eastAsia="zh-CN"/>
        </w:rPr>
        <w:t xml:space="preserve"> 月</w:t>
      </w:r>
      <w:r>
        <w:rPr>
          <w:rFonts w:hint="eastAsia" w:ascii="仿宋" w:hAnsi="仿宋" w:eastAsia="仿宋" w:cs="仿宋"/>
          <w:b/>
          <w:bCs/>
          <w:sz w:val="32"/>
          <w:szCs w:val="32"/>
        </w:rPr>
        <w:t xml:space="preserve"> </w:t>
      </w:r>
    </w:p>
    <w:p w14:paraId="453FF98C">
      <w:pPr>
        <w:rPr>
          <w:rFonts w:hint="eastAsia" w:ascii="仿宋" w:hAnsi="仿宋" w:eastAsia="仿宋" w:cs="仿宋"/>
          <w:b/>
          <w:bCs/>
          <w:sz w:val="36"/>
          <w:szCs w:val="36"/>
        </w:rPr>
      </w:pPr>
      <w:r>
        <w:rPr>
          <w:rFonts w:hint="eastAsia" w:ascii="仿宋" w:hAnsi="仿宋" w:eastAsia="仿宋" w:cs="仿宋"/>
          <w:b/>
          <w:bCs/>
          <w:sz w:val="36"/>
          <w:szCs w:val="36"/>
        </w:rPr>
        <w:br w:type="page"/>
      </w:r>
    </w:p>
    <w:p w14:paraId="250A7E11">
      <w:pPr>
        <w:spacing w:before="161" w:beforeLines="50" w:line="360" w:lineRule="auto"/>
        <w:jc w:val="center"/>
        <w:rPr>
          <w:rFonts w:hint="eastAsia" w:ascii="仿宋" w:hAnsi="仿宋" w:eastAsia="仿宋" w:cs="仿宋"/>
          <w:b/>
          <w:bCs/>
          <w:sz w:val="36"/>
          <w:szCs w:val="36"/>
        </w:rPr>
      </w:pPr>
      <w:r>
        <w:rPr>
          <w:rFonts w:hint="eastAsia" w:ascii="仿宋" w:hAnsi="仿宋" w:eastAsia="仿宋" w:cs="仿宋"/>
          <w:b/>
          <w:bCs/>
          <w:sz w:val="36"/>
          <w:szCs w:val="36"/>
        </w:rPr>
        <w:t>第一部分  协议书</w:t>
      </w:r>
    </w:p>
    <w:p w14:paraId="12A2F01D">
      <w:pPr>
        <w:pageBreakBefore w:val="0"/>
        <w:kinsoku/>
        <w:wordWrap/>
        <w:overflowPunct/>
        <w:topLinePunct w:val="0"/>
        <w:autoSpaceDE/>
        <w:autoSpaceDN/>
        <w:bidi w:val="0"/>
        <w:adjustRightInd w:val="0"/>
        <w:snapToGrid w:val="0"/>
        <w:spacing w:line="360" w:lineRule="auto"/>
        <w:ind w:left="0" w:firstLine="442" w:firstLineChars="200"/>
        <w:rPr>
          <w:rFonts w:hint="eastAsia" w:ascii="仿宋" w:hAnsi="仿宋" w:eastAsia="仿宋" w:cs="仿宋"/>
          <w:b/>
          <w:sz w:val="22"/>
          <w:szCs w:val="22"/>
        </w:rPr>
      </w:pPr>
      <w:r>
        <w:rPr>
          <w:rFonts w:hint="eastAsia" w:ascii="仿宋" w:hAnsi="仿宋" w:eastAsia="仿宋" w:cs="仿宋"/>
          <w:b/>
          <w:sz w:val="22"/>
          <w:szCs w:val="22"/>
        </w:rPr>
        <w:t>甲方（采购人）：</w:t>
      </w:r>
      <w:r>
        <w:rPr>
          <w:rFonts w:hint="eastAsia" w:ascii="仿宋" w:hAnsi="仿宋" w:eastAsia="仿宋" w:cs="仿宋"/>
          <w:b/>
          <w:sz w:val="22"/>
          <w:szCs w:val="22"/>
          <w:u w:val="single"/>
        </w:rPr>
        <w:t xml:space="preserve">                        </w:t>
      </w:r>
    </w:p>
    <w:p w14:paraId="6EFB31CA">
      <w:pPr>
        <w:pageBreakBefore w:val="0"/>
        <w:kinsoku/>
        <w:wordWrap/>
        <w:overflowPunct/>
        <w:topLinePunct w:val="0"/>
        <w:autoSpaceDE/>
        <w:autoSpaceDN/>
        <w:bidi w:val="0"/>
        <w:adjustRightInd w:val="0"/>
        <w:snapToGrid w:val="0"/>
        <w:spacing w:line="360" w:lineRule="auto"/>
        <w:ind w:left="0" w:firstLine="442" w:firstLineChars="200"/>
        <w:rPr>
          <w:rFonts w:hint="eastAsia" w:ascii="仿宋" w:hAnsi="仿宋" w:eastAsia="仿宋" w:cs="仿宋"/>
          <w:sz w:val="22"/>
          <w:szCs w:val="22"/>
        </w:rPr>
      </w:pPr>
      <w:r>
        <w:rPr>
          <w:rFonts w:hint="eastAsia" w:ascii="仿宋" w:hAnsi="仿宋" w:eastAsia="仿宋" w:cs="仿宋"/>
          <w:b/>
          <w:sz w:val="22"/>
          <w:szCs w:val="22"/>
        </w:rPr>
        <w:t>乙方（供应商）：</w:t>
      </w:r>
      <w:r>
        <w:rPr>
          <w:rFonts w:hint="eastAsia" w:ascii="仿宋" w:hAnsi="仿宋" w:eastAsia="仿宋" w:cs="仿宋"/>
          <w:b/>
          <w:sz w:val="22"/>
          <w:szCs w:val="22"/>
          <w:u w:val="single"/>
        </w:rPr>
        <w:t xml:space="preserve">                        </w:t>
      </w:r>
    </w:p>
    <w:p w14:paraId="06ECAB80">
      <w:pPr>
        <w:pStyle w:val="21"/>
        <w:pageBreakBefore w:val="0"/>
        <w:kinsoku/>
        <w:wordWrap/>
        <w:overflowPunct/>
        <w:topLinePunct w:val="0"/>
        <w:autoSpaceDE/>
        <w:autoSpaceDN/>
        <w:bidi w:val="0"/>
        <w:adjustRightInd/>
        <w:snapToGrid/>
        <w:spacing w:line="360" w:lineRule="auto"/>
        <w:ind w:left="0" w:firstLine="48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根据《中华人民共和国政府采购法》及实施条例、《</w:t>
      </w:r>
      <w:r>
        <w:rPr>
          <w:rFonts w:hint="eastAsia" w:ascii="仿宋" w:hAnsi="仿宋" w:eastAsia="仿宋" w:cs="仿宋"/>
          <w:color w:val="auto"/>
          <w:sz w:val="22"/>
          <w:szCs w:val="22"/>
          <w:highlight w:val="none"/>
          <w:lang w:eastAsia="zh-CN"/>
        </w:rPr>
        <w:t>中华人民共和国民法典</w:t>
      </w:r>
      <w:r>
        <w:rPr>
          <w:rFonts w:hint="eastAsia" w:ascii="仿宋" w:hAnsi="仿宋" w:eastAsia="仿宋" w:cs="仿宋"/>
          <w:color w:val="auto"/>
          <w:sz w:val="22"/>
          <w:szCs w:val="22"/>
          <w:highlight w:val="none"/>
        </w:rPr>
        <w:t>》和甲方</w:t>
      </w:r>
      <w:r>
        <w:rPr>
          <w:rFonts w:hint="eastAsia" w:ascii="仿宋" w:hAnsi="仿宋" w:eastAsia="仿宋" w:cs="仿宋"/>
          <w:color w:val="auto"/>
          <w:sz w:val="22"/>
          <w:szCs w:val="22"/>
          <w:highlight w:val="none"/>
          <w:u w:val="single"/>
          <w:lang w:val="en-US" w:eastAsia="zh-CN"/>
        </w:rPr>
        <w:t xml:space="preserve">      项目名称、</w:t>
      </w:r>
      <w:r>
        <w:rPr>
          <w:rFonts w:hint="eastAsia" w:ascii="仿宋" w:hAnsi="仿宋" w:eastAsia="仿宋" w:cs="仿宋"/>
          <w:color w:val="auto"/>
          <w:sz w:val="22"/>
          <w:szCs w:val="22"/>
          <w:highlight w:val="none"/>
          <w:u w:val="single"/>
        </w:rPr>
        <w:t>项目编号</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的</w:t>
      </w:r>
      <w:r>
        <w:rPr>
          <w:rFonts w:hint="eastAsia" w:ascii="仿宋" w:hAnsi="仿宋" w:eastAsia="仿宋" w:cs="仿宋"/>
          <w:color w:val="auto"/>
          <w:sz w:val="22"/>
          <w:szCs w:val="22"/>
          <w:highlight w:val="none"/>
          <w:lang w:val="en-US" w:eastAsia="zh-CN"/>
        </w:rPr>
        <w:t>单一来源文件</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响应文件</w:t>
      </w:r>
      <w:r>
        <w:rPr>
          <w:rFonts w:hint="eastAsia" w:ascii="仿宋" w:hAnsi="仿宋" w:eastAsia="仿宋" w:cs="仿宋"/>
          <w:color w:val="auto"/>
          <w:sz w:val="22"/>
          <w:szCs w:val="22"/>
          <w:highlight w:val="none"/>
        </w:rPr>
        <w:t>等有关规定，为确保甲方采购项目的顺利实施，甲、乙双方在平等自愿原则下签订本合同，并共同遵守如下条款：</w:t>
      </w:r>
    </w:p>
    <w:p w14:paraId="2A236B03">
      <w:pPr>
        <w:pStyle w:val="21"/>
        <w:pageBreakBefore w:val="0"/>
        <w:kinsoku/>
        <w:wordWrap/>
        <w:overflowPunct/>
        <w:topLinePunct w:val="0"/>
        <w:autoSpaceDE/>
        <w:autoSpaceDN/>
        <w:bidi w:val="0"/>
        <w:adjustRightInd/>
        <w:snapToGrid/>
        <w:spacing w:line="360" w:lineRule="auto"/>
        <w:ind w:left="0" w:firstLine="480"/>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lang w:val="en-US" w:eastAsia="zh-CN"/>
        </w:rPr>
        <w:t xml:space="preserve">第一条  </w:t>
      </w:r>
      <w:r>
        <w:rPr>
          <w:rFonts w:hint="eastAsia" w:ascii="仿宋" w:hAnsi="仿宋" w:eastAsia="仿宋" w:cs="仿宋"/>
          <w:b/>
          <w:color w:val="auto"/>
          <w:sz w:val="22"/>
          <w:szCs w:val="22"/>
          <w:highlight w:val="none"/>
        </w:rPr>
        <w:t>合同期限/合同周期</w:t>
      </w:r>
    </w:p>
    <w:p w14:paraId="7F3B7FA8">
      <w:pPr>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bookmarkStart w:id="0" w:name="_Toc20591"/>
      <w:bookmarkStart w:id="1" w:name="_Toc9701"/>
      <w:bookmarkStart w:id="2" w:name="_Toc20063"/>
      <w:r>
        <w:rPr>
          <w:rFonts w:hint="eastAsia" w:ascii="仿宋" w:hAnsi="仿宋" w:eastAsia="仿宋" w:cs="仿宋"/>
          <w:sz w:val="22"/>
          <w:szCs w:val="22"/>
          <w:lang w:eastAsia="zh-CN"/>
        </w:rPr>
        <w:t>服务期限</w:t>
      </w:r>
      <w:r>
        <w:rPr>
          <w:rFonts w:hint="eastAsia" w:ascii="仿宋" w:hAnsi="仿宋" w:eastAsia="仿宋" w:cs="仿宋"/>
          <w:sz w:val="22"/>
          <w:szCs w:val="22"/>
        </w:rPr>
        <w:t>自</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年</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月</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日起至</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年</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月</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日止。</w:t>
      </w:r>
      <w:bookmarkEnd w:id="0"/>
      <w:bookmarkEnd w:id="1"/>
      <w:bookmarkEnd w:id="2"/>
      <w:bookmarkStart w:id="3" w:name="_Toc239568418"/>
      <w:bookmarkStart w:id="4" w:name="_Toc283019214"/>
      <w:bookmarkStart w:id="5" w:name="_Toc241833903"/>
      <w:bookmarkStart w:id="6" w:name="_Toc232492928"/>
      <w:bookmarkStart w:id="7" w:name="_Toc225244852"/>
      <w:bookmarkStart w:id="8" w:name="_Toc225654644"/>
      <w:bookmarkStart w:id="9" w:name="_Toc211911348"/>
      <w:bookmarkStart w:id="10" w:name="_Toc238984975"/>
      <w:bookmarkStart w:id="11" w:name="_Toc237145406"/>
      <w:bookmarkStart w:id="12" w:name="_Toc239233914"/>
      <w:bookmarkStart w:id="13" w:name="_Toc282696226"/>
      <w:bookmarkStart w:id="14" w:name="_Toc211854449"/>
      <w:bookmarkStart w:id="15" w:name="_Toc225670751"/>
      <w:bookmarkStart w:id="16" w:name="_Toc247334841"/>
      <w:bookmarkStart w:id="17" w:name="_Toc185395249"/>
      <w:bookmarkStart w:id="18" w:name="_Toc212019594"/>
      <w:bookmarkStart w:id="19" w:name="_Toc286993786"/>
      <w:bookmarkStart w:id="20" w:name="_Toc251768862"/>
    </w:p>
    <w:p w14:paraId="66BDB3AE">
      <w:pPr>
        <w:pStyle w:val="5"/>
        <w:pageBreakBefore w:val="0"/>
        <w:kinsoku/>
        <w:wordWrap/>
        <w:overflowPunct/>
        <w:topLinePunct w:val="0"/>
        <w:autoSpaceDE/>
        <w:autoSpaceDN/>
        <w:bidi w:val="0"/>
        <w:adjustRightInd/>
        <w:snapToGrid/>
        <w:spacing w:before="0" w:after="0" w:line="360" w:lineRule="auto"/>
        <w:ind w:left="0" w:firstLine="433" w:firstLineChars="196"/>
        <w:jc w:val="left"/>
        <w:textAlignment w:val="auto"/>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lang w:val="en-US" w:eastAsia="zh-CN"/>
        </w:rPr>
        <w:t xml:space="preserve">第二条  </w:t>
      </w:r>
      <w:r>
        <w:rPr>
          <w:rFonts w:hint="eastAsia" w:ascii="仿宋" w:hAnsi="仿宋" w:eastAsia="仿宋" w:cs="仿宋"/>
          <w:b/>
          <w:color w:val="auto"/>
          <w:sz w:val="22"/>
          <w:szCs w:val="22"/>
          <w:highlight w:val="none"/>
        </w:rPr>
        <w:t>服务内容与质量标准</w:t>
      </w:r>
    </w:p>
    <w:p w14:paraId="78CC9C34">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质量标准：抽样检测依据国家《国家食品安全抽样检验实施细则(2026版)》进行判定检验。产品执行企业标准或有明示项目指标的，判定时应采取从严原则。</w:t>
      </w:r>
    </w:p>
    <w:p w14:paraId="2AA70276">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服务内容：按照2026年渭南市食品安全监督抽检工作要求，做好普通食品、食用农产品专项抽检产品的抽样、防护、检验、结果录入、信息汇总及分析总结等工作。</w:t>
      </w:r>
    </w:p>
    <w:p w14:paraId="14CD9776">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全面贯彻落实食品安全“四个最严”要求，保护运动员的身体健康，在省十八运设置的食品安全总仓开展食源性兴奋剂（二级）抽检工作。</w:t>
      </w:r>
    </w:p>
    <w:p w14:paraId="0FE9A94A">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(一)抽检品种</w:t>
      </w:r>
    </w:p>
    <w:p w14:paraId="63D5E958">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抽样品种主要为畜禽肉及副产品、肉制品、罐头、速冻食品等食品类别。</w:t>
      </w:r>
    </w:p>
    <w:p w14:paraId="3CFEA454">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(二)抽检区域</w:t>
      </w:r>
    </w:p>
    <w:p w14:paraId="371B0698">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省十八运会设置的食品安全总仓开展食源性兴奋剂（二级）抽检。</w:t>
      </w:r>
    </w:p>
    <w:p w14:paraId="5116B05F">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(三)任务安排</w:t>
      </w:r>
    </w:p>
    <w:p w14:paraId="3749FA70">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本次抽检抽样检验工作全部严格按照采样、防护、送样、检验流程进行。</w:t>
      </w:r>
    </w:p>
    <w:p w14:paraId="4BBD92BE">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(四)抽检项目</w:t>
      </w:r>
    </w:p>
    <w:p w14:paraId="0B786E5C">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抽检项目侧重对食源性兴奋剂（二级）中β2-激动剂、糖皮质激素、利尿剂等项目的检测，具体抽检品种、检验项目详见附件。具体项目检验方法参考体育总局反兴奋剂中心关于印发《大型赛事食源性兴奋剂防控工作指南》的通知（体反兴奋剂字〔2021〕584号）。各抽样产品采样数量要结合检验项目和检验方法具体确定。</w:t>
      </w:r>
    </w:p>
    <w:p w14:paraId="08F1D300">
      <w:pPr>
        <w:keepNext w:val="0"/>
        <w:keepLines w:val="0"/>
        <w:pageBreakBefore w:val="0"/>
        <w:kinsoku/>
        <w:wordWrap/>
        <w:overflowPunct/>
        <w:topLinePunct w:val="0"/>
        <w:autoSpaceDE/>
        <w:autoSpaceDN/>
        <w:bidi w:val="0"/>
        <w:adjustRightInd/>
        <w:spacing w:line="360" w:lineRule="auto"/>
        <w:ind w:left="0" w:firstLine="442" w:firstLineChars="200"/>
        <w:rPr>
          <w:rFonts w:hint="eastAsia" w:ascii="仿宋" w:hAnsi="仿宋" w:eastAsia="仿宋" w:cs="仿宋"/>
          <w:b/>
          <w:color w:val="auto"/>
          <w:sz w:val="22"/>
          <w:szCs w:val="22"/>
          <w:highlight w:val="none"/>
        </w:rPr>
      </w:pPr>
      <w:r>
        <w:rPr>
          <w:rFonts w:hint="eastAsia" w:ascii="仿宋" w:hAnsi="仿宋" w:eastAsia="仿宋" w:cs="仿宋"/>
          <w:b/>
          <w:color w:val="auto"/>
          <w:kern w:val="2"/>
          <w:sz w:val="22"/>
          <w:szCs w:val="22"/>
          <w:lang w:val="en-US" w:eastAsia="zh-CN" w:bidi="ar-SA"/>
        </w:rPr>
        <w:t xml:space="preserve">第三条  </w:t>
      </w:r>
      <w:r>
        <w:rPr>
          <w:rFonts w:hint="eastAsia" w:ascii="仿宋" w:hAnsi="仿宋" w:eastAsia="仿宋" w:cs="仿宋"/>
          <w:b/>
          <w:color w:val="auto"/>
          <w:sz w:val="22"/>
          <w:szCs w:val="22"/>
          <w:highlight w:val="none"/>
        </w:rPr>
        <w:t>服务费用</w:t>
      </w:r>
    </w:p>
    <w:p w14:paraId="2A1ED285">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1、本项目服务费用组成：</w:t>
      </w:r>
      <w:r>
        <w:rPr>
          <w:rFonts w:hint="eastAsia" w:ascii="仿宋" w:hAnsi="仿宋" w:eastAsia="仿宋" w:cs="仿宋"/>
          <w:color w:val="auto"/>
          <w:sz w:val="22"/>
          <w:szCs w:val="22"/>
          <w:highlight w:val="none"/>
          <w:lang w:val="en-US" w:eastAsia="zh-CN"/>
        </w:rPr>
        <w:t>详见分项报价表</w:t>
      </w:r>
    </w:p>
    <w:p w14:paraId="3F0D6854">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2、本合同执行期间服务检测</w:t>
      </w:r>
      <w:r>
        <w:rPr>
          <w:rFonts w:hint="eastAsia" w:ascii="仿宋" w:hAnsi="仿宋" w:eastAsia="仿宋" w:cs="仿宋"/>
          <w:color w:val="auto"/>
          <w:sz w:val="22"/>
          <w:szCs w:val="22"/>
          <w:highlight w:val="none"/>
          <w:lang w:val="en-US" w:eastAsia="zh-CN"/>
        </w:rPr>
        <w:t>费用</w:t>
      </w:r>
      <w:r>
        <w:rPr>
          <w:rFonts w:hint="eastAsia" w:ascii="仿宋" w:hAnsi="仿宋" w:eastAsia="仿宋" w:cs="仿宋"/>
          <w:color w:val="auto"/>
          <w:sz w:val="22"/>
          <w:szCs w:val="22"/>
          <w:highlight w:val="none"/>
        </w:rPr>
        <w:t>不变，甲方无须另向乙方支付本合同规定之外的其他任何费用。</w:t>
      </w:r>
    </w:p>
    <w:p w14:paraId="42B27F40">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第四条  服务费支付方式</w:t>
      </w:r>
    </w:p>
    <w:p w14:paraId="01D39AE7">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1、</w:t>
      </w:r>
      <w:r>
        <w:rPr>
          <w:rFonts w:hint="eastAsia" w:ascii="仿宋" w:hAnsi="仿宋" w:eastAsia="仿宋" w:cs="仿宋"/>
          <w:color w:val="auto"/>
          <w:sz w:val="22"/>
          <w:szCs w:val="22"/>
          <w:highlight w:val="none"/>
        </w:rPr>
        <w:t>结算单位：银行转账，由</w:t>
      </w:r>
      <w:r>
        <w:rPr>
          <w:rFonts w:hint="eastAsia" w:ascii="仿宋" w:hAnsi="仿宋" w:eastAsia="仿宋" w:cs="仿宋"/>
          <w:color w:val="auto"/>
          <w:sz w:val="22"/>
          <w:szCs w:val="22"/>
          <w:highlight w:val="none"/>
          <w:lang w:eastAsia="zh-CN"/>
        </w:rPr>
        <w:t>甲方</w:t>
      </w:r>
      <w:r>
        <w:rPr>
          <w:rFonts w:hint="eastAsia" w:ascii="仿宋" w:hAnsi="仿宋" w:eastAsia="仿宋" w:cs="仿宋"/>
          <w:color w:val="auto"/>
          <w:sz w:val="22"/>
          <w:szCs w:val="22"/>
          <w:highlight w:val="none"/>
        </w:rPr>
        <w:t>负责结算。在付款前，乙方必须开具与合同金额相应的发票给</w:t>
      </w:r>
      <w:r>
        <w:rPr>
          <w:rFonts w:hint="eastAsia" w:ascii="仿宋" w:hAnsi="仿宋" w:eastAsia="仿宋" w:cs="仿宋"/>
          <w:color w:val="auto"/>
          <w:sz w:val="22"/>
          <w:szCs w:val="22"/>
          <w:highlight w:val="none"/>
          <w:lang w:eastAsia="zh-CN"/>
        </w:rPr>
        <w:t>甲方</w:t>
      </w:r>
      <w:r>
        <w:rPr>
          <w:rFonts w:hint="eastAsia" w:ascii="仿宋" w:hAnsi="仿宋" w:eastAsia="仿宋" w:cs="仿宋"/>
          <w:color w:val="auto"/>
          <w:sz w:val="22"/>
          <w:szCs w:val="22"/>
          <w:highlight w:val="none"/>
        </w:rPr>
        <w:t>，附详细清</w:t>
      </w:r>
      <w:r>
        <w:rPr>
          <w:rFonts w:hint="eastAsia" w:ascii="仿宋" w:hAnsi="仿宋" w:eastAsia="仿宋" w:cs="仿宋"/>
          <w:color w:val="auto"/>
          <w:sz w:val="22"/>
          <w:szCs w:val="22"/>
          <w:highlight w:val="none"/>
          <w:lang w:val="en-US" w:eastAsia="zh-CN"/>
        </w:rPr>
        <w:t>单</w:t>
      </w:r>
      <w:r>
        <w:rPr>
          <w:rFonts w:hint="eastAsia" w:ascii="仿宋" w:hAnsi="仿宋" w:eastAsia="仿宋" w:cs="仿宋"/>
          <w:color w:val="auto"/>
          <w:sz w:val="22"/>
          <w:szCs w:val="22"/>
          <w:highlight w:val="none"/>
        </w:rPr>
        <w:t>。</w:t>
      </w:r>
    </w:p>
    <w:p w14:paraId="2FBE2D32">
      <w:pPr>
        <w:pageBreakBefore w:val="0"/>
        <w:kinsoku/>
        <w:wordWrap/>
        <w:overflowPunct/>
        <w:topLinePunct w:val="0"/>
        <w:autoSpaceDE/>
        <w:autoSpaceDN/>
        <w:bidi w:val="0"/>
        <w:spacing w:line="360" w:lineRule="auto"/>
        <w:ind w:left="0" w:firstLine="431" w:firstLineChars="196"/>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付款方式：合同签订后5个工作日内，</w:t>
      </w:r>
      <w:r>
        <w:rPr>
          <w:rFonts w:hint="eastAsia" w:ascii="仿宋" w:hAnsi="仿宋" w:eastAsia="仿宋" w:cs="仿宋"/>
          <w:color w:val="auto"/>
          <w:sz w:val="22"/>
          <w:szCs w:val="22"/>
          <w:highlight w:val="none"/>
          <w:lang w:eastAsia="zh-CN"/>
        </w:rPr>
        <w:t>甲方</w:t>
      </w:r>
      <w:r>
        <w:rPr>
          <w:rFonts w:hint="eastAsia" w:ascii="仿宋" w:hAnsi="仿宋" w:eastAsia="仿宋" w:cs="仿宋"/>
          <w:color w:val="auto"/>
          <w:sz w:val="22"/>
          <w:szCs w:val="22"/>
          <w:highlight w:val="none"/>
        </w:rPr>
        <w:t>向乙方支付</w:t>
      </w:r>
      <w:r>
        <w:rPr>
          <w:rFonts w:hint="eastAsia" w:ascii="仿宋" w:hAnsi="仿宋" w:eastAsia="仿宋" w:cs="仿宋"/>
          <w:color w:val="auto"/>
          <w:sz w:val="22"/>
          <w:szCs w:val="22"/>
          <w:highlight w:val="none"/>
          <w:lang w:val="zh-CN" w:eastAsia="zh-CN"/>
        </w:rPr>
        <w:t>合同金额</w:t>
      </w:r>
      <w:r>
        <w:rPr>
          <w:rFonts w:hint="eastAsia" w:ascii="仿宋" w:hAnsi="仿宋" w:eastAsia="仿宋" w:cs="仿宋"/>
          <w:color w:val="auto"/>
          <w:sz w:val="22"/>
          <w:szCs w:val="22"/>
          <w:highlight w:val="none"/>
        </w:rPr>
        <w:t>的40%作为预付款，待乙方完成全部检测工作后一个月内，</w:t>
      </w:r>
      <w:r>
        <w:rPr>
          <w:rFonts w:hint="eastAsia" w:ascii="仿宋" w:hAnsi="仿宋" w:eastAsia="仿宋" w:cs="仿宋"/>
          <w:color w:val="auto"/>
          <w:sz w:val="22"/>
          <w:szCs w:val="22"/>
          <w:highlight w:val="none"/>
          <w:lang w:eastAsia="zh-CN"/>
        </w:rPr>
        <w:t>甲方</w:t>
      </w:r>
      <w:r>
        <w:rPr>
          <w:rFonts w:hint="eastAsia" w:ascii="仿宋" w:hAnsi="仿宋" w:eastAsia="仿宋" w:cs="仿宋"/>
          <w:color w:val="auto"/>
          <w:sz w:val="22"/>
          <w:szCs w:val="22"/>
          <w:highlight w:val="none"/>
        </w:rPr>
        <w:t>一次性支付剩余所有费用。</w:t>
      </w:r>
    </w:p>
    <w:p w14:paraId="43CB0631">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第五条  知识产权</w:t>
      </w:r>
    </w:p>
    <w:p w14:paraId="72994D9C">
      <w:pPr>
        <w:pageBreakBefore w:val="0"/>
        <w:tabs>
          <w:tab w:val="left" w:pos="144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乙方应保证所提供的服务或其任何一部分均不会侵犯任何第三方的专利权、商标权或著作权。</w:t>
      </w:r>
    </w:p>
    <w:p w14:paraId="0B8B89AF">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第六条  无产权瑕疵条款</w:t>
      </w:r>
    </w:p>
    <w:p w14:paraId="7C0AD3FC">
      <w:pPr>
        <w:pageBreakBefore w:val="0"/>
        <w:tabs>
          <w:tab w:val="left" w:pos="144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乙方保证所提供的服务的所有权完全属于乙方且无任何抵押、查封等产权瑕疵。如有产权瑕疵的，视为乙方违约。乙方应负担由此而产生的一切损失。</w:t>
      </w:r>
    </w:p>
    <w:p w14:paraId="0D8CEED6">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第七条</w:t>
      </w:r>
      <w:r>
        <w:rPr>
          <w:rFonts w:hint="eastAsia" w:ascii="仿宋" w:hAnsi="仿宋" w:eastAsia="仿宋" w:cs="仿宋"/>
          <w:b/>
          <w:color w:val="auto"/>
          <w:sz w:val="22"/>
          <w:szCs w:val="22"/>
          <w:highlight w:val="none"/>
          <w:lang w:val="en-US" w:eastAsia="zh-CN"/>
        </w:rPr>
        <w:t xml:space="preserve">  </w:t>
      </w:r>
      <w:r>
        <w:rPr>
          <w:rFonts w:hint="eastAsia" w:ascii="仿宋" w:hAnsi="仿宋" w:eastAsia="仿宋" w:cs="仿宋"/>
          <w:b/>
          <w:color w:val="auto"/>
          <w:sz w:val="22"/>
          <w:szCs w:val="22"/>
          <w:highlight w:val="none"/>
        </w:rPr>
        <w:t>甲方的权利和义务</w:t>
      </w:r>
    </w:p>
    <w:p w14:paraId="11C5B9DC">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1、应如实填写委托单，并注明要求使用的检验方法，还应根据乙方的要求提供必要的单据及相关资料，对所提供的有关业务资料的真实性、合法性负责。</w:t>
      </w:r>
    </w:p>
    <w:p w14:paraId="0E92A136">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2、为乙方委派人员的工作提供必要的合作及条件。</w:t>
      </w:r>
    </w:p>
    <w:p w14:paraId="7B3AB052">
      <w:pPr>
        <w:pStyle w:val="10"/>
        <w:keepNext w:val="0"/>
        <w:keepLines w:val="0"/>
        <w:pageBreakBefore w:val="0"/>
        <w:widowControl/>
        <w:kinsoku/>
        <w:wordWrap/>
        <w:overflowPunct/>
        <w:topLinePunct w:val="0"/>
        <w:autoSpaceDE/>
        <w:autoSpaceDN/>
        <w:bidi w:val="0"/>
        <w:adjustRightInd/>
        <w:snapToGrid w:val="0"/>
        <w:spacing w:line="360" w:lineRule="auto"/>
        <w:ind w:left="0" w:firstLine="440" w:firstLineChars="200"/>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3、对乙方定期开展考核工作，对于</w:t>
      </w:r>
      <w:r>
        <w:rPr>
          <w:rFonts w:hint="eastAsia" w:ascii="仿宋" w:hAnsi="仿宋" w:eastAsia="仿宋" w:cs="仿宋"/>
          <w:b w:val="0"/>
          <w:bCs/>
          <w:color w:val="auto"/>
          <w:sz w:val="22"/>
          <w:szCs w:val="22"/>
          <w:highlight w:val="none"/>
          <w:lang w:val="en-US" w:eastAsia="zh-CN"/>
        </w:rPr>
        <w:t>连续两次（含两次）不</w:t>
      </w:r>
      <w:r>
        <w:rPr>
          <w:rFonts w:hint="eastAsia" w:ascii="仿宋" w:hAnsi="仿宋" w:eastAsia="仿宋" w:cs="仿宋"/>
          <w:bCs/>
          <w:color w:val="auto"/>
          <w:sz w:val="22"/>
          <w:szCs w:val="22"/>
          <w:highlight w:val="none"/>
          <w:lang w:val="en-US" w:eastAsia="zh-CN"/>
        </w:rPr>
        <w:t>能达到考核标准的，将取消合作资格。</w:t>
      </w:r>
    </w:p>
    <w:p w14:paraId="11288E29">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4</w:t>
      </w:r>
      <w:r>
        <w:rPr>
          <w:rFonts w:hint="eastAsia" w:ascii="仿宋" w:hAnsi="仿宋" w:eastAsia="仿宋" w:cs="仿宋"/>
          <w:bCs/>
          <w:color w:val="auto"/>
          <w:sz w:val="22"/>
          <w:szCs w:val="22"/>
          <w:highlight w:val="none"/>
        </w:rPr>
        <w:t>、如对检验报告有特殊要求，甲方应在委托单上“备注”栏内注明。检验报告通常采用中文书写。如需采用其他语种，甲方应在委托单“备注”栏内注明，并用相应语种填写有关内容。</w:t>
      </w:r>
    </w:p>
    <w:p w14:paraId="0A9EEF47">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5</w:t>
      </w:r>
      <w:r>
        <w:rPr>
          <w:rFonts w:hint="eastAsia" w:ascii="仿宋" w:hAnsi="仿宋" w:eastAsia="仿宋" w:cs="仿宋"/>
          <w:bCs/>
          <w:color w:val="auto"/>
          <w:sz w:val="22"/>
          <w:szCs w:val="22"/>
          <w:highlight w:val="none"/>
        </w:rPr>
        <w:t>、应统筹制定抽样检验计划，为乙方划定抽样检验区域并协调相关关系。</w:t>
      </w:r>
    </w:p>
    <w:p w14:paraId="19817AFC">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6</w:t>
      </w:r>
      <w:r>
        <w:rPr>
          <w:rFonts w:hint="eastAsia" w:ascii="仿宋" w:hAnsi="仿宋" w:eastAsia="仿宋" w:cs="仿宋"/>
          <w:bCs/>
          <w:color w:val="auto"/>
          <w:sz w:val="22"/>
          <w:szCs w:val="22"/>
          <w:highlight w:val="none"/>
        </w:rPr>
        <w:t>、按照本合同约定及时足额支付检测费用。</w:t>
      </w:r>
    </w:p>
    <w:p w14:paraId="18CD8806">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7</w:t>
      </w:r>
      <w:r>
        <w:rPr>
          <w:rFonts w:hint="eastAsia" w:ascii="仿宋" w:hAnsi="仿宋" w:eastAsia="仿宋" w:cs="仿宋"/>
          <w:bCs/>
          <w:color w:val="auto"/>
          <w:sz w:val="22"/>
          <w:szCs w:val="22"/>
          <w:highlight w:val="none"/>
        </w:rPr>
        <w:t>、国家法律、法规所规定由甲方承担的其它责任。</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DBCCE9F">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第八条  乙方的权利和义务</w:t>
      </w:r>
    </w:p>
    <w:p w14:paraId="085B3E14">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1、提供高效抽检服务，能接受抽样工作委托，有专门团队负责采样。</w:t>
      </w:r>
    </w:p>
    <w:p w14:paraId="5B20D457">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2、有能满足采样、运输、设备、检验工作车辆等硬件设施及条件。</w:t>
      </w:r>
    </w:p>
    <w:p w14:paraId="37558429">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3、有专业水准的检验技术服务团队，检测结果公正、客观、真实、及时、准确，报告复检维持率高。</w:t>
      </w:r>
    </w:p>
    <w:p w14:paraId="59E851D8">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4、提供相关的业务咨询、报告分析等服务，抽检报告分析工作应该由乙方专业分析人员进行分析、撰写、汇总，并及时报送甲方，不得延迟。</w:t>
      </w:r>
    </w:p>
    <w:p w14:paraId="0E641E11">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5、需在收到检品后15天内出具检验报告。对于特殊、涉案样品的检验，2天内出结果，4天内出报告，且无额外加收费用。涉案样品需要配合执法机关调查、取证的应当积极配合。</w:t>
      </w:r>
    </w:p>
    <w:p w14:paraId="5F7918A0">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6、能够承担并完成抽检结果数据信息的录入、上传工作，确保录入数据准确。</w:t>
      </w:r>
    </w:p>
    <w:p w14:paraId="0405E8AE">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7</w:t>
      </w:r>
      <w:r>
        <w:rPr>
          <w:rFonts w:hint="eastAsia" w:ascii="仿宋" w:hAnsi="仿宋" w:eastAsia="仿宋" w:cs="仿宋"/>
          <w:bCs/>
          <w:color w:val="auto"/>
          <w:sz w:val="22"/>
          <w:szCs w:val="22"/>
          <w:highlight w:val="none"/>
        </w:rPr>
        <w:t>、按照本合同约定及时完成各项工作任务。</w:t>
      </w:r>
    </w:p>
    <w:p w14:paraId="4E5B5FA9">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8</w:t>
      </w:r>
      <w:r>
        <w:rPr>
          <w:rFonts w:hint="eastAsia" w:ascii="仿宋" w:hAnsi="仿宋" w:eastAsia="仿宋" w:cs="仿宋"/>
          <w:bCs/>
          <w:color w:val="auto"/>
          <w:sz w:val="22"/>
          <w:szCs w:val="22"/>
          <w:highlight w:val="none"/>
        </w:rPr>
        <w:t>、国家法律、法规所规定由乙方承担的其它责任。</w:t>
      </w:r>
    </w:p>
    <w:p w14:paraId="23ECEA40">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lang w:eastAsia="zh-CN"/>
        </w:rPr>
      </w:pPr>
      <w:r>
        <w:rPr>
          <w:rFonts w:hint="eastAsia" w:ascii="仿宋" w:hAnsi="仿宋" w:eastAsia="仿宋" w:cs="仿宋"/>
          <w:b/>
          <w:color w:val="auto"/>
          <w:sz w:val="22"/>
          <w:szCs w:val="22"/>
          <w:highlight w:val="none"/>
        </w:rPr>
        <w:t xml:space="preserve">第九条  </w:t>
      </w:r>
      <w:r>
        <w:rPr>
          <w:rFonts w:hint="eastAsia" w:ascii="仿宋" w:hAnsi="仿宋" w:eastAsia="仿宋" w:cs="仿宋"/>
          <w:b/>
          <w:color w:val="auto"/>
          <w:sz w:val="22"/>
          <w:szCs w:val="22"/>
          <w:highlight w:val="none"/>
          <w:lang w:val="en-US" w:eastAsia="zh-CN"/>
        </w:rPr>
        <w:t>服务要求</w:t>
      </w:r>
    </w:p>
    <w:p w14:paraId="4273269F">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检验要求：检验机构能够严格按照满足体育总局反兴奋剂中心关于印发《大型赛事食源性兴奋剂防控工作指南》的通知（体反兴奋剂字〔2021〕584号）文件要求的检出限的检验方法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14:paraId="1E17B5FF">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2、检验机构抽样时须严格按照操作规程进行操作，不得因抽样不规范引起被抽样单位的异议，且出具的检测结果公平、公正、准确；检测报告出具和送达及时；能积极配合采购人按时完成抽检任务；能及时协助采购人完成食源性兴奋剂（二级）抽检的应急事件。</w:t>
      </w:r>
    </w:p>
    <w:p w14:paraId="1ADE43B0">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3、检验机构需在抽到检品后48小时内出具检验结果，且无额外加收费用。</w:t>
      </w:r>
    </w:p>
    <w:p w14:paraId="4853AD96">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4、检验机构应有满足抽样工作需要的车辆、器具、仪器、设备等，检测人员须经培训考核合格，持证上岗。</w:t>
      </w:r>
    </w:p>
    <w:p w14:paraId="1ED48793">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5、检验机构应做好食源性兴奋剂（二级）抽检数据的分析研判。</w:t>
      </w:r>
    </w:p>
    <w:p w14:paraId="67B34CC2">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6、具体抽样时间和地点由采购人提供，需由检验机构在采购人指定的时间到指定的地点进行取样，若因检验机构不按照标准要求取样引起的行政诉讼等，由检验机构承担相应的法律责任。</w:t>
      </w:r>
    </w:p>
    <w:p w14:paraId="581ED263">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7、检测机构需实施必要的质量控制措施。</w:t>
      </w:r>
    </w:p>
    <w:p w14:paraId="5BBAA390">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8、检测机构对检验结论、结果的真实性、有效性、客观性负责。由于检测机构的工作失误、错误、弄虚作假等原因，致使检验结论结果无法真实客观有效地反映事实的，由检测机构承担法律责任。</w:t>
      </w:r>
    </w:p>
    <w:p w14:paraId="1693F256">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9、采购人将对检测机构的资质以及检测流程进行检查，如发现弄虚作假或不符合规定程序行为，采购人有权按照有关规定进行处理。</w:t>
      </w:r>
    </w:p>
    <w:p w14:paraId="00CC0130">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10、检测机构应按照抽检任务的品种，下达日期先后次序有序整理抽检任务档案材料，并妥善保存备查。保存时间不得少于2年。</w:t>
      </w:r>
    </w:p>
    <w:p w14:paraId="44925783">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11、检测机构近3年未发生过数据泄露事故：自觉接受采购人组织的质控考核、现场检查和比对实验等工作安排。现场提交数据保密承诺书。</w:t>
      </w:r>
    </w:p>
    <w:p w14:paraId="24F84B02">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14:paraId="48FB9114">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13、保密义务：保守抽检工作秘密，对涉及抽检商品名称、种类、型号、经营者和生产者名称、商标、检验流程、检验结果等全部数据必须保密，未经采购人授权，不得向任何单位与个人透露。</w:t>
      </w:r>
    </w:p>
    <w:p w14:paraId="703CD1E7">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14、任何检测机构不得存在以下情形：</w:t>
      </w:r>
    </w:p>
    <w:p w14:paraId="590EDBD6">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1)以蒙骗、欺诈等手段承担无CMA资质认证的检测任务；</w:t>
      </w:r>
    </w:p>
    <w:p w14:paraId="10BD9816">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2)抽检过程中使用实习大学生等非职业抽检人员；</w:t>
      </w:r>
    </w:p>
    <w:p w14:paraId="7BC047F4">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3)对承担的任务进行转包、分包；</w:t>
      </w:r>
    </w:p>
    <w:p w14:paraId="5FCDC7AA">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4)未经许可使用、公布采购人抽检任务信息；</w:t>
      </w:r>
    </w:p>
    <w:p w14:paraId="0DD13C14">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5)出具虚假检测报告。一经发现，一切损失由检测机构承担，采购人将立即终止抽检计划，并追究相应的法律责任。</w:t>
      </w:r>
    </w:p>
    <w:p w14:paraId="6A7F1266">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第十条  违约责任</w:t>
      </w:r>
    </w:p>
    <w:p w14:paraId="365CFBB3">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1、</w:t>
      </w:r>
      <w:r>
        <w:rPr>
          <w:rFonts w:hint="eastAsia" w:ascii="仿宋" w:hAnsi="仿宋" w:eastAsia="仿宋" w:cs="仿宋"/>
          <w:bCs/>
          <w:color w:val="auto"/>
          <w:sz w:val="22"/>
          <w:szCs w:val="22"/>
          <w:highlight w:val="none"/>
          <w:lang w:eastAsia="zh-CN"/>
        </w:rPr>
        <w:t>乙方</w:t>
      </w:r>
      <w:r>
        <w:rPr>
          <w:rFonts w:hint="eastAsia" w:ascii="仿宋" w:hAnsi="仿宋" w:eastAsia="仿宋" w:cs="仿宋"/>
          <w:bCs/>
          <w:color w:val="auto"/>
          <w:sz w:val="22"/>
          <w:szCs w:val="22"/>
          <w:highlight w:val="none"/>
        </w:rPr>
        <w:t>出具虚假、错误检验数据和结论，一经发现，立即取消合作资格</w:t>
      </w:r>
      <w:r>
        <w:rPr>
          <w:rFonts w:hint="eastAsia" w:ascii="仿宋" w:hAnsi="仿宋" w:eastAsia="仿宋" w:cs="仿宋"/>
          <w:bCs/>
          <w:color w:val="auto"/>
          <w:sz w:val="22"/>
          <w:szCs w:val="22"/>
          <w:highlight w:val="none"/>
          <w:lang w:val="en-US" w:eastAsia="zh-CN"/>
        </w:rPr>
        <w:t>,并要求返还该次检验已支付的服务检测费用。</w:t>
      </w:r>
    </w:p>
    <w:p w14:paraId="60FDE040">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2、如因乙方未全面履行合同义务或者发生违约，甲方有权终止合同，依法向乙方进行经济索赔，并报请政府采购监督管理机关进行相应的行政处罚。甲方违约的，应当赔偿给乙方造成的直接经济损失。</w:t>
      </w:r>
    </w:p>
    <w:p w14:paraId="63E07DCD">
      <w:pPr>
        <w:pageBreakBefore w:val="0"/>
        <w:kinsoku/>
        <w:wordWrap/>
        <w:overflowPunct/>
        <w:topLinePunct w:val="0"/>
        <w:autoSpaceDE/>
        <w:autoSpaceDN/>
        <w:bidi w:val="0"/>
        <w:adjustRightInd w:val="0"/>
        <w:spacing w:line="360" w:lineRule="auto"/>
        <w:ind w:left="0" w:firstLine="440" w:firstLineChars="200"/>
        <w:jc w:val="left"/>
        <w:textAlignment w:val="baseline"/>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3、乙方工作人员在履行职务过程中的疏忽、失职、过错等故意或者过失原因给甲方造成损失或侵害，包括但不限于甲方本身的财产损失、由此而导致的甲方对任何第三方的法律责任等，乙方对此均应承担全部的赔偿责任。因乙方责任而造成延期，每超过一天按合同总价款的5‰支付</w:t>
      </w:r>
      <w:r>
        <w:rPr>
          <w:rFonts w:hint="eastAsia" w:ascii="仿宋" w:hAnsi="仿宋" w:eastAsia="仿宋" w:cs="仿宋"/>
          <w:bCs/>
          <w:color w:val="auto"/>
          <w:sz w:val="22"/>
          <w:szCs w:val="22"/>
          <w:highlight w:val="none"/>
          <w:lang w:eastAsia="zh-CN"/>
        </w:rPr>
        <w:t>甲方</w:t>
      </w:r>
      <w:r>
        <w:rPr>
          <w:rFonts w:hint="eastAsia" w:ascii="仿宋" w:hAnsi="仿宋" w:eastAsia="仿宋" w:cs="仿宋"/>
          <w:bCs/>
          <w:color w:val="auto"/>
          <w:sz w:val="22"/>
          <w:szCs w:val="22"/>
          <w:highlight w:val="none"/>
        </w:rPr>
        <w:t>误期赔偿金，直至交货或提供服务结束为止，所有因延期而产生的费用由乙方承担。</w:t>
      </w:r>
    </w:p>
    <w:p w14:paraId="6DB75B33">
      <w:pPr>
        <w:pageBreakBefore w:val="0"/>
        <w:tabs>
          <w:tab w:val="left" w:pos="48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4、协议期内，乙方在协议履行中有下列情形之一，甲方将取消其资格，终止本协议，</w:t>
      </w:r>
      <w:r>
        <w:rPr>
          <w:rFonts w:hint="eastAsia" w:ascii="仿宋" w:hAnsi="仿宋" w:eastAsia="仿宋" w:cs="仿宋"/>
          <w:color w:val="auto"/>
          <w:sz w:val="22"/>
          <w:szCs w:val="22"/>
          <w:highlight w:val="none"/>
          <w:lang w:val="en-US" w:eastAsia="zh-CN"/>
        </w:rPr>
        <w:t>且乙方三年内不得参与竞标</w:t>
      </w:r>
      <w:r>
        <w:rPr>
          <w:rFonts w:hint="eastAsia" w:ascii="仿宋" w:hAnsi="仿宋" w:eastAsia="仿宋" w:cs="仿宋"/>
          <w:color w:val="auto"/>
          <w:sz w:val="22"/>
          <w:szCs w:val="22"/>
          <w:highlight w:val="none"/>
        </w:rPr>
        <w:t>。</w:t>
      </w:r>
    </w:p>
    <w:p w14:paraId="1B858313">
      <w:pPr>
        <w:pageBreakBefore w:val="0"/>
        <w:tabs>
          <w:tab w:val="left" w:pos="480"/>
        </w:tabs>
        <w:kinsoku/>
        <w:wordWrap/>
        <w:overflowPunct/>
        <w:topLinePunct w:val="0"/>
        <w:autoSpaceDE/>
        <w:autoSpaceDN/>
        <w:bidi w:val="0"/>
        <w:spacing w:line="360" w:lineRule="auto"/>
        <w:ind w:left="0"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（1）采用不正当竞争手段谋取中标的。</w:t>
      </w:r>
    </w:p>
    <w:p w14:paraId="7F679249">
      <w:pPr>
        <w:pageBreakBefore w:val="0"/>
        <w:tabs>
          <w:tab w:val="left" w:pos="480"/>
        </w:tabs>
        <w:kinsoku/>
        <w:wordWrap/>
        <w:overflowPunct/>
        <w:topLinePunct w:val="0"/>
        <w:autoSpaceDE/>
        <w:autoSpaceDN/>
        <w:bidi w:val="0"/>
        <w:spacing w:line="360" w:lineRule="auto"/>
        <w:ind w:left="0"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（2）向</w:t>
      </w:r>
      <w:r>
        <w:rPr>
          <w:rFonts w:hint="eastAsia" w:ascii="仿宋" w:hAnsi="仿宋" w:eastAsia="仿宋" w:cs="仿宋"/>
          <w:color w:val="auto"/>
          <w:sz w:val="22"/>
          <w:szCs w:val="22"/>
          <w:highlight w:val="none"/>
          <w:lang w:eastAsia="zh-CN"/>
        </w:rPr>
        <w:t>甲方</w:t>
      </w:r>
      <w:r>
        <w:rPr>
          <w:rFonts w:hint="eastAsia" w:ascii="仿宋" w:hAnsi="仿宋" w:eastAsia="仿宋" w:cs="仿宋"/>
          <w:color w:val="auto"/>
          <w:sz w:val="22"/>
          <w:szCs w:val="22"/>
          <w:highlight w:val="none"/>
        </w:rPr>
        <w:t>提供回扣的。</w:t>
      </w:r>
    </w:p>
    <w:p w14:paraId="1E703E64">
      <w:pPr>
        <w:pageBreakBefore w:val="0"/>
        <w:tabs>
          <w:tab w:val="left" w:pos="480"/>
        </w:tabs>
        <w:kinsoku/>
        <w:wordWrap/>
        <w:overflowPunct/>
        <w:topLinePunct w:val="0"/>
        <w:autoSpaceDE/>
        <w:autoSpaceDN/>
        <w:bidi w:val="0"/>
        <w:spacing w:line="360" w:lineRule="auto"/>
        <w:ind w:left="0"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（3）乙方拒绝接受甲方检查或提供虚假资料。</w:t>
      </w:r>
    </w:p>
    <w:p w14:paraId="563C8CF9">
      <w:pPr>
        <w:pageBreakBefore w:val="0"/>
        <w:tabs>
          <w:tab w:val="left" w:pos="480"/>
        </w:tabs>
        <w:kinsoku/>
        <w:wordWrap/>
        <w:overflowPunct/>
        <w:topLinePunct w:val="0"/>
        <w:autoSpaceDE/>
        <w:autoSpaceDN/>
        <w:bidi w:val="0"/>
        <w:spacing w:line="360" w:lineRule="auto"/>
        <w:ind w:left="0"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（4）其他因乙方自身原因致使本协议无法履行的。</w:t>
      </w:r>
    </w:p>
    <w:p w14:paraId="6D87310B">
      <w:pPr>
        <w:pageBreakBefore w:val="0"/>
        <w:tabs>
          <w:tab w:val="left" w:pos="48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5、守约方有权让违约方承担为追讨损失所花费的正常费用（包括但不限于诉讼费，保全费，保函费，律师费等）。</w:t>
      </w:r>
    </w:p>
    <w:p w14:paraId="0412AA27">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第十一条  不可抗力事件处理</w:t>
      </w:r>
    </w:p>
    <w:p w14:paraId="6F457066">
      <w:pPr>
        <w:pageBreakBefore w:val="0"/>
        <w:tabs>
          <w:tab w:val="left" w:pos="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1、在合同有效期内，任何一方因不可抗力事件导致不能履行合同，则合同履行期可延长，其延长期与不可抗力影响期相同。</w:t>
      </w:r>
    </w:p>
    <w:p w14:paraId="24683C85">
      <w:pPr>
        <w:pageBreakBefore w:val="0"/>
        <w:tabs>
          <w:tab w:val="left" w:pos="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2、不可抗力事件发生后，</w:t>
      </w:r>
      <w:r>
        <w:rPr>
          <w:rFonts w:hint="eastAsia" w:ascii="仿宋" w:hAnsi="仿宋" w:eastAsia="仿宋" w:cs="仿宋"/>
          <w:color w:val="auto"/>
          <w:sz w:val="22"/>
          <w:szCs w:val="22"/>
          <w:highlight w:val="none"/>
          <w:lang w:val="en-US" w:eastAsia="zh-CN"/>
        </w:rPr>
        <w:t>应立即书面通知对方</w:t>
      </w:r>
      <w:r>
        <w:rPr>
          <w:rFonts w:hint="eastAsia" w:ascii="仿宋" w:hAnsi="仿宋" w:eastAsia="仿宋" w:cs="仿宋"/>
          <w:color w:val="auto"/>
          <w:sz w:val="22"/>
          <w:szCs w:val="22"/>
          <w:highlight w:val="none"/>
        </w:rPr>
        <w:t>，并寄送有关权威机构出具的证明。</w:t>
      </w:r>
    </w:p>
    <w:p w14:paraId="5F0EFA4D">
      <w:pPr>
        <w:pageBreakBefore w:val="0"/>
        <w:tabs>
          <w:tab w:val="left" w:pos="0"/>
        </w:tabs>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3、不可抗力事件延续</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天以上，双方应通过友好协商，确定是否继续履行合同。</w:t>
      </w:r>
    </w:p>
    <w:p w14:paraId="394926E9">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bookmarkStart w:id="21" w:name="_Toc211854454"/>
      <w:bookmarkStart w:id="22" w:name="_Toc211911353"/>
      <w:bookmarkStart w:id="23" w:name="_Toc232492933"/>
      <w:bookmarkStart w:id="24" w:name="_Toc212019599"/>
      <w:bookmarkStart w:id="25" w:name="_Toc241833908"/>
      <w:bookmarkStart w:id="26" w:name="_Toc225654649"/>
      <w:bookmarkStart w:id="27" w:name="_Toc247334846"/>
      <w:bookmarkStart w:id="28" w:name="_Toc225670756"/>
      <w:bookmarkStart w:id="29" w:name="_Toc286993792"/>
      <w:bookmarkStart w:id="30" w:name="_Toc237145411"/>
      <w:bookmarkStart w:id="31" w:name="_Toc239568423"/>
      <w:bookmarkStart w:id="32" w:name="_Toc239233919"/>
      <w:bookmarkStart w:id="33" w:name="_Toc185395254"/>
      <w:bookmarkStart w:id="34" w:name="_Toc251768867"/>
      <w:bookmarkStart w:id="35" w:name="_Toc238984980"/>
      <w:bookmarkStart w:id="36" w:name="_Toc225244857"/>
      <w:r>
        <w:rPr>
          <w:rFonts w:hint="eastAsia" w:ascii="仿宋" w:hAnsi="仿宋" w:eastAsia="仿宋" w:cs="仿宋"/>
          <w:b/>
          <w:color w:val="auto"/>
          <w:sz w:val="22"/>
          <w:szCs w:val="22"/>
          <w:highlight w:val="none"/>
        </w:rPr>
        <w:t>第十二条  合同的变更和终止</w:t>
      </w:r>
    </w:p>
    <w:p w14:paraId="1F7A71CB">
      <w:pPr>
        <w:pageBreakBefore w:val="0"/>
        <w:widowControl/>
        <w:kinsoku/>
        <w:wordWrap/>
        <w:overflowPunct/>
        <w:topLinePunct w:val="0"/>
        <w:autoSpaceDE/>
        <w:autoSpaceDN/>
        <w:bidi w:val="0"/>
        <w:spacing w:line="360" w:lineRule="auto"/>
        <w:ind w:left="0" w:firstLine="440" w:firstLineChars="200"/>
        <w:jc w:val="left"/>
        <w:rPr>
          <w:rFonts w:hint="eastAsia" w:ascii="仿宋" w:hAnsi="仿宋" w:eastAsia="仿宋" w:cs="仿宋"/>
          <w:color w:val="auto"/>
          <w:kern w:val="0"/>
          <w:sz w:val="22"/>
          <w:szCs w:val="22"/>
          <w:highlight w:val="none"/>
        </w:rPr>
      </w:pPr>
      <w:r>
        <w:rPr>
          <w:rFonts w:hint="eastAsia" w:ascii="仿宋" w:hAnsi="仿宋" w:eastAsia="仿宋" w:cs="仿宋"/>
          <w:color w:val="auto"/>
          <w:kern w:val="0"/>
          <w:sz w:val="22"/>
          <w:szCs w:val="22"/>
          <w:highlight w:val="none"/>
        </w:rPr>
        <w:t>1、除《中华人民共和国政府采购法》第49条、第50条第二款规定的情形外，本合同一经签订，甲乙双方不得擅自变更、中止或终止合同。</w:t>
      </w:r>
    </w:p>
    <w:p w14:paraId="6285735E">
      <w:pPr>
        <w:pageBreakBefore w:val="0"/>
        <w:widowControl/>
        <w:kinsoku/>
        <w:wordWrap/>
        <w:overflowPunct/>
        <w:topLinePunct w:val="0"/>
        <w:autoSpaceDE/>
        <w:autoSpaceDN/>
        <w:bidi w:val="0"/>
        <w:spacing w:line="360" w:lineRule="auto"/>
        <w:ind w:left="0" w:firstLine="440" w:firstLineChars="200"/>
        <w:jc w:val="left"/>
        <w:rPr>
          <w:rFonts w:hint="eastAsia" w:ascii="仿宋" w:hAnsi="仿宋" w:eastAsia="仿宋" w:cs="仿宋"/>
          <w:color w:val="auto"/>
          <w:kern w:val="0"/>
          <w:sz w:val="22"/>
          <w:szCs w:val="22"/>
          <w:highlight w:val="none"/>
        </w:rPr>
      </w:pPr>
      <w:r>
        <w:rPr>
          <w:rFonts w:hint="eastAsia" w:ascii="仿宋" w:hAnsi="仿宋" w:eastAsia="仿宋" w:cs="仿宋"/>
          <w:color w:val="auto"/>
          <w:sz w:val="22"/>
          <w:szCs w:val="22"/>
          <w:highlight w:val="none"/>
        </w:rPr>
        <w:t>2、乙方无法按照甲方要求的</w:t>
      </w:r>
      <w:r>
        <w:rPr>
          <w:rFonts w:hint="eastAsia" w:ascii="仿宋" w:hAnsi="仿宋" w:eastAsia="仿宋" w:cs="仿宋"/>
          <w:color w:val="auto"/>
          <w:sz w:val="22"/>
          <w:szCs w:val="22"/>
          <w:highlight w:val="none"/>
          <w:lang w:val="en-US" w:eastAsia="zh-CN"/>
        </w:rPr>
        <w:t>服务</w:t>
      </w:r>
      <w:r>
        <w:rPr>
          <w:rFonts w:hint="eastAsia" w:ascii="仿宋" w:hAnsi="仿宋" w:eastAsia="仿宋" w:cs="仿宋"/>
          <w:color w:val="auto"/>
          <w:sz w:val="22"/>
          <w:szCs w:val="22"/>
          <w:highlight w:val="none"/>
        </w:rPr>
        <w:t>周期完成</w:t>
      </w:r>
      <w:r>
        <w:rPr>
          <w:rFonts w:hint="eastAsia" w:ascii="仿宋" w:hAnsi="仿宋" w:eastAsia="仿宋" w:cs="仿宋"/>
          <w:color w:val="auto"/>
          <w:sz w:val="22"/>
          <w:szCs w:val="22"/>
          <w:highlight w:val="none"/>
          <w:lang w:eastAsia="zh-CN"/>
        </w:rPr>
        <w:t>检测</w:t>
      </w:r>
      <w:r>
        <w:rPr>
          <w:rFonts w:hint="eastAsia" w:ascii="仿宋" w:hAnsi="仿宋" w:eastAsia="仿宋" w:cs="仿宋"/>
          <w:color w:val="auto"/>
          <w:sz w:val="22"/>
          <w:szCs w:val="22"/>
          <w:highlight w:val="none"/>
        </w:rPr>
        <w:t>任务</w:t>
      </w:r>
      <w:r>
        <w:rPr>
          <w:rFonts w:hint="eastAsia" w:ascii="仿宋" w:hAnsi="仿宋" w:eastAsia="仿宋" w:cs="仿宋"/>
          <w:color w:val="auto"/>
          <w:sz w:val="22"/>
          <w:szCs w:val="22"/>
          <w:highlight w:val="none"/>
          <w:lang w:eastAsia="zh-CN"/>
        </w:rPr>
        <w:t>的</w:t>
      </w:r>
      <w:r>
        <w:rPr>
          <w:rFonts w:hint="eastAsia" w:ascii="仿宋" w:hAnsi="仿宋" w:eastAsia="仿宋" w:cs="仿宋"/>
          <w:color w:val="auto"/>
          <w:sz w:val="22"/>
          <w:szCs w:val="22"/>
          <w:highlight w:val="none"/>
        </w:rPr>
        <w:t>，甲方有权解除合同。</w:t>
      </w:r>
    </w:p>
    <w:p w14:paraId="7E6DE8D0">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第十三条  解决合同纠纷的方式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8495B86">
      <w:pPr>
        <w:pStyle w:val="21"/>
        <w:pageBreakBefore w:val="0"/>
        <w:kinsoku/>
        <w:wordWrap/>
        <w:overflowPunct/>
        <w:topLinePunct w:val="0"/>
        <w:autoSpaceDE/>
        <w:autoSpaceDN/>
        <w:bidi w:val="0"/>
        <w:spacing w:line="360" w:lineRule="auto"/>
        <w:ind w:left="0" w:firstLine="480"/>
        <w:rPr>
          <w:rFonts w:hint="eastAsia" w:ascii="仿宋" w:hAnsi="仿宋" w:eastAsia="仿宋" w:cs="仿宋"/>
          <w:color w:val="auto"/>
          <w:kern w:val="0"/>
          <w:sz w:val="22"/>
          <w:szCs w:val="22"/>
          <w:highlight w:val="none"/>
          <w:lang w:eastAsia="zh-CN"/>
        </w:rPr>
      </w:pPr>
      <w:r>
        <w:rPr>
          <w:rFonts w:hint="eastAsia" w:ascii="仿宋" w:hAnsi="仿宋" w:eastAsia="仿宋" w:cs="仿宋"/>
          <w:color w:val="auto"/>
          <w:sz w:val="22"/>
          <w:szCs w:val="22"/>
          <w:highlight w:val="none"/>
        </w:rPr>
        <w:t>1、在执行本合同中发生的或与本合同有关的争端，双方应通过友好协商解决，经协商在</w:t>
      </w:r>
      <w:r>
        <w:rPr>
          <w:rFonts w:hint="eastAsia" w:ascii="仿宋" w:hAnsi="仿宋" w:eastAsia="仿宋" w:cs="仿宋"/>
          <w:color w:val="auto"/>
          <w:sz w:val="22"/>
          <w:szCs w:val="22"/>
          <w:highlight w:val="none"/>
          <w:u w:val="single"/>
        </w:rPr>
        <w:t>15</w:t>
      </w:r>
      <w:r>
        <w:rPr>
          <w:rFonts w:hint="eastAsia" w:ascii="仿宋" w:hAnsi="仿宋" w:eastAsia="仿宋" w:cs="仿宋"/>
          <w:color w:val="auto"/>
          <w:sz w:val="22"/>
          <w:szCs w:val="22"/>
          <w:highlight w:val="none"/>
        </w:rPr>
        <w:t>天内不能达成协议时，</w:t>
      </w:r>
      <w:r>
        <w:rPr>
          <w:rFonts w:hint="eastAsia" w:ascii="仿宋" w:hAnsi="仿宋" w:eastAsia="仿宋" w:cs="仿宋"/>
          <w:color w:val="auto"/>
          <w:kern w:val="0"/>
          <w:sz w:val="22"/>
          <w:szCs w:val="22"/>
          <w:highlight w:val="none"/>
        </w:rPr>
        <w:t>则向甲方所在地有管辖权的人民法院提起诉讼</w:t>
      </w:r>
      <w:r>
        <w:rPr>
          <w:rFonts w:hint="eastAsia" w:ascii="仿宋" w:hAnsi="仿宋" w:eastAsia="仿宋" w:cs="仿宋"/>
          <w:color w:val="auto"/>
          <w:kern w:val="0"/>
          <w:sz w:val="22"/>
          <w:szCs w:val="22"/>
          <w:highlight w:val="none"/>
          <w:lang w:eastAsia="zh-CN"/>
        </w:rPr>
        <w:t>。</w:t>
      </w:r>
    </w:p>
    <w:p w14:paraId="75C4C985">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bookmarkStart w:id="37" w:name="_Toc282696231"/>
      <w:bookmarkStart w:id="38" w:name="_Toc241833909"/>
      <w:bookmarkStart w:id="39" w:name="_Toc185395255"/>
      <w:bookmarkStart w:id="40" w:name="_Toc286993793"/>
      <w:bookmarkStart w:id="41" w:name="_Toc232492934"/>
      <w:bookmarkStart w:id="42" w:name="_Toc239233920"/>
      <w:bookmarkStart w:id="43" w:name="_Toc247334847"/>
      <w:bookmarkStart w:id="44" w:name="_Toc251768868"/>
      <w:bookmarkStart w:id="45" w:name="_Toc225244858"/>
      <w:bookmarkStart w:id="46" w:name="_Toc211911354"/>
      <w:bookmarkStart w:id="47" w:name="_Toc238984981"/>
      <w:bookmarkStart w:id="48" w:name="_Toc211854455"/>
      <w:bookmarkStart w:id="49" w:name="_Toc212019600"/>
      <w:bookmarkStart w:id="50" w:name="_Toc239568424"/>
      <w:bookmarkStart w:id="51" w:name="_Toc283019219"/>
      <w:bookmarkStart w:id="52" w:name="_Toc225654650"/>
      <w:bookmarkStart w:id="53" w:name="_Toc237145412"/>
      <w:bookmarkStart w:id="54" w:name="_Toc225670757"/>
      <w:r>
        <w:rPr>
          <w:rFonts w:hint="eastAsia" w:ascii="仿宋" w:hAnsi="仿宋" w:eastAsia="仿宋" w:cs="仿宋"/>
          <w:b/>
          <w:color w:val="auto"/>
          <w:sz w:val="22"/>
          <w:szCs w:val="22"/>
          <w:highlight w:val="none"/>
        </w:rPr>
        <w:t>第十四条  合同</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ascii="仿宋" w:hAnsi="仿宋" w:eastAsia="仿宋" w:cs="仿宋"/>
          <w:b/>
          <w:color w:val="auto"/>
          <w:sz w:val="22"/>
          <w:szCs w:val="22"/>
          <w:highlight w:val="none"/>
        </w:rPr>
        <w:t>生效及其他</w:t>
      </w:r>
    </w:p>
    <w:p w14:paraId="207F427E">
      <w:pPr>
        <w:pStyle w:val="18"/>
        <w:pageBreakBefore w:val="0"/>
        <w:kinsoku/>
        <w:wordWrap/>
        <w:overflowPunct/>
        <w:topLinePunct w:val="0"/>
        <w:autoSpaceDE/>
        <w:autoSpaceDN/>
        <w:bidi w:val="0"/>
        <w:spacing w:line="360" w:lineRule="auto"/>
        <w:ind w:left="0"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1、合同经双方法定代表人或授权委托代理人签字并加盖单位公章后生效。</w:t>
      </w:r>
    </w:p>
    <w:p w14:paraId="04625565">
      <w:pPr>
        <w:pStyle w:val="18"/>
        <w:pageBreakBefore w:val="0"/>
        <w:kinsoku/>
        <w:wordWrap/>
        <w:overflowPunct/>
        <w:topLinePunct w:val="0"/>
        <w:autoSpaceDE/>
        <w:autoSpaceDN/>
        <w:bidi w:val="0"/>
        <w:spacing w:line="360" w:lineRule="auto"/>
        <w:ind w:left="0"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2、合同执行中涉及采购资金和采购内容修改或补充的，须经政府采购监管部门审批，并</w:t>
      </w:r>
      <w:r>
        <w:rPr>
          <w:rFonts w:hint="eastAsia" w:ascii="仿宋" w:hAnsi="仿宋" w:eastAsia="仿宋" w:cs="仿宋"/>
          <w:color w:val="auto"/>
          <w:sz w:val="22"/>
          <w:szCs w:val="22"/>
          <w:highlight w:val="none"/>
          <w:lang w:val="en-US" w:eastAsia="zh-CN"/>
        </w:rPr>
        <w:t>签订</w:t>
      </w:r>
      <w:r>
        <w:rPr>
          <w:rFonts w:hint="eastAsia" w:ascii="仿宋" w:hAnsi="仿宋" w:eastAsia="仿宋" w:cs="仿宋"/>
          <w:color w:val="auto"/>
          <w:sz w:val="22"/>
          <w:szCs w:val="22"/>
          <w:highlight w:val="none"/>
        </w:rPr>
        <w:t>书面补充协议报政府采购监督管理部门备案，方可作为主合同不可分割的一部分。</w:t>
      </w:r>
    </w:p>
    <w:p w14:paraId="3848BCB0">
      <w:pPr>
        <w:pStyle w:val="18"/>
        <w:pageBreakBefore w:val="0"/>
        <w:kinsoku/>
        <w:wordWrap/>
        <w:overflowPunct/>
        <w:topLinePunct w:val="0"/>
        <w:autoSpaceDE/>
        <w:autoSpaceDN/>
        <w:bidi w:val="0"/>
        <w:spacing w:line="360" w:lineRule="auto"/>
        <w:ind w:left="0" w:firstLine="48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3、本合同一式</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份，自双方签章之日起</w:t>
      </w:r>
      <w:r>
        <w:rPr>
          <w:rFonts w:hint="eastAsia" w:ascii="仿宋" w:hAnsi="仿宋" w:eastAsia="仿宋" w:cs="仿宋"/>
          <w:color w:val="auto"/>
          <w:sz w:val="22"/>
          <w:szCs w:val="22"/>
          <w:highlight w:val="none"/>
          <w:lang w:val="en-US" w:eastAsia="zh-CN"/>
        </w:rPr>
        <w:t>生</w:t>
      </w:r>
      <w:r>
        <w:rPr>
          <w:rFonts w:hint="eastAsia" w:ascii="仿宋" w:hAnsi="仿宋" w:eastAsia="仿宋" w:cs="仿宋"/>
          <w:color w:val="auto"/>
          <w:sz w:val="22"/>
          <w:szCs w:val="22"/>
          <w:highlight w:val="none"/>
        </w:rPr>
        <w:t>效。甲方</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份，乙方</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份，政府采购代理机构</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份，同级财政部门备案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份，具有同等法律效力。</w:t>
      </w:r>
    </w:p>
    <w:p w14:paraId="6753752E">
      <w:pPr>
        <w:pageBreakBefore w:val="0"/>
        <w:kinsoku/>
        <w:wordWrap/>
        <w:overflowPunct/>
        <w:topLinePunct w:val="0"/>
        <w:autoSpaceDE/>
        <w:autoSpaceDN/>
        <w:bidi w:val="0"/>
        <w:spacing w:line="360" w:lineRule="auto"/>
        <w:ind w:left="0" w:firstLine="433" w:firstLineChars="196"/>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t>第十五条  附件</w:t>
      </w:r>
    </w:p>
    <w:p w14:paraId="736AC474">
      <w:pPr>
        <w:ind w:firstLine="440" w:firstLineChars="200"/>
        <w:rPr>
          <w:rFonts w:hint="eastAsia" w:ascii="仿宋" w:hAnsi="仿宋" w:eastAsia="仿宋" w:cs="仿宋"/>
          <w:color w:val="auto"/>
          <w:sz w:val="22"/>
          <w:szCs w:val="22"/>
          <w:highlight w:val="none"/>
        </w:rPr>
      </w:pPr>
    </w:p>
    <w:p w14:paraId="4376505F">
      <w:pPr>
        <w:ind w:firstLine="440" w:firstLineChars="200"/>
        <w:rPr>
          <w:rFonts w:hint="eastAsia" w:ascii="仿宋" w:hAnsi="仿宋" w:eastAsia="仿宋" w:cs="仿宋"/>
          <w:color w:val="auto"/>
          <w:sz w:val="22"/>
          <w:szCs w:val="22"/>
          <w:highlight w:val="none"/>
        </w:rPr>
      </w:pPr>
    </w:p>
    <w:p w14:paraId="46AB90AA">
      <w:pPr>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甲方：   （盖章）   </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 乙方：   （盖章）</w:t>
      </w:r>
    </w:p>
    <w:p w14:paraId="2C37A49B">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法定代表人（授权代表）：           法定代表人（授权代表）：</w:t>
      </w:r>
    </w:p>
    <w:p w14:paraId="50BC5067">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地    址：                         地    址：</w:t>
      </w:r>
    </w:p>
    <w:p w14:paraId="61D294BB">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                         开户银行：</w:t>
      </w:r>
      <w:bookmarkStart w:id="55" w:name="_GoBack"/>
      <w:bookmarkEnd w:id="55"/>
    </w:p>
    <w:p w14:paraId="17EB0128">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                             账号：</w:t>
      </w:r>
    </w:p>
    <w:p w14:paraId="4549A2B9">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电    话：                         电    话：</w:t>
      </w:r>
    </w:p>
    <w:p w14:paraId="1F47E808">
      <w:pPr>
        <w:pageBreakBefore w:val="0"/>
        <w:kinsoku/>
        <w:wordWrap/>
        <w:overflowPunct/>
        <w:topLinePunct w:val="0"/>
        <w:autoSpaceDE/>
        <w:autoSpaceDN/>
        <w:bidi w:val="0"/>
        <w:spacing w:line="360" w:lineRule="auto"/>
        <w:ind w:left="0"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传    真：                         传    真：</w:t>
      </w:r>
    </w:p>
    <w:p w14:paraId="1313A0AD">
      <w:pPr>
        <w:pStyle w:val="19"/>
        <w:pageBreakBefore w:val="0"/>
        <w:kinsoku/>
        <w:wordWrap/>
        <w:overflowPunct/>
        <w:topLinePunct w:val="0"/>
        <w:autoSpaceDE/>
        <w:autoSpaceDN/>
        <w:bidi w:val="0"/>
        <w:spacing w:line="360" w:lineRule="auto"/>
        <w:ind w:left="0" w:firstLine="440" w:firstLineChars="200"/>
        <w:rPr>
          <w:rFonts w:hint="eastAsia"/>
          <w:sz w:val="20"/>
          <w:szCs w:val="20"/>
          <w:lang w:val="en-US" w:eastAsia="zh-Hans"/>
        </w:rPr>
      </w:pPr>
      <w:r>
        <w:rPr>
          <w:rFonts w:hint="eastAsia" w:ascii="仿宋" w:hAnsi="仿宋" w:eastAsia="仿宋" w:cs="仿宋"/>
          <w:color w:val="auto"/>
          <w:sz w:val="22"/>
          <w:szCs w:val="22"/>
          <w:highlight w:val="none"/>
        </w:rPr>
        <w:t>签约日期：</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 xml:space="preserve">日 </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签约日期：</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日</w:t>
      </w:r>
    </w:p>
    <w:p w14:paraId="48EC3982">
      <w:pPr>
        <w:pStyle w:val="9"/>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C3A7">
    <w:pPr>
      <w:pStyle w:val="10"/>
      <w:jc w:val="center"/>
      <w:rPr>
        <w:rFonts w:ascii="宋体"/>
        <w:sz w:val="21"/>
        <w:szCs w:val="21"/>
      </w:rPr>
    </w:pPr>
    <w:r>
      <w:rPr>
        <w:rFonts w:hint="eastAsia" w:ascii="宋体" w:hAnsi="宋体" w:cs="宋体"/>
        <w:kern w:val="0"/>
        <w:sz w:val="21"/>
        <w:szCs w:val="21"/>
      </w:rPr>
      <w:t>第</w:t>
    </w:r>
    <w:r>
      <w:rPr>
        <w:rFonts w:ascii="宋体" w:hAnsi="宋体" w:cs="宋体"/>
        <w:kern w:val="0"/>
        <w:sz w:val="21"/>
        <w:szCs w:val="21"/>
      </w:rPr>
      <w:t xml:space="preserve"> </w:t>
    </w:r>
    <w:r>
      <w:rPr>
        <w:rFonts w:ascii="宋体" w:hAnsi="宋体" w:cs="宋体"/>
        <w:kern w:val="0"/>
        <w:sz w:val="21"/>
        <w:szCs w:val="21"/>
      </w:rPr>
      <w:fldChar w:fldCharType="begin"/>
    </w:r>
    <w:r>
      <w:rPr>
        <w:rFonts w:ascii="宋体" w:hAnsi="宋体" w:cs="宋体"/>
        <w:kern w:val="0"/>
        <w:sz w:val="21"/>
        <w:szCs w:val="21"/>
      </w:rPr>
      <w:instrText xml:space="preserve"> PAGE </w:instrText>
    </w:r>
    <w:r>
      <w:rPr>
        <w:rFonts w:ascii="宋体" w:hAnsi="宋体" w:cs="宋体"/>
        <w:kern w:val="0"/>
        <w:sz w:val="21"/>
        <w:szCs w:val="21"/>
      </w:rPr>
      <w:fldChar w:fldCharType="separate"/>
    </w:r>
    <w:r>
      <w:rPr>
        <w:rFonts w:ascii="宋体" w:hAnsi="宋体" w:cs="宋体"/>
        <w:kern w:val="0"/>
        <w:sz w:val="21"/>
        <w:szCs w:val="21"/>
      </w:rPr>
      <w:t>68</w:t>
    </w:r>
    <w:r>
      <w:rPr>
        <w:rFonts w:ascii="宋体" w:hAnsi="宋体" w:cs="宋体"/>
        <w:kern w:val="0"/>
        <w:sz w:val="21"/>
        <w:szCs w:val="21"/>
      </w:rPr>
      <w:fldChar w:fldCharType="end"/>
    </w:r>
    <w:r>
      <w:rPr>
        <w:rFonts w:ascii="宋体" w:hAnsi="宋体" w:cs="宋体"/>
        <w:kern w:val="0"/>
        <w:sz w:val="21"/>
        <w:szCs w:val="21"/>
      </w:rPr>
      <w:t xml:space="preserve"> </w:t>
    </w:r>
    <w:r>
      <w:rPr>
        <w:rFonts w:hint="eastAsia" w:ascii="宋体" w:hAnsi="宋体" w:cs="宋体"/>
        <w:kern w:val="0"/>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CE5502"/>
    <w:rsid w:val="2BBE2DF7"/>
    <w:rsid w:val="30500B8B"/>
    <w:rsid w:val="39E76805"/>
    <w:rsid w:val="4D6A06BC"/>
    <w:rsid w:val="522D0AC2"/>
    <w:rsid w:val="5626051D"/>
    <w:rsid w:val="64307297"/>
    <w:rsid w:val="64C323E4"/>
    <w:rsid w:val="77AC6789"/>
    <w:rsid w:val="7F7B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6">
    <w:name w:val="Normal Indent"/>
    <w:basedOn w:val="1"/>
    <w:next w:val="7"/>
    <w:qFormat/>
    <w:uiPriority w:val="99"/>
    <w:pPr>
      <w:ind w:firstLine="420"/>
    </w:pPr>
    <w:rPr>
      <w:szCs w:val="20"/>
    </w:rPr>
  </w:style>
  <w:style w:type="paragraph" w:styleId="7">
    <w:name w:val="toc 4"/>
    <w:basedOn w:val="1"/>
    <w:next w:val="1"/>
    <w:unhideWhenUsed/>
    <w:qFormat/>
    <w:uiPriority w:val="31"/>
    <w:pPr>
      <w:ind w:left="1275"/>
    </w:pPr>
    <w:rPr>
      <w:rFonts w:ascii="Calibri" w:hAnsi="Calibri"/>
      <w:szCs w:val="21"/>
    </w:rPr>
  </w:style>
  <w:style w:type="paragraph" w:styleId="8">
    <w:name w:val="toa heading"/>
    <w:basedOn w:val="1"/>
    <w:next w:val="1"/>
    <w:qFormat/>
    <w:uiPriority w:val="0"/>
    <w:pPr>
      <w:spacing w:before="120"/>
    </w:pPr>
    <w:rPr>
      <w:sz w:val="24"/>
    </w:rPr>
  </w:style>
  <w:style w:type="paragraph" w:styleId="9">
    <w:name w:val="Body Text"/>
    <w:basedOn w:val="1"/>
    <w:next w:val="1"/>
    <w:semiHidden/>
    <w:qFormat/>
    <w:uiPriority w:val="0"/>
    <w:rPr>
      <w:rFonts w:ascii="仿宋" w:hAnsi="仿宋" w:eastAsia="仿宋" w:cs="仿宋"/>
      <w:sz w:val="31"/>
      <w:szCs w:val="31"/>
      <w:lang w:eastAsia="en-US"/>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rPr>
  </w:style>
  <w:style w:type="paragraph" w:styleId="12">
    <w:name w:val="Body Text First Indent"/>
    <w:basedOn w:val="9"/>
    <w:unhideWhenUsed/>
    <w:qFormat/>
    <w:uiPriority w:val="0"/>
    <w:pPr>
      <w:ind w:firstLine="420" w:firstLineChars="100"/>
    </w:pPr>
    <w:rPr>
      <w:rFonts w:ascii="Calibri" w:hAnsi="Calibri"/>
      <w:sz w:val="18"/>
      <w:szCs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_Style 2"/>
    <w:basedOn w:val="1"/>
    <w:qFormat/>
    <w:uiPriority w:val="99"/>
    <w:pPr>
      <w:ind w:firstLine="420" w:firstLineChars="200"/>
    </w:pPr>
    <w:rPr>
      <w:szCs w:val="24"/>
    </w:rPr>
  </w:style>
  <w:style w:type="paragraph" w:customStyle="1" w:styleId="17">
    <w:name w:val="列出段落1"/>
    <w:basedOn w:val="1"/>
    <w:qFormat/>
    <w:uiPriority w:val="34"/>
    <w:pPr>
      <w:ind w:firstLine="420" w:firstLineChars="200"/>
    </w:pPr>
  </w:style>
  <w:style w:type="paragraph" w:styleId="18">
    <w:name w:val="List Paragraph"/>
    <w:basedOn w:val="1"/>
    <w:qFormat/>
    <w:uiPriority w:val="34"/>
    <w:pPr>
      <w:ind w:firstLine="420" w:firstLineChars="200"/>
    </w:pPr>
  </w:style>
  <w:style w:type="paragraph" w:customStyle="1" w:styleId="19">
    <w:name w:val="null3"/>
    <w:qFormat/>
    <w:uiPriority w:val="0"/>
    <w:rPr>
      <w:rFonts w:hint="eastAsia" w:ascii="Calibri" w:hAnsi="Calibri" w:eastAsia="宋体" w:cs="Times New Roman"/>
      <w:lang w:val="en-US" w:eastAsia="zh-Hans" w:bidi="ar-SA"/>
    </w:rPr>
  </w:style>
  <w:style w:type="paragraph" w:customStyle="1" w:styleId="20">
    <w:name w:val="Table Text"/>
    <w:basedOn w:val="1"/>
    <w:semiHidden/>
    <w:qFormat/>
    <w:uiPriority w:val="0"/>
    <w:rPr>
      <w:rFonts w:ascii="仿宋" w:hAnsi="仿宋" w:eastAsia="仿宋" w:cs="仿宋"/>
      <w:sz w:val="24"/>
      <w:lang w:eastAsia="en-US"/>
    </w:rPr>
  </w:style>
  <w:style w:type="paragraph" w:customStyle="1" w:styleId="2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956</Words>
  <Characters>1027</Characters>
  <Lines>0</Lines>
  <Paragraphs>0</Paragraphs>
  <TotalTime>0</TotalTime>
  <ScaleCrop>false</ScaleCrop>
  <LinksUpToDate>false</LinksUpToDate>
  <CharactersWithSpaces>1136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2025-06-13T09:15:00Z</dcterms:created>
  <dc:creator>DELL</dc:creator>
  <cp:lastModifiedBy>zl</cp:lastModifiedBy>
  <dcterms:modified xsi:type="dcterms:W3CDTF">2026-06-03T07:05:36Z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eyJoZGlkIjoiYTFiMDNiZWQ5MWQxMjIzYjU0MTBhYTU0MzhiYWE1ZmUiLCJ1c2VySWQiOiIyNzQ5OTcwMTQifQ==</vt:lpwstr>
  </property>
  <property fmtid="{D5CDD505-2E9C-101B-9397-08002B2CF9AE}" pid="4" name="ICV">
    <vt:lpwstr>2A7B3C8737ED4C52AF842FA872DEABAC_12</vt:lpwstr>
  </property>
</Properties>
</file>