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版本号：SXDZ2026-ZC-CS00720260612001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受污染耕地土壤农产品协同监测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SXDZ2026-ZC-CS007</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受污染耕地土壤农产品协同监测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SXDZ2026-ZC-CS007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受污染耕地土壤农产品协同监测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对全市涉及受污染耕地区县（开发区）土壤及农产品进行协同监测，提升监测预警能力，保障农产品质量安全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采购包1（受污染耕地土壤农产品协同监测）：属于专门面向中小企业采购。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1、响应主体：响应供应商需提供有效合格的具有统一社会信用代码的营业执照，其他组织经营的须提供合法凭证，自然人提供身份证明文件。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2、身份证明：法定代表人参加投标的，须提供本人身份证加盖公章的复印件；法定代表人授权他人参加投标的，须提供法定代表人授权委托书及被授权代表的身份证复印件。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报告：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pPr>
        <w:pStyle w:val="null3"/>
      </w:pPr>
      <w:r>
        <w:rPr>
          <w:rFonts w:ascii="仿宋_GB2312" w:hAnsi="仿宋_GB2312" w:cs="仿宋_GB2312" w:eastAsia="仿宋_GB2312"/>
        </w:rPr>
        <w:t>4、税收缴纳证明：提供磋商截止日前6个月内已缴纳的至少一个月的纳税证明或完税证明，依法免税的单位应提供相关证明材料。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书面信用声明：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8、资质：具备合法有效的CMA检验检测机构资质认定证书、CATL农产品质量安全检测机构考核证书。</w:t>
      </w:r>
    </w:p>
    <w:p>
      <w:pPr>
        <w:pStyle w:val="null3"/>
      </w:pPr>
      <w:r>
        <w:rPr>
          <w:rFonts w:ascii="仿宋_GB2312" w:hAnsi="仿宋_GB2312" w:cs="仿宋_GB2312" w:eastAsia="仿宋_GB2312"/>
        </w:rPr>
        <w:t>9、控股、管理关系：单位负责人为同一人或者存在直接控股、管理关系的不同供应商，不得参加本次采购活动。</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西安市农业农村局（本级）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029-86787466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西安市莲湖区大兴东路29号御笔城市广场（2号电梯）4层408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 （为保证招标代理机构合理成本，若代理服务费按照该计价方式不足6000元的，按照6000元计取） 接收代理服务费账户名称：陕西东卓项目管理有限公司 开户银行：中国银行股份有限公司西安经济技术开发区支行 账号：102494375315 转账事由：（项目名称）代理服务费 咨询电话：029-86637322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按合同文本，国内相应的标准、规范，磋商文件，响应文件，承诺等服务指标进行逐项验收，各项指标均应符合验收标准及要求。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地址：西安市莲湖区大兴东路29号御笔城市广场（2号电梯）4层408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对全市涉及受污染耕地区县（开发区）土壤及农产品进行协同监测，提升监测预警能力，保障农产品质量安全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市级受污染耕地土壤农产品协同监测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标的名称：市级受污染耕地土壤农产品协同监测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after="120"/>
              <w:ind w:left="420"/>
              <w:jc w:val="left"/>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主要功能或目标</w:t>
            </w:r>
            <w:r>
              <w:rPr>
                <w:rFonts w:ascii="仿宋_GB2312" w:hAnsi="仿宋_GB2312" w:cs="仿宋_GB2312" w:eastAsia="仿宋_GB2312"/>
                <w:sz w:val="24"/>
              </w:rPr>
              <w:t>:对全市涉及受污染耕地区县（开发区）土壤及农产品进行协同监测，提升监测预警能力，保障农产品质量安全。</w:t>
            </w:r>
          </w:p>
          <w:p>
            <w:pPr>
              <w:pStyle w:val="null3"/>
              <w:spacing w:before="120" w:after="120"/>
              <w:ind w:firstLine="480"/>
              <w:jc w:val="left"/>
            </w:pPr>
            <w:r>
              <w:rPr>
                <w:rFonts w:ascii="仿宋_GB2312" w:hAnsi="仿宋_GB2312" w:cs="仿宋_GB2312" w:eastAsia="仿宋_GB2312"/>
                <w:sz w:val="24"/>
              </w:rPr>
              <w:t>开展</w:t>
            </w:r>
            <w:r>
              <w:rPr>
                <w:rFonts w:ascii="仿宋_GB2312" w:hAnsi="仿宋_GB2312" w:cs="仿宋_GB2312" w:eastAsia="仿宋_GB2312"/>
                <w:sz w:val="24"/>
              </w:rPr>
              <w:t>市级受污染耕地土壤及农产品协同监测，采集、制备、流转和检测土壤及农产品样品共计</w:t>
            </w:r>
            <w:r>
              <w:rPr>
                <w:rFonts w:ascii="仿宋_GB2312" w:hAnsi="仿宋_GB2312" w:cs="仿宋_GB2312" w:eastAsia="仿宋_GB2312"/>
                <w:sz w:val="24"/>
              </w:rPr>
              <w:t>160个，</w:t>
            </w:r>
            <w:r>
              <w:rPr>
                <w:rFonts w:ascii="仿宋_GB2312" w:hAnsi="仿宋_GB2312" w:cs="仿宋_GB2312" w:eastAsia="仿宋_GB2312"/>
                <w:sz w:val="24"/>
                <w:color w:val="000000"/>
              </w:rPr>
              <w:t>其中采集农产品样品</w:t>
            </w:r>
            <w:r>
              <w:rPr>
                <w:rFonts w:ascii="仿宋_GB2312" w:hAnsi="仿宋_GB2312" w:cs="仿宋_GB2312" w:eastAsia="仿宋_GB2312"/>
                <w:sz w:val="24"/>
                <w:color w:val="000000"/>
              </w:rPr>
              <w:t>80个，</w:t>
            </w:r>
            <w:r>
              <w:rPr>
                <w:rFonts w:ascii="仿宋_GB2312" w:hAnsi="仿宋_GB2312" w:cs="仿宋_GB2312" w:eastAsia="仿宋_GB2312"/>
                <w:sz w:val="24"/>
              </w:rPr>
              <w:t>检测总镉、总汞、总砷、总铅、总铬等</w:t>
            </w:r>
            <w:r>
              <w:rPr>
                <w:rFonts w:ascii="仿宋_GB2312" w:hAnsi="仿宋_GB2312" w:cs="仿宋_GB2312" w:eastAsia="仿宋_GB2312"/>
                <w:sz w:val="24"/>
              </w:rPr>
              <w:t>5项指标；</w:t>
            </w:r>
            <w:r>
              <w:rPr>
                <w:rFonts w:ascii="仿宋_GB2312" w:hAnsi="仿宋_GB2312" w:cs="仿宋_GB2312" w:eastAsia="仿宋_GB2312"/>
                <w:sz w:val="24"/>
                <w:color w:val="000000"/>
              </w:rPr>
              <w:t>采集土壤样品</w:t>
            </w:r>
            <w:r>
              <w:rPr>
                <w:rFonts w:ascii="仿宋_GB2312" w:hAnsi="仿宋_GB2312" w:cs="仿宋_GB2312" w:eastAsia="仿宋_GB2312"/>
                <w:sz w:val="24"/>
                <w:color w:val="000000"/>
              </w:rPr>
              <w:t>80个，</w:t>
            </w:r>
            <w:r>
              <w:rPr>
                <w:rFonts w:ascii="仿宋_GB2312" w:hAnsi="仿宋_GB2312" w:cs="仿宋_GB2312" w:eastAsia="仿宋_GB2312"/>
                <w:sz w:val="24"/>
              </w:rPr>
              <w:t>检测</w:t>
            </w:r>
            <w:r>
              <w:rPr>
                <w:rFonts w:ascii="仿宋_GB2312" w:hAnsi="仿宋_GB2312" w:cs="仿宋_GB2312" w:eastAsia="仿宋_GB2312"/>
                <w:sz w:val="24"/>
              </w:rPr>
              <w:t>pH、有机质、总镉、总汞、总砷、总铅、总铬、总铜、总锌和总镍等10项指标。</w:t>
            </w:r>
          </w:p>
          <w:p>
            <w:pPr>
              <w:pStyle w:val="null3"/>
              <w:spacing w:before="315" w:after="120"/>
              <w:jc w:val="left"/>
            </w:pPr>
            <w:r>
              <w:rPr>
                <w:rFonts w:ascii="仿宋_GB2312" w:hAnsi="仿宋_GB2312" w:cs="仿宋_GB2312" w:eastAsia="仿宋_GB2312"/>
                <w:sz w:val="24"/>
                <w:b/>
              </w:rPr>
              <w:t>二、</w:t>
            </w:r>
            <w:r>
              <w:rPr>
                <w:rFonts w:ascii="仿宋_GB2312" w:hAnsi="仿宋_GB2312" w:cs="仿宋_GB2312" w:eastAsia="仿宋_GB2312"/>
                <w:sz w:val="24"/>
                <w:b/>
              </w:rPr>
              <w:t>技术要求</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组织架构完善，符合检测机构要求，</w:t>
            </w:r>
            <w:r>
              <w:rPr>
                <w:rFonts w:ascii="仿宋_GB2312" w:hAnsi="仿宋_GB2312" w:cs="仿宋_GB2312" w:eastAsia="仿宋_GB2312"/>
                <w:sz w:val="24"/>
              </w:rPr>
              <w:t>具有</w:t>
            </w:r>
            <w:r>
              <w:rPr>
                <w:rFonts w:ascii="仿宋_GB2312" w:hAnsi="仿宋_GB2312" w:cs="仿宋_GB2312" w:eastAsia="仿宋_GB2312"/>
                <w:sz w:val="24"/>
              </w:rPr>
              <w:t>CMA、CATL资质，在西安市有独立检测实验室，参与企业</w:t>
            </w:r>
            <w:r>
              <w:rPr>
                <w:rFonts w:ascii="仿宋_GB2312" w:hAnsi="仿宋_GB2312" w:cs="仿宋_GB2312" w:eastAsia="仿宋_GB2312"/>
                <w:sz w:val="24"/>
              </w:rPr>
              <w:t>要有独立财务账户、能够独立开展检测业务、能够独立出具检测报告。</w:t>
            </w:r>
          </w:p>
          <w:p>
            <w:pPr>
              <w:pStyle w:val="null3"/>
              <w:spacing w:before="120" w:after="120"/>
              <w:ind w:firstLine="480"/>
              <w:jc w:val="left"/>
            </w:pPr>
            <w:r>
              <w:rPr>
                <w:rFonts w:ascii="仿宋_GB2312" w:hAnsi="仿宋_GB2312" w:cs="仿宋_GB2312" w:eastAsia="仿宋_GB2312"/>
                <w:sz w:val="24"/>
              </w:rPr>
              <w:t>需满足的要求</w:t>
            </w:r>
            <w:r>
              <w:rPr>
                <w:rFonts w:ascii="仿宋_GB2312" w:hAnsi="仿宋_GB2312" w:cs="仿宋_GB2312" w:eastAsia="仿宋_GB2312"/>
                <w:sz w:val="24"/>
              </w:rPr>
              <w:t>:检测完成后检测机构提交具有法律效力的检测报告。</w:t>
            </w:r>
          </w:p>
          <w:p>
            <w:pPr>
              <w:pStyle w:val="null3"/>
              <w:spacing w:before="120" w:after="120"/>
              <w:ind w:firstLine="480"/>
              <w:jc w:val="left"/>
            </w:pPr>
            <w:r>
              <w:rPr>
                <w:rFonts w:ascii="仿宋_GB2312" w:hAnsi="仿宋_GB2312" w:cs="仿宋_GB2312" w:eastAsia="仿宋_GB2312"/>
                <w:sz w:val="24"/>
              </w:rPr>
              <w:t>★</w:t>
            </w:r>
            <w:r>
              <w:rPr>
                <w:rFonts w:ascii="仿宋_GB2312" w:hAnsi="仿宋_GB2312" w:cs="仿宋_GB2312" w:eastAsia="仿宋_GB2312"/>
                <w:sz w:val="24"/>
              </w:rPr>
              <w:t>本项目所有检测结果只对</w:t>
            </w:r>
            <w:r>
              <w:rPr>
                <w:rFonts w:ascii="仿宋_GB2312" w:hAnsi="仿宋_GB2312" w:cs="仿宋_GB2312" w:eastAsia="仿宋_GB2312"/>
                <w:sz w:val="24"/>
              </w:rPr>
              <w:t>采购人</w:t>
            </w:r>
            <w:r>
              <w:rPr>
                <w:rFonts w:ascii="仿宋_GB2312" w:hAnsi="仿宋_GB2312" w:cs="仿宋_GB2312" w:eastAsia="仿宋_GB2312"/>
                <w:sz w:val="24"/>
              </w:rPr>
              <w:t>负责，</w:t>
            </w:r>
            <w:r>
              <w:rPr>
                <w:rFonts w:ascii="仿宋_GB2312" w:hAnsi="仿宋_GB2312" w:cs="仿宋_GB2312" w:eastAsia="仿宋_GB2312"/>
                <w:sz w:val="24"/>
              </w:rPr>
              <w:t>供应商应对采购人的技术、资料和数据严格保密，维护采购人利益，</w:t>
            </w:r>
            <w:r>
              <w:rPr>
                <w:rFonts w:ascii="仿宋_GB2312" w:hAnsi="仿宋_GB2312" w:cs="仿宋_GB2312" w:eastAsia="仿宋_GB2312"/>
                <w:sz w:val="24"/>
              </w:rPr>
              <w:t>未经</w:t>
            </w:r>
            <w:r>
              <w:rPr>
                <w:rFonts w:ascii="仿宋_GB2312" w:hAnsi="仿宋_GB2312" w:cs="仿宋_GB2312" w:eastAsia="仿宋_GB2312"/>
                <w:sz w:val="24"/>
              </w:rPr>
              <w:t>采购人</w:t>
            </w:r>
            <w:r>
              <w:rPr>
                <w:rFonts w:ascii="仿宋_GB2312" w:hAnsi="仿宋_GB2312" w:cs="仿宋_GB2312" w:eastAsia="仿宋_GB2312"/>
                <w:sz w:val="24"/>
              </w:rPr>
              <w:t>同意不得向任何单位或个人透露</w:t>
            </w:r>
            <w:r>
              <w:rPr>
                <w:rFonts w:ascii="仿宋_GB2312" w:hAnsi="仿宋_GB2312" w:cs="仿宋_GB2312" w:eastAsia="仿宋_GB2312"/>
                <w:sz w:val="24"/>
              </w:rPr>
              <w:t>或公布</w:t>
            </w:r>
            <w:r>
              <w:rPr>
                <w:rFonts w:ascii="仿宋_GB2312" w:hAnsi="仿宋_GB2312" w:cs="仿宋_GB2312" w:eastAsia="仿宋_GB2312"/>
                <w:sz w:val="24"/>
              </w:rPr>
              <w:t>检测相关信息。</w:t>
            </w:r>
          </w:p>
          <w:p>
            <w:pPr>
              <w:pStyle w:val="null3"/>
              <w:spacing w:before="120" w:after="120"/>
              <w:ind w:firstLine="480"/>
              <w:jc w:val="left"/>
            </w:pPr>
            <w:r>
              <w:rPr>
                <w:rFonts w:ascii="仿宋_GB2312" w:hAnsi="仿宋_GB2312" w:cs="仿宋_GB2312" w:eastAsia="仿宋_GB2312"/>
                <w:sz w:val="24"/>
              </w:rPr>
              <w:t>成果交付要求：符合国家相关标准及采购人要求。</w:t>
            </w:r>
          </w:p>
          <w:p>
            <w:pPr>
              <w:pStyle w:val="null3"/>
            </w:pPr>
            <w:r>
              <w:rPr>
                <w:rFonts w:ascii="仿宋_GB2312" w:hAnsi="仿宋_GB2312" w:cs="仿宋_GB2312" w:eastAsia="仿宋_GB2312"/>
                <w:sz w:val="24"/>
              </w:rPr>
              <w:t>注：带</w:t>
            </w:r>
            <w:r>
              <w:rPr>
                <w:rFonts w:ascii="仿宋_GB2312" w:hAnsi="仿宋_GB2312" w:cs="仿宋_GB2312" w:eastAsia="仿宋_GB2312"/>
                <w:sz w:val="24"/>
              </w:rPr>
              <w:t>“★”号条款均为实质性响应要求，必须全部响应。</w:t>
            </w:r>
          </w:p>
          <w:p>
            <w:pPr>
              <w:pStyle w:val="null3"/>
              <w:spacing w:before="315" w:after="120"/>
              <w:jc w:val="left"/>
            </w:pPr>
            <w:r>
              <w:rPr>
                <w:rFonts w:ascii="仿宋_GB2312" w:hAnsi="仿宋_GB2312" w:cs="仿宋_GB2312" w:eastAsia="仿宋_GB2312"/>
              </w:rPr>
              <w:t xml:space="preserve"> </w:t>
            </w:r>
          </w:p>
          <w:p>
            <w:pPr>
              <w:pStyle w:val="null3"/>
              <w:spacing w:before="120" w:after="120"/>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按合同文本，国内相应的标准、规范，磋商文件，响应文件，承诺等服务指标进行逐项验收，各项指标均应符合验收标准及要求。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进度款，项目完成后，达到付款条件起20个工作日内，支付合同总金额的60.0%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依照《中华人民共和国民法典》、《中华人民共和国政府采购法》及其他有关法律、行政法规，遵循平等、自愿、公平和诚实信用的原则。</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 （3）根据《西安市财政局关于促进政府采购公平竞争优化营商环境的通知》市财函[2021]431号文第16条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sxdz20210508@168.com）。否则，采购代理机构可以向财政部门反应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响应供应商需提供有效合格的具有统一社会信用代码的营业执照，其他组织经营的须提供合法凭证，自然人提供身份证明文件。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书面信用声明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具备合法有效的CMA检验检测机构资质认定证书、CATL农产品质量安全检测机构考核证书。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w:t>
            </w:r>
          </w:p>
        </w:tc>
        <w:tc>
          <w:tcPr>
            <w:tcW w:type="dxa" w:w="3322"/>
          </w:tcPr>
          <w:p>
            <w:pPr>
              <w:pStyle w:val="null3"/>
            </w:pPr>
            <w:r>
              <w:rPr>
                <w:rFonts w:ascii="仿宋_GB2312" w:hAnsi="仿宋_GB2312" w:cs="仿宋_GB2312" w:eastAsia="仿宋_GB2312"/>
              </w:rPr>
              <w:t>完全理解并响应采购文件要求的各项技术（服务），且未含有采购人不能接受的附加条件的。</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商务条款（如服务期限、付款方式、响应有效期等）</w:t>
            </w:r>
          </w:p>
        </w:tc>
        <w:tc>
          <w:tcPr>
            <w:tcW w:type="dxa" w:w="3322"/>
          </w:tcPr>
          <w:p>
            <w:pPr>
              <w:pStyle w:val="null3"/>
            </w:pPr>
            <w:r>
              <w:rPr>
                <w:rFonts w:ascii="仿宋_GB2312" w:hAnsi="仿宋_GB2312" w:cs="仿宋_GB2312" w:eastAsia="仿宋_GB2312"/>
              </w:rPr>
              <w:t>完全理解并响应采购文件商务条款的要求，且未含有采购人不能接受的附加条件的。</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项目检测能力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检验项目应当覆盖本次所列参数项目需求。供应商针对拟检验项目检测技术指标通过CMA/CATL认证，提交项目明细附表。符合率100%得12分；符合率90%-99%得6分；低于90%不得分。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①组织管理②人员培训③方案计划④采样贮存⑤信息报送⑥检验工作⑦质量体系和质量监督⑧风险防控。 二、评审标准： 1、完整性：内容全面，对评审内容中的各项要求有详细描述； 2、可实施性：切合本项目实际情况，方案步骤清晰、合理； 3、针对性：紧扣项目实际情况需求，内容切实合理。 三、赋分标准： ①组织管理：每完全满足一个评审标准得1分，满分3分； ②人员培训：每完全满足一个评审标准得1分，满分3分； ③方案计划：每完全满足一个评审标准得1分，满分3分； ④采样贮存：每完全满足一个评审标准得1分，满分3分； ⑤信息报送：每完全满足一个评审标准得1分，满分3分； ⑥检验工作：每完全满足一个评审标准得1分，满分3分； ⑦质量体系和质量监督：每完全满足一个评审标准得1分，满分3分； ⑧风险防控：每完全满足一个评审标准得1分，满分3分。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实验室配置</w:t>
            </w:r>
          </w:p>
        </w:tc>
        <w:tc>
          <w:tcPr>
            <w:tcW w:type="dxa" w:w="2492"/>
          </w:tcPr>
          <w:p>
            <w:pPr>
              <w:pStyle w:val="null3"/>
            </w:pPr>
            <w:r>
              <w:rPr>
                <w:rFonts w:ascii="仿宋_GB2312" w:hAnsi="仿宋_GB2312" w:cs="仿宋_GB2312" w:eastAsia="仿宋_GB2312"/>
              </w:rPr>
              <w:t>一、评审内容：①实验室场所条件；②实验室设施配置。 二、评审标准： 1、完整性：内容全面，对评审内容中的各项要求有详细描述； 2、可实施性：切合本项目实际情况，方案步骤清晰、合理； 3、针对性：紧扣项目实际情况需求，内容切实合理。 三、赋分标准： ①实验室场所条件：每完全满足一个评审标准得1分，满分3分； ②实验室设施配置：每完全满足一个评审标准得1分，满分3分。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①保密制度； ②保密措施及承诺。 二、评审标准： 1、完整性：内容全面，对评审内容中的各项要求有详细描述； 2、可实施性：切合本项目实际情况，方案步骤清晰、合理； 3、针对性：紧扣项目实际情况需求，内容切实合理。 三、赋分标准： ①保密制度：每完全满足一个评审标准得1分，满分3分；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对拟投入人员设置及分工安排、职责划分，进行评审。 拟投入人员组织方案同时满足完整性、可实施性、针对性三项评审标准的，得9分； 团队人员组织方案的完整性、可实施性、针对性其中有一项评审标准有瑕疵，得7分； 团队人员组织方案的完整性、可实施性、针对性其中有两项评审标准有瑕疵，得4分； 团队人员组织方案的完整性、可实施性、针对性其中有三项评审标准均有瑕疵，得2分；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工作成果</w:t>
            </w:r>
          </w:p>
        </w:tc>
        <w:tc>
          <w:tcPr>
            <w:tcW w:type="dxa" w:w="2492"/>
          </w:tcPr>
          <w:p>
            <w:pPr>
              <w:pStyle w:val="null3"/>
            </w:pPr>
            <w:r>
              <w:rPr>
                <w:rFonts w:ascii="仿宋_GB2312" w:hAnsi="仿宋_GB2312" w:cs="仿宋_GB2312" w:eastAsia="仿宋_GB2312"/>
              </w:rPr>
              <w:t>供应商针对本项目提供的工作成果内容、报告处理及送达时效方案。 根据供应商所描述方案的完整性、可实施性、针对性进行评审。 方案同时满足完整性、可实施性、针对性三项评审标准的，得5分； 方案的完整性、可实施性、针对性其中有一项评审标准有瑕疵，得3分； 方案的完整性、可实施性、针对性其中有两项评审标准有瑕疵，得2分； 方案的完整性、可实施性、针对性其中有三项评审标准有瑕疵，得1分。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体系认证：持有质量管理体系认证（IS09001或GB/T19001）、职业健康安全管理体系认证（OHSAS18001或GB/T28001或IS045001）、环境管理体系认证（IS014001或GB/T24001），有一项认证证书得1分，满分3分。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供应商提供自2023年1月1日至今具有同类项目业绩，每提供一个得3分，满分得15分。 注：业绩证明以合同或中标通知书复印件加盖公章为依据。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