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F79B38">
      <w:pPr>
        <w:pStyle w:val="3"/>
        <w:bidi w:val="0"/>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合同条款及格式</w:t>
      </w:r>
    </w:p>
    <w:p w14:paraId="733E1C41">
      <w:pPr>
        <w:spacing w:before="0" w:after="0" w:line="500" w:lineRule="exact"/>
        <w:ind w:firstLine="480" w:firstLineChars="200"/>
        <w:jc w:val="both"/>
        <w:rPr>
          <w:rFonts w:hint="eastAsia" w:ascii="宋体" w:hAnsi="宋体" w:eastAsia="宋体" w:cs="宋体"/>
          <w:kern w:val="0"/>
          <w:sz w:val="24"/>
          <w:szCs w:val="24"/>
          <w:highlight w:val="none"/>
          <w:lang w:val="en-US" w:eastAsia="zh-CN"/>
        </w:rPr>
      </w:pPr>
    </w:p>
    <w:p w14:paraId="6F4ECE58">
      <w:pPr>
        <w:pStyle w:val="4"/>
        <w:jc w:val="center"/>
        <w:rPr>
          <w:rFonts w:hint="eastAsia" w:ascii="宋体" w:eastAsia="宋体" w:cs="宋体"/>
          <w:b/>
          <w:bCs/>
          <w:kern w:val="0"/>
          <w:sz w:val="52"/>
          <w:szCs w:val="52"/>
          <w:lang w:val="en-US" w:eastAsia="zh-CN" w:bidi="ar-SA"/>
        </w:rPr>
      </w:pPr>
      <w:r>
        <w:rPr>
          <w:rFonts w:hint="eastAsia" w:ascii="宋体" w:hAnsi="Times New Roman" w:eastAsia="宋体" w:cs="宋体"/>
          <w:b/>
          <w:bCs/>
          <w:kern w:val="0"/>
          <w:sz w:val="52"/>
          <w:szCs w:val="52"/>
          <w:lang w:val="en-US" w:eastAsia="zh-CN" w:bidi="ar-SA"/>
        </w:rPr>
        <w:t xml:space="preserve">受污染耕地土壤农产品协同监测 </w:t>
      </w:r>
      <w:r>
        <w:rPr>
          <w:rFonts w:hint="eastAsia" w:ascii="宋体" w:cs="宋体"/>
          <w:b/>
          <w:bCs/>
          <w:kern w:val="0"/>
          <w:sz w:val="52"/>
          <w:szCs w:val="52"/>
          <w:lang w:val="en-US" w:eastAsia="zh-CN" w:bidi="ar-SA"/>
        </w:rPr>
        <w:t xml:space="preserve"> </w:t>
      </w:r>
    </w:p>
    <w:p w14:paraId="44BD453D">
      <w:pPr>
        <w:rPr>
          <w:rFonts w:hint="eastAsia" w:ascii="宋体" w:eastAsia="宋体" w:cs="宋体"/>
          <w:b/>
          <w:bCs/>
          <w:kern w:val="0"/>
          <w:sz w:val="52"/>
          <w:szCs w:val="52"/>
          <w:lang w:val="en-US" w:eastAsia="zh-CN" w:bidi="ar-SA"/>
        </w:rPr>
      </w:pPr>
    </w:p>
    <w:p w14:paraId="092CDFCA">
      <w:pPr>
        <w:pStyle w:val="4"/>
        <w:rPr>
          <w:rFonts w:hint="eastAsia"/>
          <w:lang w:val="en-US" w:eastAsia="zh-CN"/>
        </w:rPr>
      </w:pPr>
    </w:p>
    <w:p w14:paraId="1D3E75A1">
      <w:pPr>
        <w:spacing w:before="0" w:after="0" w:line="480" w:lineRule="auto"/>
        <w:jc w:val="center"/>
        <w:rPr>
          <w:rFonts w:hint="eastAsia" w:ascii="宋体" w:eastAsia="宋体" w:cs="宋体"/>
          <w:b/>
          <w:bCs/>
          <w:kern w:val="0"/>
          <w:sz w:val="52"/>
          <w:szCs w:val="52"/>
          <w:lang w:val="en-US" w:eastAsia="zh-CN" w:bidi="ar-SA"/>
        </w:rPr>
      </w:pPr>
      <w:r>
        <w:rPr>
          <w:rFonts w:hint="eastAsia" w:ascii="宋体" w:eastAsia="宋体" w:cs="宋体"/>
          <w:b/>
          <w:bCs/>
          <w:kern w:val="0"/>
          <w:sz w:val="52"/>
          <w:szCs w:val="52"/>
          <w:lang w:val="en-US" w:eastAsia="zh-CN" w:bidi="ar-SA"/>
        </w:rPr>
        <w:t>政府采购合同</w:t>
      </w:r>
    </w:p>
    <w:p w14:paraId="08875DAF">
      <w:pPr>
        <w:pStyle w:val="5"/>
        <w:rPr>
          <w:rFonts w:hint="eastAsia" w:ascii="宋体" w:eastAsia="宋体" w:cs="宋体"/>
          <w:b/>
          <w:bCs/>
          <w:kern w:val="0"/>
          <w:sz w:val="52"/>
          <w:szCs w:val="52"/>
          <w:lang w:val="en-US" w:eastAsia="zh-CN" w:bidi="ar-SA"/>
        </w:rPr>
      </w:pPr>
    </w:p>
    <w:p w14:paraId="3E618324">
      <w:pPr>
        <w:pStyle w:val="5"/>
        <w:jc w:val="center"/>
        <w:rPr>
          <w:rFonts w:hint="eastAsia" w:ascii="宋体" w:eastAsia="宋体" w:cs="宋体"/>
          <w:b/>
          <w:bCs/>
          <w:kern w:val="0"/>
          <w:sz w:val="52"/>
          <w:szCs w:val="52"/>
          <w:lang w:val="en-US" w:eastAsia="zh-CN" w:bidi="ar-SA"/>
        </w:rPr>
      </w:pPr>
      <w:r>
        <w:rPr>
          <w:rFonts w:hint="eastAsia" w:ascii="宋体" w:eastAsia="宋体" w:cs="宋体"/>
          <w:b/>
          <w:bCs/>
          <w:kern w:val="0"/>
          <w:sz w:val="36"/>
          <w:szCs w:val="36"/>
          <w:lang w:val="en-US" w:eastAsia="zh-CN" w:bidi="ar-SA"/>
        </w:rPr>
        <w:t>（示范文本）</w:t>
      </w:r>
    </w:p>
    <w:p w14:paraId="44EF145A">
      <w:pPr>
        <w:spacing w:before="0" w:after="0" w:line="500" w:lineRule="exact"/>
        <w:ind w:firstLine="480" w:firstLineChars="200"/>
        <w:jc w:val="both"/>
        <w:rPr>
          <w:rFonts w:hint="eastAsia" w:ascii="宋体" w:eastAsia="宋体" w:cs="宋体"/>
          <w:kern w:val="0"/>
          <w:sz w:val="24"/>
          <w:szCs w:val="24"/>
          <w:lang w:val="en-US" w:eastAsia="zh-CN" w:bidi="ar-SA"/>
        </w:rPr>
      </w:pPr>
    </w:p>
    <w:p w14:paraId="00ED3A2F">
      <w:pPr>
        <w:spacing w:before="0" w:after="0" w:line="500" w:lineRule="exact"/>
        <w:ind w:firstLine="480" w:firstLineChars="200"/>
        <w:jc w:val="both"/>
        <w:rPr>
          <w:rFonts w:hint="eastAsia" w:ascii="宋体" w:eastAsia="宋体" w:cs="宋体"/>
          <w:kern w:val="0"/>
          <w:sz w:val="24"/>
          <w:szCs w:val="24"/>
          <w:lang w:val="en-US" w:eastAsia="zh-CN" w:bidi="ar-SA"/>
        </w:rPr>
      </w:pPr>
    </w:p>
    <w:p w14:paraId="43DAFF22">
      <w:pPr>
        <w:spacing w:before="0" w:after="0" w:line="500" w:lineRule="exact"/>
        <w:ind w:firstLine="480" w:firstLineChars="200"/>
        <w:jc w:val="both"/>
        <w:rPr>
          <w:rFonts w:hint="eastAsia" w:ascii="宋体" w:eastAsia="宋体" w:cs="宋体"/>
          <w:kern w:val="0"/>
          <w:sz w:val="24"/>
          <w:szCs w:val="24"/>
          <w:lang w:val="en-US" w:eastAsia="zh-CN" w:bidi="ar-SA"/>
        </w:rPr>
      </w:pPr>
    </w:p>
    <w:p w14:paraId="4B58F4AB">
      <w:pPr>
        <w:spacing w:before="0" w:after="0" w:line="500" w:lineRule="exact"/>
        <w:ind w:firstLine="480" w:firstLineChars="200"/>
        <w:jc w:val="both"/>
        <w:rPr>
          <w:rFonts w:hint="eastAsia" w:ascii="宋体" w:eastAsia="宋体" w:cs="宋体"/>
          <w:kern w:val="0"/>
          <w:sz w:val="24"/>
          <w:szCs w:val="24"/>
          <w:lang w:val="en-US" w:eastAsia="zh-CN" w:bidi="ar-SA"/>
        </w:rPr>
      </w:pPr>
    </w:p>
    <w:p w14:paraId="6D6DA340">
      <w:pPr>
        <w:pStyle w:val="4"/>
        <w:rPr>
          <w:rFonts w:hint="eastAsia" w:ascii="宋体" w:eastAsia="宋体" w:cs="宋体"/>
          <w:kern w:val="0"/>
          <w:sz w:val="24"/>
          <w:szCs w:val="24"/>
          <w:lang w:val="en-US" w:eastAsia="zh-CN" w:bidi="ar-SA"/>
        </w:rPr>
      </w:pPr>
    </w:p>
    <w:p w14:paraId="2B6BCF11">
      <w:pPr>
        <w:spacing w:before="0" w:after="0" w:line="500" w:lineRule="exact"/>
        <w:ind w:firstLine="723" w:firstLineChars="200"/>
        <w:jc w:val="center"/>
        <w:rPr>
          <w:rFonts w:hint="eastAsia" w:ascii="宋体" w:eastAsia="宋体" w:cs="宋体"/>
          <w:b/>
          <w:bCs/>
          <w:kern w:val="0"/>
          <w:sz w:val="36"/>
          <w:szCs w:val="36"/>
          <w:highlight w:val="none"/>
          <w:lang w:val="en-US" w:eastAsia="zh-CN" w:bidi="ar-SA"/>
        </w:rPr>
      </w:pPr>
    </w:p>
    <w:p w14:paraId="463116F7">
      <w:pPr>
        <w:spacing w:before="0" w:after="0" w:line="500" w:lineRule="exact"/>
        <w:ind w:firstLine="723" w:firstLineChars="200"/>
        <w:jc w:val="center"/>
        <w:rPr>
          <w:rFonts w:hint="eastAsia" w:ascii="宋体" w:eastAsia="宋体" w:cs="宋体"/>
          <w:b/>
          <w:bCs/>
          <w:kern w:val="0"/>
          <w:sz w:val="36"/>
          <w:szCs w:val="36"/>
          <w:highlight w:val="none"/>
          <w:lang w:val="en-US" w:eastAsia="zh-CN" w:bidi="ar-SA"/>
        </w:rPr>
      </w:pPr>
    </w:p>
    <w:p w14:paraId="64813985">
      <w:pPr>
        <w:spacing w:before="0" w:after="0" w:line="500" w:lineRule="exact"/>
        <w:jc w:val="center"/>
        <w:rPr>
          <w:rFonts w:hint="eastAsia" w:ascii="宋体" w:eastAsia="宋体" w:cs="宋体"/>
          <w:b/>
          <w:bCs/>
          <w:kern w:val="0"/>
          <w:sz w:val="36"/>
          <w:szCs w:val="36"/>
          <w:highlight w:val="none"/>
          <w:lang w:val="en-US" w:eastAsia="zh-CN" w:bidi="ar-SA"/>
        </w:rPr>
      </w:pPr>
    </w:p>
    <w:p w14:paraId="0E14691E">
      <w:pPr>
        <w:spacing w:before="0" w:after="0" w:line="500" w:lineRule="exact"/>
        <w:jc w:val="center"/>
        <w:rPr>
          <w:rFonts w:hint="eastAsia" w:ascii="宋体" w:eastAsia="宋体" w:cs="宋体"/>
          <w:b/>
          <w:bCs/>
          <w:kern w:val="0"/>
          <w:sz w:val="36"/>
          <w:szCs w:val="36"/>
          <w:highlight w:val="none"/>
          <w:lang w:val="en-US" w:eastAsia="zh-CN" w:bidi="ar-SA"/>
        </w:rPr>
      </w:pPr>
    </w:p>
    <w:p w14:paraId="38464667">
      <w:pPr>
        <w:rPr>
          <w:rFonts w:hint="eastAsia" w:ascii="宋体" w:eastAsia="宋体" w:cs="宋体"/>
          <w:b/>
          <w:bCs/>
          <w:kern w:val="0"/>
          <w:sz w:val="36"/>
          <w:szCs w:val="36"/>
          <w:highlight w:val="none"/>
          <w:lang w:val="en-US" w:eastAsia="zh-CN" w:bidi="ar-SA"/>
        </w:rPr>
      </w:pPr>
      <w:r>
        <w:rPr>
          <w:rFonts w:hint="eastAsia" w:ascii="宋体" w:eastAsia="宋体" w:cs="宋体"/>
          <w:b/>
          <w:bCs/>
          <w:kern w:val="0"/>
          <w:sz w:val="36"/>
          <w:szCs w:val="36"/>
          <w:highlight w:val="none"/>
          <w:lang w:val="en-US" w:eastAsia="zh-CN" w:bidi="ar-SA"/>
        </w:rPr>
        <w:br w:type="page"/>
      </w:r>
    </w:p>
    <w:p w14:paraId="538EFEBF">
      <w:pPr>
        <w:spacing w:before="0" w:after="0" w:line="500" w:lineRule="exact"/>
        <w:jc w:val="center"/>
        <w:rPr>
          <w:rFonts w:hint="eastAsia" w:ascii="宋体" w:eastAsia="宋体" w:cs="宋体"/>
          <w:b/>
          <w:bCs/>
          <w:kern w:val="0"/>
          <w:sz w:val="36"/>
          <w:szCs w:val="36"/>
          <w:highlight w:val="none"/>
          <w:lang w:val="en-US" w:eastAsia="zh-CN" w:bidi="ar-SA"/>
        </w:rPr>
      </w:pPr>
      <w:r>
        <w:rPr>
          <w:rFonts w:hint="eastAsia" w:ascii="宋体" w:eastAsia="宋体" w:cs="宋体"/>
          <w:b/>
          <w:bCs/>
          <w:kern w:val="0"/>
          <w:sz w:val="36"/>
          <w:szCs w:val="36"/>
          <w:highlight w:val="none"/>
          <w:lang w:val="en-US" w:eastAsia="zh-CN" w:bidi="ar-SA"/>
        </w:rPr>
        <w:t>政府采购合同</w:t>
      </w:r>
    </w:p>
    <w:p w14:paraId="4D4999B6">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eastAsia="宋体" w:cs="宋体"/>
          <w:kern w:val="0"/>
          <w:sz w:val="24"/>
          <w:szCs w:val="24"/>
          <w:highlight w:val="none"/>
          <w:lang w:val="en-US" w:eastAsia="zh-CN" w:bidi="ar-SA"/>
        </w:rPr>
      </w:pPr>
      <w:r>
        <w:rPr>
          <w:rFonts w:hint="eastAsia" w:ascii="宋体" w:eastAsia="宋体" w:cs="宋体"/>
          <w:kern w:val="0"/>
          <w:sz w:val="24"/>
          <w:szCs w:val="24"/>
          <w:highlight w:val="none"/>
          <w:lang w:val="en-US" w:eastAsia="zh-CN" w:bidi="ar-SA"/>
        </w:rPr>
        <w:t xml:space="preserve">甲方（采购人）： </w:t>
      </w:r>
      <w:r>
        <w:rPr>
          <w:rFonts w:hint="eastAsia" w:ascii="宋体" w:eastAsia="宋体" w:cs="宋体"/>
          <w:kern w:val="0"/>
          <w:sz w:val="24"/>
          <w:szCs w:val="24"/>
          <w:highlight w:val="none"/>
          <w:u w:val="single"/>
          <w:lang w:val="en-US" w:eastAsia="zh-CN" w:bidi="ar-SA"/>
        </w:rPr>
        <w:t xml:space="preserve">                                  </w:t>
      </w:r>
      <w:r>
        <w:rPr>
          <w:rFonts w:hint="eastAsia" w:ascii="宋体" w:eastAsia="宋体" w:cs="宋体"/>
          <w:kern w:val="0"/>
          <w:sz w:val="24"/>
          <w:szCs w:val="24"/>
          <w:highlight w:val="none"/>
          <w:lang w:val="en-US" w:eastAsia="zh-CN" w:bidi="ar-SA"/>
        </w:rPr>
        <w:t xml:space="preserve">  </w:t>
      </w:r>
    </w:p>
    <w:p w14:paraId="315EFD7F">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eastAsia="宋体" w:cs="宋体"/>
          <w:kern w:val="0"/>
          <w:sz w:val="24"/>
          <w:szCs w:val="24"/>
          <w:highlight w:val="none"/>
          <w:lang w:val="en-US" w:eastAsia="zh-CN" w:bidi="ar-SA"/>
        </w:rPr>
      </w:pPr>
      <w:r>
        <w:rPr>
          <w:rFonts w:hint="eastAsia" w:ascii="宋体" w:eastAsia="宋体" w:cs="宋体"/>
          <w:kern w:val="0"/>
          <w:sz w:val="24"/>
          <w:szCs w:val="24"/>
          <w:highlight w:val="none"/>
          <w:lang w:val="en-US" w:eastAsia="zh-CN" w:bidi="ar-SA"/>
        </w:rPr>
        <w:t>乙方（供应商）：</w:t>
      </w:r>
      <w:r>
        <w:rPr>
          <w:rFonts w:hint="eastAsia" w:ascii="宋体" w:eastAsia="宋体" w:cs="宋体"/>
          <w:kern w:val="0"/>
          <w:sz w:val="24"/>
          <w:szCs w:val="24"/>
          <w:highlight w:val="none"/>
          <w:u w:val="single"/>
          <w:lang w:val="en-US" w:eastAsia="zh-CN" w:bidi="ar-SA"/>
        </w:rPr>
        <w:t xml:space="preserve">                             </w:t>
      </w:r>
      <w:r>
        <w:rPr>
          <w:rFonts w:hint="eastAsia" w:ascii="宋体" w:cs="宋体"/>
          <w:kern w:val="0"/>
          <w:sz w:val="24"/>
          <w:szCs w:val="24"/>
          <w:highlight w:val="none"/>
          <w:u w:val="single"/>
          <w:lang w:val="en-US" w:eastAsia="zh-CN" w:bidi="ar-SA"/>
        </w:rPr>
        <w:t xml:space="preserve">    </w:t>
      </w:r>
      <w:r>
        <w:rPr>
          <w:rFonts w:hint="eastAsia" w:ascii="宋体" w:eastAsia="宋体" w:cs="宋体"/>
          <w:kern w:val="0"/>
          <w:sz w:val="24"/>
          <w:szCs w:val="24"/>
          <w:highlight w:val="none"/>
          <w:u w:val="single"/>
          <w:lang w:val="en-US" w:eastAsia="zh-CN" w:bidi="ar-SA"/>
        </w:rPr>
        <w:t xml:space="preserve">  </w:t>
      </w:r>
      <w:r>
        <w:rPr>
          <w:rFonts w:hint="eastAsia" w:ascii="宋体" w:eastAsia="宋体" w:cs="宋体"/>
          <w:kern w:val="0"/>
          <w:sz w:val="24"/>
          <w:szCs w:val="24"/>
          <w:highlight w:val="none"/>
          <w:lang w:val="en-US" w:eastAsia="zh-CN" w:bidi="ar-SA"/>
        </w:rPr>
        <w:t xml:space="preserve"> </w:t>
      </w:r>
    </w:p>
    <w:p w14:paraId="446822F2">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依据《中华人民共和国民法典》和《中华人民共和国政府采购法》，经双方在平等、自愿、互利的基础上，签订本合同，共同信守。</w:t>
      </w:r>
    </w:p>
    <w:p w14:paraId="219817C7">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一、合同价款及</w:t>
      </w:r>
      <w:r>
        <w:rPr>
          <w:rFonts w:hint="eastAsia" w:ascii="宋体" w:hAnsi="宋体" w:cs="宋体"/>
          <w:b/>
          <w:bCs/>
          <w:kern w:val="0"/>
          <w:sz w:val="24"/>
          <w:szCs w:val="24"/>
          <w:highlight w:val="none"/>
          <w:lang w:val="en-US" w:eastAsia="zh-CN"/>
        </w:rPr>
        <w:t>付款</w:t>
      </w:r>
      <w:r>
        <w:rPr>
          <w:rFonts w:hint="eastAsia" w:ascii="宋体" w:hAnsi="宋体" w:eastAsia="宋体" w:cs="宋体"/>
          <w:b/>
          <w:bCs/>
          <w:kern w:val="0"/>
          <w:sz w:val="24"/>
          <w:szCs w:val="24"/>
          <w:highlight w:val="none"/>
          <w:lang w:val="en-US" w:eastAsia="zh-CN"/>
        </w:rPr>
        <w:t>方式</w:t>
      </w:r>
      <w:r>
        <w:rPr>
          <w:rFonts w:hint="eastAsia" w:ascii="宋体" w:hAnsi="宋体" w:cs="宋体"/>
          <w:b/>
          <w:bCs/>
          <w:kern w:val="0"/>
          <w:sz w:val="24"/>
          <w:szCs w:val="24"/>
          <w:highlight w:val="none"/>
          <w:lang w:val="en-US" w:eastAsia="zh-CN"/>
        </w:rPr>
        <w:t>：</w:t>
      </w:r>
    </w:p>
    <w:p w14:paraId="51E0BCEB">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1、本合同价款（含税）为（小写）¥      元；（大写）        元。</w:t>
      </w:r>
    </w:p>
    <w:p w14:paraId="08349CAB">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2、在服务期限内，本合同执行期间服务总费用不变，甲方无须另向乙方支付本合同规定之外的其他任何费用。并作为最终结算的唯一依据。</w:t>
      </w:r>
    </w:p>
    <w:p w14:paraId="2E020C2F">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3、付款方式：</w:t>
      </w:r>
    </w:p>
    <w:p w14:paraId="7C7FD4CB">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1、预付款，合同签订后，达到付款条件起20个工作日内，支付合同总金额的40.0%</w:t>
      </w:r>
    </w:p>
    <w:p w14:paraId="6885D014">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2、进度款，项目完成后，达到付款条件起20个工作日内，支付合同总金额的60.0%</w:t>
      </w:r>
    </w:p>
    <w:p w14:paraId="6D8A9153">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二、服务内容：</w:t>
      </w:r>
    </w:p>
    <w:p w14:paraId="3F0B0636">
      <w:pPr>
        <w:autoSpaceDE w:val="0"/>
        <w:autoSpaceDN w:val="0"/>
        <w:adjustRightInd w:val="0"/>
        <w:snapToGrid w:val="0"/>
        <w:spacing w:line="440" w:lineRule="exact"/>
        <w:ind w:firstLine="482" w:firstLineChars="200"/>
        <w:textAlignment w:val="bottom"/>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                                                                        </w:t>
      </w:r>
    </w:p>
    <w:p w14:paraId="7BD0970F">
      <w:pPr>
        <w:autoSpaceDE w:val="0"/>
        <w:autoSpaceDN w:val="0"/>
        <w:adjustRightIn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u w:val="single"/>
        </w:rPr>
        <w:t xml:space="preserve">                                                                        </w:t>
      </w:r>
    </w:p>
    <w:p w14:paraId="2FA0D931">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b/>
          <w:bCs/>
          <w:kern w:val="0"/>
          <w:sz w:val="24"/>
          <w:szCs w:val="24"/>
          <w:highlight w:val="none"/>
          <w:lang w:val="en-US" w:eastAsia="zh-CN"/>
        </w:rPr>
        <w:t>三、</w:t>
      </w:r>
      <w:r>
        <w:rPr>
          <w:rFonts w:hint="eastAsia"/>
          <w:b/>
          <w:bCs/>
          <w:sz w:val="24"/>
          <w:szCs w:val="24"/>
          <w:highlight w:val="none"/>
          <w:lang w:val="en-US" w:eastAsia="zh-CN"/>
        </w:rPr>
        <w:t>服务期：</w:t>
      </w:r>
      <w:r>
        <w:rPr>
          <w:rFonts w:hint="eastAsia" w:ascii="宋体" w:hAnsi="宋体" w:eastAsia="宋体" w:cs="宋体"/>
          <w:sz w:val="24"/>
          <w:szCs w:val="24"/>
          <w:highlight w:val="none"/>
          <w:lang w:val="en-US" w:eastAsia="zh-CN"/>
        </w:rPr>
        <w:t>自合同签订之日起1年。</w:t>
      </w:r>
    </w:p>
    <w:p w14:paraId="4003582D">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default" w:ascii="宋体" w:hAnsi="宋体" w:eastAsia="宋体" w:cs="宋体"/>
          <w:kern w:val="0"/>
          <w:sz w:val="24"/>
          <w:szCs w:val="24"/>
          <w:highlight w:val="none"/>
          <w:lang w:val="en-US" w:eastAsia="zh-CN"/>
        </w:rPr>
      </w:pPr>
      <w:r>
        <w:rPr>
          <w:rFonts w:hint="eastAsia" w:ascii="宋体" w:hAnsi="宋体" w:eastAsia="宋体" w:cs="宋体"/>
          <w:b/>
          <w:bCs/>
          <w:kern w:val="0"/>
          <w:sz w:val="24"/>
          <w:szCs w:val="24"/>
          <w:highlight w:val="none"/>
          <w:lang w:val="en-US" w:eastAsia="zh-CN"/>
        </w:rPr>
        <w:t>四、服务地点：</w:t>
      </w:r>
      <w:r>
        <w:rPr>
          <w:rFonts w:hint="eastAsia" w:ascii="宋体" w:hAnsi="宋体" w:eastAsia="宋体" w:cs="宋体"/>
          <w:kern w:val="0"/>
          <w:sz w:val="24"/>
          <w:szCs w:val="24"/>
          <w:highlight w:val="none"/>
          <w:lang w:val="en-US" w:eastAsia="zh-CN"/>
        </w:rPr>
        <w:t>采购人指定地点。</w:t>
      </w:r>
    </w:p>
    <w:p w14:paraId="3FD5D71A">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五、双方的权利和义务</w:t>
      </w:r>
      <w:r>
        <w:rPr>
          <w:rFonts w:hint="eastAsia" w:ascii="宋体" w:hAnsi="宋体" w:cs="宋体"/>
          <w:b/>
          <w:bCs/>
          <w:kern w:val="0"/>
          <w:sz w:val="24"/>
          <w:szCs w:val="24"/>
          <w:highlight w:val="none"/>
          <w:lang w:val="en-US" w:eastAsia="zh-CN"/>
        </w:rPr>
        <w:t>：</w:t>
      </w:r>
    </w:p>
    <w:p w14:paraId="6CFAD67E">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（一）甲方的权利与义务</w:t>
      </w:r>
    </w:p>
    <w:p w14:paraId="17DC0165">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1、甲方负责配合本次项目服务工作；</w:t>
      </w:r>
    </w:p>
    <w:p w14:paraId="36D2257C">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2、甲方应按本合同的约定向乙方支付合同价款；</w:t>
      </w:r>
    </w:p>
    <w:p w14:paraId="216278EC">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3、甲方有权对乙方的工作进行监督和考核。</w:t>
      </w:r>
    </w:p>
    <w:p w14:paraId="129AD58F">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（二）乙方的权利与义务</w:t>
      </w:r>
    </w:p>
    <w:p w14:paraId="6D877C83">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1、乙方应安排响应文件中承诺的人员投入工作，并在工作过程中保持人员的相对稳定；</w:t>
      </w:r>
    </w:p>
    <w:p w14:paraId="0285DEA4">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如果乙方人员不能胜任工作、渎职或从事其他违法活动，甲方有权以书面形式提出更换要求，乙方应立即派出具有同等资历的人员替换；若非因上述原因，乙方有权拒绝。乙方在事先取得甲方的同意后可以更换人员，但应符合响应文件中规定的资历要求，否则，甲方有权拒绝；</w:t>
      </w:r>
    </w:p>
    <w:p w14:paraId="0AF4ABCD">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3、乙方的工作进度没有达到响应文件中承诺的进度计划时，甲方有权提出要求增加人员，乙方应立即安排，其费用被认为已包含在合同价格之中；</w:t>
      </w:r>
    </w:p>
    <w:p w14:paraId="1658EA06">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4、由于甲方提出加快工作进度，提前完成而增加人员时，其费用应另外计列；</w:t>
      </w:r>
    </w:p>
    <w:p w14:paraId="64D9F4E0">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5、乙方应严格执行法律法规，严格遵守工作程序，正确执行标准技术规范，确保结果的公正、科学、准确；</w:t>
      </w:r>
    </w:p>
    <w:p w14:paraId="343F1FE7">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6、乙方应对甲方的技术、资料和数据严格保密，维护甲方利益。</w:t>
      </w:r>
    </w:p>
    <w:p w14:paraId="4F8A57AC">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六、知识产权：</w:t>
      </w:r>
    </w:p>
    <w:p w14:paraId="0D73345A">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乙方应保证所提供的服务或其任何一部分均不会侵犯任何第三方的专利权、商标权或著作权。</w:t>
      </w:r>
    </w:p>
    <w:p w14:paraId="1073652E">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b/>
          <w:bCs/>
          <w:kern w:val="0"/>
          <w:sz w:val="24"/>
          <w:szCs w:val="24"/>
          <w:highlight w:val="none"/>
          <w:lang w:val="en-US" w:eastAsia="zh-CN"/>
        </w:rPr>
      </w:pPr>
      <w:r>
        <w:rPr>
          <w:rFonts w:hint="eastAsia" w:ascii="宋体" w:hAnsi="宋体" w:cs="宋体"/>
          <w:b/>
          <w:bCs/>
          <w:kern w:val="0"/>
          <w:sz w:val="24"/>
          <w:szCs w:val="24"/>
          <w:highlight w:val="none"/>
          <w:lang w:val="en-US" w:eastAsia="zh-CN"/>
        </w:rPr>
        <w:t>七</w:t>
      </w:r>
      <w:r>
        <w:rPr>
          <w:rFonts w:hint="eastAsia" w:ascii="宋体" w:hAnsi="宋体" w:eastAsia="宋体" w:cs="宋体"/>
          <w:b/>
          <w:bCs/>
          <w:kern w:val="0"/>
          <w:sz w:val="24"/>
          <w:szCs w:val="24"/>
          <w:highlight w:val="none"/>
          <w:lang w:val="en-US" w:eastAsia="zh-CN"/>
        </w:rPr>
        <w:t>、违约责任</w:t>
      </w:r>
      <w:r>
        <w:rPr>
          <w:rFonts w:hint="eastAsia" w:ascii="宋体" w:hAnsi="宋体" w:cs="宋体"/>
          <w:b/>
          <w:bCs/>
          <w:kern w:val="0"/>
          <w:sz w:val="24"/>
          <w:szCs w:val="24"/>
          <w:highlight w:val="none"/>
          <w:lang w:val="en-US" w:eastAsia="zh-CN"/>
        </w:rPr>
        <w:t>：</w:t>
      </w:r>
    </w:p>
    <w:p w14:paraId="3E8B33D7">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1、按《中华人民共和国民法典》中的相关条款执行。</w:t>
      </w:r>
    </w:p>
    <w:p w14:paraId="53E2CA47">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2、任何一方未履行本合同项下的任何一项条款均被视为违约。违约方应承担因自己的违约行为而给守约方造成的经济损失。</w:t>
      </w:r>
    </w:p>
    <w:p w14:paraId="0354D284">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3、因甲方的原因造成影响工作进度和质量，所付的报酬不得追回。给乙方造成的损失，应当负赔偿损失的责任。</w:t>
      </w:r>
    </w:p>
    <w:p w14:paraId="123193D9">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4、未按合同要求提供服务或服务质量不能满足本次采购要求，采购人会同监督机构、采购代理机构有权终止合同和对成交供应商违约行为进行追究，同时按政府采购法的有关规定进行相应的处罚。</w:t>
      </w:r>
    </w:p>
    <w:p w14:paraId="4497DF07">
      <w:pPr>
        <w:pStyle w:val="4"/>
        <w:rPr>
          <w:rFonts w:hint="default" w:ascii="宋体" w:hAnsi="宋体" w:cs="宋体"/>
          <w:b/>
          <w:bCs/>
          <w:kern w:val="0"/>
          <w:sz w:val="24"/>
          <w:szCs w:val="24"/>
          <w:highlight w:val="none"/>
          <w:lang w:val="en-US" w:eastAsia="zh-CN"/>
        </w:rPr>
      </w:pPr>
      <w:r>
        <w:rPr>
          <w:rFonts w:hint="eastAsia" w:ascii="宋体" w:hAnsi="宋体" w:cs="宋体"/>
          <w:b/>
          <w:bCs/>
          <w:kern w:val="0"/>
          <w:sz w:val="24"/>
          <w:szCs w:val="24"/>
          <w:highlight w:val="none"/>
          <w:lang w:val="en-US" w:eastAsia="zh-CN"/>
        </w:rPr>
        <w:t>八、不可抗力的条款：</w:t>
      </w:r>
    </w:p>
    <w:p w14:paraId="688C5F24">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1、在合同有效期内，任何一方因不可抗力事件导致不能履行合同，则合同履行期可延长，其延长期与不可抗力影响期相同。</w:t>
      </w:r>
    </w:p>
    <w:p w14:paraId="4153E658">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2、不可抗力事件发生后，应立即通知对方，并寄送有关权威机构出具的证明。</w:t>
      </w:r>
    </w:p>
    <w:p w14:paraId="277CDD09">
      <w:pPr>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textAlignment w:val="auto"/>
        <w:rPr>
          <w:rFonts w:hint="default"/>
          <w:lang w:val="en-US" w:eastAsia="zh-CN"/>
        </w:rPr>
      </w:pPr>
      <w:r>
        <w:rPr>
          <w:rFonts w:hint="eastAsia" w:ascii="宋体" w:hAnsi="宋体" w:cs="宋体"/>
          <w:sz w:val="24"/>
          <w:szCs w:val="24"/>
        </w:rPr>
        <w:t>3、不可抗力事件延续</w:t>
      </w:r>
      <w:r>
        <w:rPr>
          <w:rFonts w:hint="eastAsia" w:ascii="宋体" w:hAnsi="宋体" w:cs="宋体"/>
          <w:sz w:val="24"/>
          <w:szCs w:val="24"/>
          <w:u w:val="single"/>
          <w:lang w:val="en-US" w:eastAsia="zh-CN"/>
        </w:rPr>
        <w:t xml:space="preserve">    </w:t>
      </w:r>
      <w:r>
        <w:rPr>
          <w:rFonts w:hint="eastAsia" w:ascii="宋体" w:hAnsi="宋体" w:cs="宋体"/>
          <w:sz w:val="24"/>
          <w:szCs w:val="24"/>
        </w:rPr>
        <w:t>天以上，双方应通过友好协商，确定是否继续履行合同。</w:t>
      </w:r>
    </w:p>
    <w:p w14:paraId="21FD4BD1">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b/>
          <w:bCs/>
          <w:kern w:val="0"/>
          <w:sz w:val="24"/>
          <w:szCs w:val="24"/>
          <w:highlight w:val="none"/>
          <w:lang w:val="en-US" w:eastAsia="zh-CN"/>
        </w:rPr>
      </w:pPr>
      <w:r>
        <w:rPr>
          <w:rFonts w:hint="eastAsia" w:ascii="宋体" w:hAnsi="宋体" w:cs="宋体"/>
          <w:b/>
          <w:bCs/>
          <w:kern w:val="0"/>
          <w:sz w:val="24"/>
          <w:szCs w:val="24"/>
          <w:highlight w:val="none"/>
          <w:lang w:val="en-US" w:eastAsia="zh-CN"/>
        </w:rPr>
        <w:t>九</w:t>
      </w:r>
      <w:r>
        <w:rPr>
          <w:rFonts w:hint="eastAsia" w:ascii="宋体" w:hAnsi="宋体" w:eastAsia="宋体" w:cs="宋体"/>
          <w:b/>
          <w:bCs/>
          <w:kern w:val="0"/>
          <w:sz w:val="24"/>
          <w:szCs w:val="24"/>
          <w:highlight w:val="none"/>
          <w:lang w:val="en-US" w:eastAsia="zh-CN"/>
        </w:rPr>
        <w:t>、争议解决方式</w:t>
      </w:r>
      <w:r>
        <w:rPr>
          <w:rFonts w:hint="eastAsia" w:ascii="宋体" w:hAnsi="宋体" w:cs="宋体"/>
          <w:b/>
          <w:bCs/>
          <w:kern w:val="0"/>
          <w:sz w:val="24"/>
          <w:szCs w:val="24"/>
          <w:highlight w:val="none"/>
          <w:lang w:val="en-US" w:eastAsia="zh-CN"/>
        </w:rPr>
        <w:t>：</w:t>
      </w:r>
    </w:p>
    <w:p w14:paraId="79C5CC2A">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合同执行中发生争议的，当事人双方应协商解决，协商达不成一致时，可向采购人所在地人民法院提请诉讼。</w:t>
      </w:r>
    </w:p>
    <w:p w14:paraId="0C95C905">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b/>
          <w:bCs/>
          <w:kern w:val="0"/>
          <w:sz w:val="24"/>
          <w:szCs w:val="24"/>
          <w:highlight w:val="none"/>
          <w:lang w:val="en-US" w:eastAsia="zh-CN"/>
        </w:rPr>
      </w:pPr>
      <w:r>
        <w:rPr>
          <w:rFonts w:hint="eastAsia" w:ascii="宋体" w:hAnsi="宋体" w:cs="宋体"/>
          <w:b/>
          <w:bCs/>
          <w:kern w:val="0"/>
          <w:sz w:val="24"/>
          <w:szCs w:val="24"/>
          <w:highlight w:val="none"/>
          <w:lang w:val="en-US" w:eastAsia="zh-CN"/>
        </w:rPr>
        <w:t>十</w:t>
      </w:r>
      <w:r>
        <w:rPr>
          <w:rFonts w:hint="eastAsia" w:ascii="宋体" w:hAnsi="宋体" w:eastAsia="宋体" w:cs="宋体"/>
          <w:b/>
          <w:bCs/>
          <w:kern w:val="0"/>
          <w:sz w:val="24"/>
          <w:szCs w:val="24"/>
          <w:highlight w:val="none"/>
          <w:lang w:val="en-US" w:eastAsia="zh-CN"/>
        </w:rPr>
        <w:t>、合同生效</w:t>
      </w:r>
      <w:r>
        <w:rPr>
          <w:rFonts w:hint="eastAsia" w:ascii="宋体" w:hAnsi="宋体" w:cs="宋体"/>
          <w:b/>
          <w:bCs/>
          <w:kern w:val="0"/>
          <w:sz w:val="24"/>
          <w:szCs w:val="24"/>
          <w:highlight w:val="none"/>
          <w:lang w:val="en-US" w:eastAsia="zh-CN"/>
        </w:rPr>
        <w:t>：</w:t>
      </w:r>
    </w:p>
    <w:p w14:paraId="1794A67D">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（一）本合同须经甲、乙双方的法定代表人（授权代表）在合同书上签字并加盖本单位公章后正式生效。</w:t>
      </w:r>
    </w:p>
    <w:p w14:paraId="33FB1757">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（二）合同生效后，甲、乙双方须严格执行本合同条款的规定，全面履行合同，违者按《中华人民共和国民法典》的有关规定承担相应责任。</w:t>
      </w:r>
    </w:p>
    <w:p w14:paraId="12E9FFFB">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（三）本合同一式</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份，甲乙双方各执</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份</w:t>
      </w:r>
      <w:bookmarkStart w:id="0" w:name="_GoBack"/>
      <w:bookmarkEnd w:id="0"/>
      <w:r>
        <w:rPr>
          <w:rFonts w:hint="eastAsia" w:ascii="宋体" w:hAnsi="宋体" w:eastAsia="宋体" w:cs="宋体"/>
          <w:kern w:val="0"/>
          <w:sz w:val="24"/>
          <w:szCs w:val="24"/>
          <w:highlight w:val="none"/>
          <w:lang w:val="en-US" w:eastAsia="zh-CN"/>
        </w:rPr>
        <w:t>。</w:t>
      </w:r>
    </w:p>
    <w:p w14:paraId="251AFAB3">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（四）本合同如有未尽事宜，甲、乙双方协商解决。</w:t>
      </w:r>
    </w:p>
    <w:p w14:paraId="38D818CD">
      <w:pPr>
        <w:pStyle w:val="4"/>
        <w:rPr>
          <w:rFonts w:hint="eastAsia"/>
          <w:lang w:val="en-US" w:eastAsia="zh-CN"/>
        </w:rPr>
      </w:pPr>
    </w:p>
    <w:p w14:paraId="552BD9FF">
      <w:pPr>
        <w:rPr>
          <w:rFonts w:hint="eastAsia"/>
          <w:lang w:val="en-US" w:eastAsia="zh-CN"/>
        </w:rPr>
      </w:pPr>
    </w:p>
    <w:p w14:paraId="04106E2C">
      <w:pPr>
        <w:rPr>
          <w:rFonts w:hint="eastAsia"/>
          <w:lang w:val="en-US" w:eastAsia="zh-CN"/>
        </w:rPr>
      </w:pPr>
    </w:p>
    <w:p w14:paraId="07FFD6C9">
      <w:pPr>
        <w:pStyle w:val="4"/>
        <w:rPr>
          <w:rFonts w:hint="eastAsia"/>
          <w:lang w:val="en-US" w:eastAsia="zh-CN"/>
        </w:rPr>
      </w:pPr>
    </w:p>
    <w:tbl>
      <w:tblPr>
        <w:tblStyle w:val="7"/>
        <w:tblW w:w="0" w:type="auto"/>
        <w:jc w:val="center"/>
        <w:tblLayout w:type="fixed"/>
        <w:tblCellMar>
          <w:top w:w="0" w:type="dxa"/>
          <w:left w:w="108" w:type="dxa"/>
          <w:bottom w:w="0" w:type="dxa"/>
          <w:right w:w="108" w:type="dxa"/>
        </w:tblCellMar>
      </w:tblPr>
      <w:tblGrid>
        <w:gridCol w:w="4189"/>
        <w:gridCol w:w="4190"/>
      </w:tblGrid>
      <w:tr w14:paraId="334D458F">
        <w:tblPrEx>
          <w:tblCellMar>
            <w:top w:w="0" w:type="dxa"/>
            <w:left w:w="108" w:type="dxa"/>
            <w:bottom w:w="0" w:type="dxa"/>
            <w:right w:w="108" w:type="dxa"/>
          </w:tblCellMar>
        </w:tblPrEx>
        <w:trPr>
          <w:trHeight w:val="549" w:hRule="exact"/>
          <w:jc w:val="center"/>
        </w:trPr>
        <w:tc>
          <w:tcPr>
            <w:tcW w:w="4189" w:type="dxa"/>
            <w:tcBorders>
              <w:top w:val="nil"/>
              <w:left w:val="nil"/>
              <w:bottom w:val="nil"/>
              <w:right w:val="nil"/>
            </w:tcBorders>
            <w:noWrap w:val="0"/>
            <w:vAlign w:val="center"/>
          </w:tcPr>
          <w:p w14:paraId="7864F53A">
            <w:pPr>
              <w:keepNext w:val="0"/>
              <w:keepLines w:val="0"/>
              <w:pageBreakBefore w:val="0"/>
              <w:widowControl w:val="0"/>
              <w:kinsoku/>
              <w:wordWrap/>
              <w:overflowPunct/>
              <w:topLinePunct w:val="0"/>
              <w:autoSpaceDE w:val="0"/>
              <w:autoSpaceDN w:val="0"/>
              <w:bidi w:val="0"/>
              <w:adjustRightInd w:val="0"/>
              <w:snapToGrid/>
              <w:spacing w:before="0" w:after="0" w:line="540" w:lineRule="exact"/>
              <w:textAlignment w:val="auto"/>
              <w:rPr>
                <w:rFonts w:hint="eastAsia" w:ascii="宋体" w:eastAsia="宋体" w:cs="宋体"/>
                <w:spacing w:val="0"/>
                <w:sz w:val="24"/>
                <w:szCs w:val="24"/>
                <w:lang w:bidi="ar-SA"/>
              </w:rPr>
            </w:pPr>
            <w:r>
              <w:rPr>
                <w:rFonts w:hint="eastAsia" w:ascii="宋体" w:eastAsia="宋体" w:cs="宋体"/>
                <w:spacing w:val="0"/>
                <w:sz w:val="24"/>
                <w:szCs w:val="24"/>
                <w:lang w:bidi="ar-SA"/>
              </w:rPr>
              <w:t>甲  方</w:t>
            </w:r>
          </w:p>
        </w:tc>
        <w:tc>
          <w:tcPr>
            <w:tcW w:w="4190" w:type="dxa"/>
            <w:tcBorders>
              <w:top w:val="nil"/>
              <w:left w:val="nil"/>
              <w:bottom w:val="nil"/>
              <w:right w:val="nil"/>
            </w:tcBorders>
            <w:noWrap w:val="0"/>
            <w:vAlign w:val="center"/>
          </w:tcPr>
          <w:p w14:paraId="702C6A88">
            <w:pPr>
              <w:keepNext w:val="0"/>
              <w:keepLines w:val="0"/>
              <w:pageBreakBefore w:val="0"/>
              <w:widowControl w:val="0"/>
              <w:kinsoku/>
              <w:wordWrap/>
              <w:overflowPunct/>
              <w:topLinePunct w:val="0"/>
              <w:autoSpaceDE w:val="0"/>
              <w:autoSpaceDN w:val="0"/>
              <w:bidi w:val="0"/>
              <w:adjustRightInd w:val="0"/>
              <w:snapToGrid/>
              <w:spacing w:before="0" w:after="0" w:line="540" w:lineRule="exact"/>
              <w:textAlignment w:val="auto"/>
              <w:rPr>
                <w:rFonts w:hint="eastAsia" w:ascii="宋体" w:eastAsia="宋体" w:cs="宋体"/>
                <w:spacing w:val="0"/>
                <w:sz w:val="24"/>
                <w:szCs w:val="24"/>
                <w:lang w:bidi="ar-SA"/>
              </w:rPr>
            </w:pPr>
            <w:r>
              <w:rPr>
                <w:rFonts w:hint="eastAsia" w:ascii="宋体" w:eastAsia="宋体" w:cs="宋体"/>
                <w:spacing w:val="0"/>
                <w:sz w:val="24"/>
                <w:szCs w:val="24"/>
                <w:lang w:bidi="ar-SA"/>
              </w:rPr>
              <w:t>乙  方</w:t>
            </w:r>
          </w:p>
        </w:tc>
      </w:tr>
      <w:tr w14:paraId="7871F1C6">
        <w:tblPrEx>
          <w:tblCellMar>
            <w:top w:w="0" w:type="dxa"/>
            <w:left w:w="108" w:type="dxa"/>
            <w:bottom w:w="0" w:type="dxa"/>
            <w:right w:w="108" w:type="dxa"/>
          </w:tblCellMar>
        </w:tblPrEx>
        <w:trPr>
          <w:trHeight w:val="549" w:hRule="exact"/>
          <w:jc w:val="center"/>
        </w:trPr>
        <w:tc>
          <w:tcPr>
            <w:tcW w:w="4189" w:type="dxa"/>
            <w:tcBorders>
              <w:top w:val="nil"/>
              <w:left w:val="nil"/>
              <w:bottom w:val="nil"/>
              <w:right w:val="nil"/>
            </w:tcBorders>
            <w:noWrap w:val="0"/>
            <w:vAlign w:val="center"/>
          </w:tcPr>
          <w:p w14:paraId="522B755C">
            <w:pPr>
              <w:keepNext w:val="0"/>
              <w:keepLines w:val="0"/>
              <w:pageBreakBefore w:val="0"/>
              <w:widowControl w:val="0"/>
              <w:kinsoku/>
              <w:wordWrap/>
              <w:overflowPunct/>
              <w:topLinePunct w:val="0"/>
              <w:autoSpaceDE w:val="0"/>
              <w:autoSpaceDN w:val="0"/>
              <w:bidi w:val="0"/>
              <w:adjustRightInd w:val="0"/>
              <w:snapToGrid/>
              <w:spacing w:before="0" w:after="0" w:line="540" w:lineRule="exact"/>
              <w:ind w:firstLine="840" w:firstLineChars="350"/>
              <w:textAlignment w:val="auto"/>
              <w:rPr>
                <w:rFonts w:hint="eastAsia" w:ascii="宋体" w:eastAsia="宋体" w:cs="宋体"/>
                <w:spacing w:val="0"/>
                <w:sz w:val="24"/>
                <w:szCs w:val="24"/>
                <w:lang w:bidi="ar-SA"/>
              </w:rPr>
            </w:pPr>
            <w:r>
              <w:rPr>
                <w:rFonts w:hint="eastAsia" w:ascii="宋体" w:eastAsia="宋体" w:cs="宋体"/>
                <w:spacing w:val="0"/>
                <w:sz w:val="24"/>
                <w:szCs w:val="24"/>
                <w:lang w:bidi="ar-SA"/>
              </w:rPr>
              <w:t>（盖章）</w:t>
            </w:r>
          </w:p>
        </w:tc>
        <w:tc>
          <w:tcPr>
            <w:tcW w:w="4190" w:type="dxa"/>
            <w:tcBorders>
              <w:top w:val="nil"/>
              <w:left w:val="nil"/>
              <w:bottom w:val="nil"/>
              <w:right w:val="nil"/>
            </w:tcBorders>
            <w:noWrap w:val="0"/>
            <w:vAlign w:val="center"/>
          </w:tcPr>
          <w:p w14:paraId="0AF250F6">
            <w:pPr>
              <w:keepNext w:val="0"/>
              <w:keepLines w:val="0"/>
              <w:pageBreakBefore w:val="0"/>
              <w:widowControl w:val="0"/>
              <w:kinsoku/>
              <w:wordWrap/>
              <w:overflowPunct/>
              <w:topLinePunct w:val="0"/>
              <w:autoSpaceDE w:val="0"/>
              <w:autoSpaceDN w:val="0"/>
              <w:bidi w:val="0"/>
              <w:adjustRightInd w:val="0"/>
              <w:snapToGrid/>
              <w:spacing w:before="0" w:after="0" w:line="540" w:lineRule="exact"/>
              <w:ind w:firstLine="960" w:firstLineChars="400"/>
              <w:textAlignment w:val="auto"/>
              <w:rPr>
                <w:rFonts w:hint="eastAsia" w:ascii="宋体" w:eastAsia="宋体" w:cs="宋体"/>
                <w:spacing w:val="0"/>
                <w:sz w:val="24"/>
                <w:szCs w:val="24"/>
                <w:lang w:bidi="ar-SA"/>
              </w:rPr>
            </w:pPr>
            <w:r>
              <w:rPr>
                <w:rFonts w:hint="eastAsia" w:ascii="宋体" w:eastAsia="宋体" w:cs="宋体"/>
                <w:spacing w:val="0"/>
                <w:sz w:val="24"/>
                <w:szCs w:val="24"/>
                <w:lang w:bidi="ar-SA"/>
              </w:rPr>
              <w:t>（盖章）</w:t>
            </w:r>
          </w:p>
        </w:tc>
      </w:tr>
      <w:tr w14:paraId="7A39F32A">
        <w:tblPrEx>
          <w:tblCellMar>
            <w:top w:w="0" w:type="dxa"/>
            <w:left w:w="108" w:type="dxa"/>
            <w:bottom w:w="0" w:type="dxa"/>
            <w:right w:w="108" w:type="dxa"/>
          </w:tblCellMar>
        </w:tblPrEx>
        <w:trPr>
          <w:trHeight w:val="549" w:hRule="exact"/>
          <w:jc w:val="center"/>
        </w:trPr>
        <w:tc>
          <w:tcPr>
            <w:tcW w:w="4189" w:type="dxa"/>
            <w:tcBorders>
              <w:top w:val="nil"/>
              <w:left w:val="nil"/>
              <w:bottom w:val="nil"/>
              <w:right w:val="nil"/>
            </w:tcBorders>
            <w:noWrap w:val="0"/>
            <w:vAlign w:val="center"/>
          </w:tcPr>
          <w:p w14:paraId="68575A6A">
            <w:pPr>
              <w:keepNext w:val="0"/>
              <w:keepLines w:val="0"/>
              <w:pageBreakBefore w:val="0"/>
              <w:widowControl w:val="0"/>
              <w:kinsoku/>
              <w:wordWrap/>
              <w:overflowPunct/>
              <w:topLinePunct w:val="0"/>
              <w:autoSpaceDE w:val="0"/>
              <w:autoSpaceDN w:val="0"/>
              <w:bidi w:val="0"/>
              <w:adjustRightInd w:val="0"/>
              <w:snapToGrid/>
              <w:spacing w:before="0" w:after="0" w:line="540" w:lineRule="exact"/>
              <w:textAlignment w:val="auto"/>
              <w:rPr>
                <w:rFonts w:hint="eastAsia" w:ascii="宋体" w:eastAsia="宋体" w:cs="宋体"/>
                <w:spacing w:val="0"/>
                <w:sz w:val="24"/>
                <w:szCs w:val="24"/>
                <w:lang w:bidi="ar-SA"/>
              </w:rPr>
            </w:pPr>
            <w:r>
              <w:rPr>
                <w:rFonts w:hint="eastAsia" w:ascii="宋体" w:eastAsia="宋体" w:cs="宋体"/>
                <w:spacing w:val="0"/>
                <w:sz w:val="24"/>
                <w:szCs w:val="24"/>
                <w:lang w:eastAsia="zh-CN" w:bidi="ar-SA"/>
              </w:rPr>
              <w:t>单位</w:t>
            </w:r>
            <w:r>
              <w:rPr>
                <w:rFonts w:hint="eastAsia" w:ascii="宋体" w:eastAsia="宋体" w:cs="宋体"/>
                <w:spacing w:val="0"/>
                <w:sz w:val="24"/>
                <w:szCs w:val="24"/>
                <w:lang w:bidi="ar-SA"/>
              </w:rPr>
              <w:t xml:space="preserve">地址： </w:t>
            </w:r>
          </w:p>
        </w:tc>
        <w:tc>
          <w:tcPr>
            <w:tcW w:w="4190" w:type="dxa"/>
            <w:tcBorders>
              <w:top w:val="nil"/>
              <w:left w:val="nil"/>
              <w:bottom w:val="nil"/>
              <w:right w:val="nil"/>
            </w:tcBorders>
            <w:noWrap w:val="0"/>
            <w:vAlign w:val="center"/>
          </w:tcPr>
          <w:p w14:paraId="39D10EB2">
            <w:pPr>
              <w:keepNext w:val="0"/>
              <w:keepLines w:val="0"/>
              <w:pageBreakBefore w:val="0"/>
              <w:widowControl w:val="0"/>
              <w:kinsoku/>
              <w:wordWrap/>
              <w:overflowPunct/>
              <w:topLinePunct w:val="0"/>
              <w:autoSpaceDE w:val="0"/>
              <w:autoSpaceDN w:val="0"/>
              <w:bidi w:val="0"/>
              <w:adjustRightInd w:val="0"/>
              <w:snapToGrid/>
              <w:spacing w:before="0" w:after="0" w:line="540" w:lineRule="exact"/>
              <w:textAlignment w:val="auto"/>
              <w:rPr>
                <w:rFonts w:hint="eastAsia" w:ascii="宋体" w:eastAsia="宋体" w:cs="宋体"/>
                <w:spacing w:val="0"/>
                <w:sz w:val="24"/>
                <w:szCs w:val="24"/>
                <w:lang w:bidi="ar-SA"/>
              </w:rPr>
            </w:pPr>
            <w:r>
              <w:rPr>
                <w:rFonts w:hint="eastAsia" w:ascii="宋体" w:eastAsia="宋体" w:cs="宋体"/>
                <w:spacing w:val="0"/>
                <w:sz w:val="24"/>
                <w:szCs w:val="24"/>
                <w:lang w:eastAsia="zh-CN" w:bidi="ar-SA"/>
              </w:rPr>
              <w:t>单位</w:t>
            </w:r>
            <w:r>
              <w:rPr>
                <w:rFonts w:hint="eastAsia" w:ascii="宋体" w:eastAsia="宋体" w:cs="宋体"/>
                <w:spacing w:val="0"/>
                <w:sz w:val="24"/>
                <w:szCs w:val="24"/>
                <w:lang w:bidi="ar-SA"/>
              </w:rPr>
              <w:t>地址：</w:t>
            </w:r>
          </w:p>
        </w:tc>
      </w:tr>
      <w:tr w14:paraId="7B276B69">
        <w:tblPrEx>
          <w:tblCellMar>
            <w:top w:w="0" w:type="dxa"/>
            <w:left w:w="108" w:type="dxa"/>
            <w:bottom w:w="0" w:type="dxa"/>
            <w:right w:w="108" w:type="dxa"/>
          </w:tblCellMar>
        </w:tblPrEx>
        <w:trPr>
          <w:trHeight w:val="549" w:hRule="exact"/>
          <w:jc w:val="center"/>
        </w:trPr>
        <w:tc>
          <w:tcPr>
            <w:tcW w:w="4189" w:type="dxa"/>
            <w:tcBorders>
              <w:top w:val="nil"/>
              <w:left w:val="nil"/>
              <w:bottom w:val="nil"/>
              <w:right w:val="nil"/>
            </w:tcBorders>
            <w:noWrap w:val="0"/>
            <w:vAlign w:val="center"/>
          </w:tcPr>
          <w:p w14:paraId="51F06A56">
            <w:pPr>
              <w:keepNext w:val="0"/>
              <w:keepLines w:val="0"/>
              <w:pageBreakBefore w:val="0"/>
              <w:widowControl w:val="0"/>
              <w:kinsoku/>
              <w:wordWrap/>
              <w:overflowPunct/>
              <w:topLinePunct w:val="0"/>
              <w:autoSpaceDE w:val="0"/>
              <w:autoSpaceDN w:val="0"/>
              <w:bidi w:val="0"/>
              <w:adjustRightInd w:val="0"/>
              <w:snapToGrid/>
              <w:spacing w:before="0" w:after="0" w:line="540" w:lineRule="exact"/>
              <w:textAlignment w:val="auto"/>
              <w:rPr>
                <w:rFonts w:hint="eastAsia" w:ascii="宋体" w:eastAsia="宋体" w:cs="宋体"/>
                <w:spacing w:val="0"/>
                <w:sz w:val="24"/>
                <w:szCs w:val="24"/>
                <w:lang w:bidi="ar-SA"/>
              </w:rPr>
            </w:pPr>
            <w:r>
              <w:rPr>
                <w:rFonts w:hint="eastAsia" w:ascii="宋体" w:eastAsia="宋体" w:cs="宋体"/>
                <w:spacing w:val="0"/>
                <w:sz w:val="24"/>
                <w:szCs w:val="24"/>
                <w:lang w:bidi="ar-SA"/>
              </w:rPr>
              <w:t xml:space="preserve">法定代表人： </w:t>
            </w:r>
          </w:p>
        </w:tc>
        <w:tc>
          <w:tcPr>
            <w:tcW w:w="4190" w:type="dxa"/>
            <w:tcBorders>
              <w:top w:val="nil"/>
              <w:left w:val="nil"/>
              <w:bottom w:val="nil"/>
              <w:right w:val="nil"/>
            </w:tcBorders>
            <w:noWrap w:val="0"/>
            <w:vAlign w:val="center"/>
          </w:tcPr>
          <w:p w14:paraId="18FA4F56">
            <w:pPr>
              <w:keepNext w:val="0"/>
              <w:keepLines w:val="0"/>
              <w:pageBreakBefore w:val="0"/>
              <w:widowControl w:val="0"/>
              <w:kinsoku/>
              <w:wordWrap/>
              <w:overflowPunct/>
              <w:topLinePunct w:val="0"/>
              <w:autoSpaceDE w:val="0"/>
              <w:autoSpaceDN w:val="0"/>
              <w:bidi w:val="0"/>
              <w:adjustRightInd w:val="0"/>
              <w:snapToGrid/>
              <w:spacing w:before="0" w:after="0" w:line="540" w:lineRule="exact"/>
              <w:textAlignment w:val="auto"/>
              <w:rPr>
                <w:rFonts w:hint="eastAsia" w:ascii="宋体" w:eastAsia="宋体" w:cs="宋体"/>
                <w:spacing w:val="0"/>
                <w:sz w:val="24"/>
                <w:szCs w:val="24"/>
                <w:lang w:bidi="ar-SA"/>
              </w:rPr>
            </w:pPr>
            <w:r>
              <w:rPr>
                <w:rFonts w:hint="eastAsia" w:ascii="宋体" w:eastAsia="宋体" w:cs="宋体"/>
                <w:spacing w:val="0"/>
                <w:sz w:val="24"/>
                <w:szCs w:val="24"/>
                <w:lang w:bidi="ar-SA"/>
              </w:rPr>
              <w:t>法定代表人：</w:t>
            </w:r>
          </w:p>
        </w:tc>
      </w:tr>
      <w:tr w14:paraId="0549ED99">
        <w:tblPrEx>
          <w:tblCellMar>
            <w:top w:w="0" w:type="dxa"/>
            <w:left w:w="108" w:type="dxa"/>
            <w:bottom w:w="0" w:type="dxa"/>
            <w:right w:w="108" w:type="dxa"/>
          </w:tblCellMar>
        </w:tblPrEx>
        <w:trPr>
          <w:trHeight w:val="549" w:hRule="exact"/>
          <w:jc w:val="center"/>
        </w:trPr>
        <w:tc>
          <w:tcPr>
            <w:tcW w:w="4189" w:type="dxa"/>
            <w:tcBorders>
              <w:top w:val="nil"/>
              <w:left w:val="nil"/>
              <w:bottom w:val="nil"/>
              <w:right w:val="nil"/>
            </w:tcBorders>
            <w:noWrap w:val="0"/>
            <w:vAlign w:val="center"/>
          </w:tcPr>
          <w:p w14:paraId="6158FEA2">
            <w:pPr>
              <w:keepNext w:val="0"/>
              <w:keepLines w:val="0"/>
              <w:pageBreakBefore w:val="0"/>
              <w:widowControl w:val="0"/>
              <w:kinsoku/>
              <w:wordWrap/>
              <w:overflowPunct/>
              <w:topLinePunct w:val="0"/>
              <w:autoSpaceDE w:val="0"/>
              <w:autoSpaceDN w:val="0"/>
              <w:bidi w:val="0"/>
              <w:adjustRightInd w:val="0"/>
              <w:snapToGrid/>
              <w:spacing w:before="0" w:after="0" w:line="540" w:lineRule="exact"/>
              <w:textAlignment w:val="auto"/>
              <w:rPr>
                <w:rFonts w:hint="eastAsia" w:ascii="宋体" w:eastAsia="宋体" w:cs="宋体"/>
                <w:spacing w:val="0"/>
                <w:sz w:val="24"/>
                <w:szCs w:val="24"/>
                <w:lang w:bidi="ar-SA"/>
              </w:rPr>
            </w:pPr>
            <w:r>
              <w:rPr>
                <w:rFonts w:hint="eastAsia" w:ascii="宋体" w:eastAsia="宋体" w:cs="宋体"/>
                <w:spacing w:val="0"/>
                <w:sz w:val="24"/>
                <w:szCs w:val="24"/>
                <w:lang w:bidi="ar-SA"/>
              </w:rPr>
              <w:t>被授权代表：</w:t>
            </w:r>
          </w:p>
        </w:tc>
        <w:tc>
          <w:tcPr>
            <w:tcW w:w="4190" w:type="dxa"/>
            <w:tcBorders>
              <w:top w:val="nil"/>
              <w:left w:val="nil"/>
              <w:bottom w:val="nil"/>
              <w:right w:val="nil"/>
            </w:tcBorders>
            <w:noWrap w:val="0"/>
            <w:vAlign w:val="center"/>
          </w:tcPr>
          <w:p w14:paraId="555D331B">
            <w:pPr>
              <w:keepNext w:val="0"/>
              <w:keepLines w:val="0"/>
              <w:pageBreakBefore w:val="0"/>
              <w:widowControl w:val="0"/>
              <w:kinsoku/>
              <w:wordWrap/>
              <w:overflowPunct/>
              <w:topLinePunct w:val="0"/>
              <w:autoSpaceDE w:val="0"/>
              <w:autoSpaceDN w:val="0"/>
              <w:bidi w:val="0"/>
              <w:adjustRightInd w:val="0"/>
              <w:snapToGrid/>
              <w:spacing w:before="0" w:after="0" w:line="540" w:lineRule="exact"/>
              <w:textAlignment w:val="auto"/>
              <w:rPr>
                <w:rFonts w:hint="eastAsia" w:ascii="宋体" w:eastAsia="宋体" w:cs="宋体"/>
                <w:spacing w:val="0"/>
                <w:sz w:val="24"/>
                <w:szCs w:val="24"/>
                <w:lang w:bidi="ar-SA"/>
              </w:rPr>
            </w:pPr>
            <w:r>
              <w:rPr>
                <w:rFonts w:hint="eastAsia" w:ascii="宋体" w:eastAsia="宋体" w:cs="宋体"/>
                <w:spacing w:val="0"/>
                <w:sz w:val="24"/>
                <w:szCs w:val="24"/>
                <w:lang w:bidi="ar-SA"/>
              </w:rPr>
              <w:t>被授权代表：</w:t>
            </w:r>
          </w:p>
        </w:tc>
      </w:tr>
      <w:tr w14:paraId="4A222EA1">
        <w:tblPrEx>
          <w:tblCellMar>
            <w:top w:w="0" w:type="dxa"/>
            <w:left w:w="108" w:type="dxa"/>
            <w:bottom w:w="0" w:type="dxa"/>
            <w:right w:w="108" w:type="dxa"/>
          </w:tblCellMar>
        </w:tblPrEx>
        <w:trPr>
          <w:trHeight w:val="549" w:hRule="exact"/>
          <w:jc w:val="center"/>
        </w:trPr>
        <w:tc>
          <w:tcPr>
            <w:tcW w:w="4189" w:type="dxa"/>
            <w:tcBorders>
              <w:top w:val="nil"/>
              <w:left w:val="nil"/>
              <w:bottom w:val="nil"/>
              <w:right w:val="nil"/>
            </w:tcBorders>
            <w:noWrap w:val="0"/>
            <w:vAlign w:val="center"/>
          </w:tcPr>
          <w:p w14:paraId="5B63E752">
            <w:pPr>
              <w:keepNext w:val="0"/>
              <w:keepLines w:val="0"/>
              <w:pageBreakBefore w:val="0"/>
              <w:widowControl w:val="0"/>
              <w:kinsoku/>
              <w:wordWrap/>
              <w:overflowPunct/>
              <w:topLinePunct w:val="0"/>
              <w:autoSpaceDE w:val="0"/>
              <w:autoSpaceDN w:val="0"/>
              <w:bidi w:val="0"/>
              <w:adjustRightInd w:val="0"/>
              <w:snapToGrid/>
              <w:spacing w:before="0" w:after="0" w:line="540" w:lineRule="exact"/>
              <w:textAlignment w:val="auto"/>
              <w:rPr>
                <w:rFonts w:hint="eastAsia" w:ascii="宋体" w:eastAsia="宋体" w:cs="宋体"/>
                <w:spacing w:val="0"/>
                <w:sz w:val="24"/>
                <w:szCs w:val="24"/>
                <w:lang w:bidi="ar-SA"/>
              </w:rPr>
            </w:pPr>
            <w:r>
              <w:rPr>
                <w:rFonts w:hint="eastAsia" w:ascii="宋体" w:eastAsia="宋体" w:cs="宋体"/>
                <w:spacing w:val="0"/>
                <w:sz w:val="24"/>
                <w:szCs w:val="24"/>
                <w:lang w:bidi="ar-SA"/>
              </w:rPr>
              <w:t>电话：</w:t>
            </w:r>
          </w:p>
        </w:tc>
        <w:tc>
          <w:tcPr>
            <w:tcW w:w="4190" w:type="dxa"/>
            <w:tcBorders>
              <w:top w:val="nil"/>
              <w:left w:val="nil"/>
              <w:bottom w:val="nil"/>
              <w:right w:val="nil"/>
            </w:tcBorders>
            <w:noWrap w:val="0"/>
            <w:vAlign w:val="center"/>
          </w:tcPr>
          <w:p w14:paraId="108477FC">
            <w:pPr>
              <w:keepNext w:val="0"/>
              <w:keepLines w:val="0"/>
              <w:pageBreakBefore w:val="0"/>
              <w:widowControl w:val="0"/>
              <w:kinsoku/>
              <w:wordWrap/>
              <w:overflowPunct/>
              <w:topLinePunct w:val="0"/>
              <w:autoSpaceDE w:val="0"/>
              <w:autoSpaceDN w:val="0"/>
              <w:bidi w:val="0"/>
              <w:adjustRightInd w:val="0"/>
              <w:snapToGrid/>
              <w:spacing w:before="0" w:after="0" w:line="540" w:lineRule="exact"/>
              <w:ind w:left="840" w:hanging="720" w:hangingChars="300"/>
              <w:textAlignment w:val="auto"/>
              <w:rPr>
                <w:rFonts w:hint="eastAsia" w:ascii="宋体" w:eastAsia="宋体" w:cs="宋体"/>
                <w:spacing w:val="0"/>
                <w:sz w:val="24"/>
                <w:szCs w:val="24"/>
                <w:lang w:bidi="ar-SA"/>
              </w:rPr>
            </w:pPr>
            <w:r>
              <w:rPr>
                <w:rFonts w:hint="eastAsia" w:ascii="宋体" w:eastAsia="宋体" w:cs="宋体"/>
                <w:spacing w:val="0"/>
                <w:sz w:val="24"/>
                <w:szCs w:val="24"/>
                <w:lang w:bidi="ar-SA"/>
              </w:rPr>
              <w:t>电话：</w:t>
            </w:r>
          </w:p>
        </w:tc>
      </w:tr>
      <w:tr w14:paraId="038C5DFF">
        <w:tblPrEx>
          <w:tblCellMar>
            <w:top w:w="0" w:type="dxa"/>
            <w:left w:w="108" w:type="dxa"/>
            <w:bottom w:w="0" w:type="dxa"/>
            <w:right w:w="108" w:type="dxa"/>
          </w:tblCellMar>
        </w:tblPrEx>
        <w:trPr>
          <w:trHeight w:val="549" w:hRule="exact"/>
          <w:jc w:val="center"/>
        </w:trPr>
        <w:tc>
          <w:tcPr>
            <w:tcW w:w="4189" w:type="dxa"/>
            <w:tcBorders>
              <w:top w:val="nil"/>
              <w:left w:val="nil"/>
              <w:bottom w:val="nil"/>
              <w:right w:val="nil"/>
            </w:tcBorders>
            <w:noWrap w:val="0"/>
            <w:vAlign w:val="center"/>
          </w:tcPr>
          <w:p w14:paraId="1013ABDC">
            <w:pPr>
              <w:keepNext w:val="0"/>
              <w:keepLines w:val="0"/>
              <w:pageBreakBefore w:val="0"/>
              <w:widowControl w:val="0"/>
              <w:kinsoku/>
              <w:wordWrap/>
              <w:overflowPunct/>
              <w:topLinePunct w:val="0"/>
              <w:autoSpaceDE w:val="0"/>
              <w:autoSpaceDN w:val="0"/>
              <w:bidi w:val="0"/>
              <w:adjustRightInd w:val="0"/>
              <w:snapToGrid/>
              <w:spacing w:before="0" w:after="0" w:line="540" w:lineRule="exact"/>
              <w:textAlignment w:val="auto"/>
              <w:rPr>
                <w:rFonts w:hint="eastAsia" w:ascii="宋体" w:eastAsia="宋体" w:cs="宋体"/>
                <w:spacing w:val="0"/>
                <w:sz w:val="24"/>
                <w:szCs w:val="24"/>
                <w:lang w:bidi="ar-SA"/>
              </w:rPr>
            </w:pPr>
            <w:r>
              <w:rPr>
                <w:rFonts w:hint="eastAsia" w:ascii="宋体" w:eastAsia="宋体" w:cs="宋体"/>
                <w:spacing w:val="0"/>
                <w:sz w:val="24"/>
                <w:szCs w:val="24"/>
                <w:lang w:bidi="ar-SA"/>
              </w:rPr>
              <w:t>传真：</w:t>
            </w:r>
          </w:p>
        </w:tc>
        <w:tc>
          <w:tcPr>
            <w:tcW w:w="4190" w:type="dxa"/>
            <w:tcBorders>
              <w:top w:val="nil"/>
              <w:left w:val="nil"/>
              <w:bottom w:val="nil"/>
              <w:right w:val="nil"/>
            </w:tcBorders>
            <w:noWrap w:val="0"/>
            <w:vAlign w:val="center"/>
          </w:tcPr>
          <w:p w14:paraId="2CD367AE">
            <w:pPr>
              <w:keepNext w:val="0"/>
              <w:keepLines w:val="0"/>
              <w:pageBreakBefore w:val="0"/>
              <w:widowControl w:val="0"/>
              <w:kinsoku/>
              <w:wordWrap/>
              <w:overflowPunct/>
              <w:topLinePunct w:val="0"/>
              <w:autoSpaceDE w:val="0"/>
              <w:autoSpaceDN w:val="0"/>
              <w:bidi w:val="0"/>
              <w:adjustRightInd w:val="0"/>
              <w:snapToGrid/>
              <w:spacing w:before="0" w:after="0" w:line="540" w:lineRule="exact"/>
              <w:textAlignment w:val="auto"/>
              <w:rPr>
                <w:rFonts w:hint="eastAsia" w:ascii="宋体" w:eastAsia="宋体" w:cs="宋体"/>
                <w:spacing w:val="0"/>
                <w:sz w:val="24"/>
                <w:szCs w:val="24"/>
                <w:lang w:bidi="ar-SA"/>
              </w:rPr>
            </w:pPr>
            <w:r>
              <w:rPr>
                <w:rFonts w:hint="eastAsia" w:ascii="宋体" w:eastAsia="宋体" w:cs="宋体"/>
                <w:spacing w:val="0"/>
                <w:sz w:val="24"/>
                <w:szCs w:val="24"/>
                <w:lang w:bidi="ar-SA"/>
              </w:rPr>
              <w:t>传真：</w:t>
            </w:r>
          </w:p>
        </w:tc>
      </w:tr>
      <w:tr w14:paraId="1771299B">
        <w:tblPrEx>
          <w:tblCellMar>
            <w:top w:w="0" w:type="dxa"/>
            <w:left w:w="108" w:type="dxa"/>
            <w:bottom w:w="0" w:type="dxa"/>
            <w:right w:w="108" w:type="dxa"/>
          </w:tblCellMar>
        </w:tblPrEx>
        <w:trPr>
          <w:trHeight w:val="549" w:hRule="exact"/>
          <w:jc w:val="center"/>
        </w:trPr>
        <w:tc>
          <w:tcPr>
            <w:tcW w:w="4189" w:type="dxa"/>
            <w:tcBorders>
              <w:top w:val="nil"/>
              <w:left w:val="nil"/>
              <w:bottom w:val="nil"/>
              <w:right w:val="nil"/>
            </w:tcBorders>
            <w:noWrap w:val="0"/>
            <w:vAlign w:val="center"/>
          </w:tcPr>
          <w:p w14:paraId="712BA690">
            <w:pPr>
              <w:keepNext w:val="0"/>
              <w:keepLines w:val="0"/>
              <w:pageBreakBefore w:val="0"/>
              <w:widowControl w:val="0"/>
              <w:kinsoku/>
              <w:wordWrap/>
              <w:overflowPunct/>
              <w:topLinePunct w:val="0"/>
              <w:autoSpaceDE w:val="0"/>
              <w:autoSpaceDN w:val="0"/>
              <w:bidi w:val="0"/>
              <w:adjustRightInd w:val="0"/>
              <w:snapToGrid/>
              <w:spacing w:before="0" w:after="0" w:line="540" w:lineRule="exact"/>
              <w:textAlignment w:val="auto"/>
              <w:rPr>
                <w:rFonts w:hint="eastAsia" w:ascii="宋体" w:eastAsia="宋体" w:cs="宋体"/>
                <w:spacing w:val="0"/>
                <w:sz w:val="24"/>
                <w:szCs w:val="24"/>
                <w:lang w:bidi="ar-SA"/>
              </w:rPr>
            </w:pPr>
          </w:p>
        </w:tc>
        <w:tc>
          <w:tcPr>
            <w:tcW w:w="4190" w:type="dxa"/>
            <w:tcBorders>
              <w:top w:val="nil"/>
              <w:left w:val="nil"/>
              <w:bottom w:val="nil"/>
              <w:right w:val="nil"/>
            </w:tcBorders>
            <w:noWrap w:val="0"/>
            <w:vAlign w:val="center"/>
          </w:tcPr>
          <w:p w14:paraId="4575E5A5">
            <w:pPr>
              <w:keepNext w:val="0"/>
              <w:keepLines w:val="0"/>
              <w:pageBreakBefore w:val="0"/>
              <w:widowControl w:val="0"/>
              <w:kinsoku/>
              <w:wordWrap/>
              <w:overflowPunct/>
              <w:topLinePunct w:val="0"/>
              <w:autoSpaceDE w:val="0"/>
              <w:autoSpaceDN w:val="0"/>
              <w:bidi w:val="0"/>
              <w:adjustRightInd w:val="0"/>
              <w:snapToGrid/>
              <w:spacing w:before="0" w:after="0" w:line="540" w:lineRule="exact"/>
              <w:textAlignment w:val="auto"/>
              <w:rPr>
                <w:rFonts w:hint="eastAsia" w:ascii="宋体" w:eastAsia="宋体" w:cs="宋体"/>
                <w:spacing w:val="0"/>
                <w:sz w:val="24"/>
                <w:szCs w:val="24"/>
                <w:lang w:bidi="ar-SA"/>
              </w:rPr>
            </w:pPr>
            <w:r>
              <w:rPr>
                <w:rFonts w:hint="eastAsia" w:ascii="宋体" w:eastAsia="宋体" w:cs="宋体"/>
                <w:spacing w:val="0"/>
                <w:sz w:val="24"/>
                <w:szCs w:val="24"/>
                <w:lang w:bidi="ar-SA"/>
              </w:rPr>
              <w:t>开户银行：</w:t>
            </w:r>
          </w:p>
        </w:tc>
      </w:tr>
      <w:tr w14:paraId="6828560E">
        <w:tblPrEx>
          <w:tblCellMar>
            <w:top w:w="0" w:type="dxa"/>
            <w:left w:w="108" w:type="dxa"/>
            <w:bottom w:w="0" w:type="dxa"/>
            <w:right w:w="108" w:type="dxa"/>
          </w:tblCellMar>
        </w:tblPrEx>
        <w:trPr>
          <w:trHeight w:val="549" w:hRule="exact"/>
          <w:jc w:val="center"/>
        </w:trPr>
        <w:tc>
          <w:tcPr>
            <w:tcW w:w="4189" w:type="dxa"/>
            <w:tcBorders>
              <w:top w:val="nil"/>
              <w:left w:val="nil"/>
              <w:bottom w:val="nil"/>
              <w:right w:val="nil"/>
            </w:tcBorders>
            <w:noWrap w:val="0"/>
            <w:vAlign w:val="center"/>
          </w:tcPr>
          <w:p w14:paraId="5B45E723">
            <w:pPr>
              <w:keepNext w:val="0"/>
              <w:keepLines w:val="0"/>
              <w:pageBreakBefore w:val="0"/>
              <w:widowControl w:val="0"/>
              <w:kinsoku/>
              <w:wordWrap/>
              <w:overflowPunct/>
              <w:topLinePunct w:val="0"/>
              <w:autoSpaceDE w:val="0"/>
              <w:autoSpaceDN w:val="0"/>
              <w:bidi w:val="0"/>
              <w:adjustRightInd w:val="0"/>
              <w:snapToGrid/>
              <w:spacing w:before="0" w:after="0" w:line="540" w:lineRule="exact"/>
              <w:textAlignment w:val="auto"/>
              <w:rPr>
                <w:rFonts w:hint="eastAsia" w:ascii="宋体" w:eastAsia="宋体" w:cs="宋体"/>
                <w:spacing w:val="0"/>
                <w:sz w:val="24"/>
                <w:szCs w:val="24"/>
                <w:lang w:bidi="ar-SA"/>
              </w:rPr>
            </w:pPr>
          </w:p>
        </w:tc>
        <w:tc>
          <w:tcPr>
            <w:tcW w:w="4190" w:type="dxa"/>
            <w:tcBorders>
              <w:top w:val="nil"/>
              <w:left w:val="nil"/>
              <w:bottom w:val="nil"/>
              <w:right w:val="nil"/>
            </w:tcBorders>
            <w:noWrap w:val="0"/>
            <w:vAlign w:val="center"/>
          </w:tcPr>
          <w:p w14:paraId="1687B338">
            <w:pPr>
              <w:keepNext w:val="0"/>
              <w:keepLines w:val="0"/>
              <w:pageBreakBefore w:val="0"/>
              <w:widowControl w:val="0"/>
              <w:kinsoku/>
              <w:wordWrap/>
              <w:overflowPunct/>
              <w:topLinePunct w:val="0"/>
              <w:autoSpaceDE w:val="0"/>
              <w:autoSpaceDN w:val="0"/>
              <w:bidi w:val="0"/>
              <w:adjustRightInd w:val="0"/>
              <w:snapToGrid/>
              <w:spacing w:before="0" w:after="0" w:line="540" w:lineRule="exact"/>
              <w:textAlignment w:val="auto"/>
              <w:rPr>
                <w:rFonts w:hint="eastAsia" w:ascii="宋体" w:eastAsia="宋体" w:cs="宋体"/>
                <w:spacing w:val="0"/>
                <w:sz w:val="24"/>
                <w:szCs w:val="24"/>
                <w:lang w:val="en-US" w:eastAsia="zh-CN" w:bidi="ar-SA"/>
              </w:rPr>
            </w:pPr>
            <w:r>
              <w:rPr>
                <w:rFonts w:hint="eastAsia" w:ascii="宋体" w:cs="宋体"/>
                <w:spacing w:val="0"/>
                <w:sz w:val="24"/>
                <w:szCs w:val="24"/>
                <w:lang w:val="en-US" w:eastAsia="zh-CN" w:bidi="ar-SA"/>
              </w:rPr>
              <w:t>账号：</w:t>
            </w:r>
          </w:p>
        </w:tc>
      </w:tr>
      <w:tr w14:paraId="436E336A">
        <w:tblPrEx>
          <w:tblCellMar>
            <w:top w:w="0" w:type="dxa"/>
            <w:left w:w="108" w:type="dxa"/>
            <w:bottom w:w="0" w:type="dxa"/>
            <w:right w:w="108" w:type="dxa"/>
          </w:tblCellMar>
        </w:tblPrEx>
        <w:trPr>
          <w:trHeight w:val="549" w:hRule="exact"/>
          <w:jc w:val="center"/>
        </w:trPr>
        <w:tc>
          <w:tcPr>
            <w:tcW w:w="4189" w:type="dxa"/>
            <w:tcBorders>
              <w:top w:val="nil"/>
              <w:left w:val="nil"/>
              <w:bottom w:val="nil"/>
              <w:right w:val="nil"/>
            </w:tcBorders>
            <w:noWrap w:val="0"/>
            <w:vAlign w:val="center"/>
          </w:tcPr>
          <w:p w14:paraId="3CBB7C23">
            <w:pPr>
              <w:keepNext w:val="0"/>
              <w:keepLines w:val="0"/>
              <w:pageBreakBefore w:val="0"/>
              <w:widowControl w:val="0"/>
              <w:kinsoku/>
              <w:wordWrap/>
              <w:overflowPunct/>
              <w:topLinePunct w:val="0"/>
              <w:autoSpaceDE w:val="0"/>
              <w:autoSpaceDN w:val="0"/>
              <w:bidi w:val="0"/>
              <w:adjustRightInd w:val="0"/>
              <w:snapToGrid/>
              <w:spacing w:before="0" w:after="0" w:line="540" w:lineRule="exact"/>
              <w:textAlignment w:val="auto"/>
              <w:rPr>
                <w:rFonts w:hint="eastAsia" w:ascii="宋体" w:eastAsia="宋体" w:cs="宋体"/>
                <w:spacing w:val="0"/>
                <w:sz w:val="24"/>
                <w:szCs w:val="24"/>
                <w:lang w:bidi="ar-SA"/>
              </w:rPr>
            </w:pPr>
            <w:r>
              <w:rPr>
                <w:rFonts w:hint="eastAsia" w:ascii="宋体" w:eastAsia="宋体" w:cs="宋体"/>
                <w:spacing w:val="0"/>
                <w:sz w:val="24"/>
                <w:szCs w:val="24"/>
                <w:lang w:bidi="ar-SA"/>
              </w:rPr>
              <w:t>日期：</w:t>
            </w:r>
          </w:p>
        </w:tc>
        <w:tc>
          <w:tcPr>
            <w:tcW w:w="4190" w:type="dxa"/>
            <w:tcBorders>
              <w:top w:val="nil"/>
              <w:left w:val="nil"/>
              <w:bottom w:val="nil"/>
              <w:right w:val="nil"/>
            </w:tcBorders>
            <w:noWrap w:val="0"/>
            <w:vAlign w:val="center"/>
          </w:tcPr>
          <w:p w14:paraId="7CF8CE3F">
            <w:pPr>
              <w:keepNext w:val="0"/>
              <w:keepLines w:val="0"/>
              <w:pageBreakBefore w:val="0"/>
              <w:widowControl w:val="0"/>
              <w:kinsoku/>
              <w:wordWrap/>
              <w:overflowPunct/>
              <w:topLinePunct w:val="0"/>
              <w:autoSpaceDE w:val="0"/>
              <w:autoSpaceDN w:val="0"/>
              <w:bidi w:val="0"/>
              <w:adjustRightInd w:val="0"/>
              <w:snapToGrid/>
              <w:spacing w:before="0" w:after="0" w:line="540" w:lineRule="exact"/>
              <w:textAlignment w:val="auto"/>
              <w:rPr>
                <w:rFonts w:hint="eastAsia" w:ascii="宋体" w:eastAsia="宋体" w:cs="宋体"/>
                <w:spacing w:val="0"/>
                <w:sz w:val="24"/>
                <w:szCs w:val="24"/>
                <w:lang w:bidi="ar-SA"/>
              </w:rPr>
            </w:pPr>
            <w:r>
              <w:rPr>
                <w:rFonts w:hint="eastAsia" w:ascii="宋体" w:eastAsia="宋体" w:cs="宋体"/>
                <w:spacing w:val="0"/>
                <w:sz w:val="24"/>
                <w:szCs w:val="24"/>
                <w:lang w:bidi="ar-SA"/>
              </w:rPr>
              <w:t>日期：</w:t>
            </w:r>
          </w:p>
        </w:tc>
      </w:tr>
    </w:tbl>
    <w:p w14:paraId="17483896">
      <w:r>
        <w:rPr>
          <w:rFonts w:hint="eastAsia"/>
          <w:sz w:val="24"/>
          <w:szCs w:val="24"/>
        </w:rPr>
        <w:t>注：本合同只作为参考文本，</w:t>
      </w:r>
      <w:r>
        <w:rPr>
          <w:rFonts w:hint="eastAsia" w:ascii="Calibri" w:hAnsi="Calibri" w:eastAsia="宋体"/>
          <w:sz w:val="24"/>
          <w:szCs w:val="24"/>
          <w:lang w:eastAsia="zh-CN"/>
        </w:rPr>
        <w:t>合同具体内容及格式签订正式合同时，甲乙双方协商确定。</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D27C14"/>
    <w:rsid w:val="17C00184"/>
    <w:rsid w:val="1BD27C14"/>
    <w:rsid w:val="40875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20" w:after="120" w:line="360" w:lineRule="auto"/>
      <w:ind w:firstLine="0" w:firstLineChars="0"/>
      <w:jc w:val="left"/>
    </w:pPr>
    <w:rPr>
      <w:rFonts w:ascii="Calibri" w:hAnsi="Calibri" w:eastAsia="宋体" w:cs="Times New Roman"/>
      <w:kern w:val="2"/>
      <w:sz w:val="28"/>
      <w:szCs w:val="24"/>
      <w:lang w:val="en-US" w:eastAsia="zh-CN" w:bidi="ar-SA"/>
    </w:rPr>
  </w:style>
  <w:style w:type="paragraph" w:styleId="3">
    <w:name w:val="heading 1"/>
    <w:basedOn w:val="1"/>
    <w:next w:val="1"/>
    <w:qFormat/>
    <w:uiPriority w:val="0"/>
    <w:pPr>
      <w:keepNext/>
      <w:outlineLvl w:val="0"/>
    </w:pPr>
    <w:rPr>
      <w:rFonts w:ascii="仿宋_GB2312" w:hAnsi="宋体" w:eastAsia="仿宋_GB2312"/>
      <w:b/>
      <w:kern w:val="2"/>
      <w:sz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4">
    <w:name w:val="Body Text"/>
    <w:basedOn w:val="1"/>
    <w:next w:val="1"/>
    <w:qFormat/>
    <w:uiPriority w:val="0"/>
    <w:pPr>
      <w:widowControl/>
      <w:jc w:val="left"/>
    </w:p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2026-06-12T07:57:00Z</dcterms:created>
  <dc:creator>lunatic</dc:creator>
  <cp:lastModifiedBy>lunatic</cp:lastModifiedBy>
  <dcterms:modified xsi:type="dcterms:W3CDTF">2026-06-12T08:00:43Z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F803A8CA30884BF69F360DACD0BE3202_11</vt:lpwstr>
  </property>
  <property fmtid="{D5CDD505-2E9C-101B-9397-08002B2CF9AE}" pid="4" name="KSOTemplateDocerSaveRecord">
    <vt:lpwstr>eyJoZGlkIjoiNDM4OTc5Y2QzODg0ODcyMjViODBhMDNiM2Y4NWI5M2IiLCJ1c2VySWQiOiIxMTMxMDc4OTE3In0=</vt:lpwstr>
  </property>
</Properties>
</file>