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5367C6">
      <w:pPr>
        <w:numPr>
          <w:ilvl w:val="0"/>
          <w:numId w:val="0"/>
        </w:numPr>
        <w:snapToGrid w:val="0"/>
        <w:spacing w:beforeLines="100" w:afterLines="50" w:line="360" w:lineRule="auto"/>
        <w:jc w:val="center"/>
        <w:outlineLvl w:val="0"/>
        <w:rPr>
          <w:rFonts w:hint="eastAsia" w:ascii="仿宋" w:hAnsi="仿宋" w:eastAsia="仿宋" w:cs="仿宋"/>
          <w:b/>
          <w:bCs/>
          <w:color w:val="auto"/>
          <w:sz w:val="32"/>
          <w:szCs w:val="32"/>
          <w:highlight w:val="none"/>
          <w:lang w:val="zh-CN"/>
        </w:rPr>
      </w:pPr>
      <w:r>
        <w:rPr>
          <w:rFonts w:hint="eastAsia" w:ascii="仿宋" w:hAnsi="仿宋" w:eastAsia="仿宋" w:cs="仿宋"/>
          <w:b/>
          <w:bCs/>
          <w:color w:val="auto"/>
          <w:sz w:val="32"/>
          <w:szCs w:val="32"/>
          <w:highlight w:val="none"/>
          <w:lang w:val="zh-CN"/>
        </w:rPr>
        <w:t>合同格式（</w:t>
      </w:r>
      <w:r>
        <w:rPr>
          <w:rFonts w:hint="eastAsia" w:ascii="仿宋" w:hAnsi="仿宋" w:eastAsia="仿宋" w:cs="仿宋"/>
          <w:b/>
          <w:bCs/>
          <w:color w:val="auto"/>
          <w:sz w:val="32"/>
          <w:szCs w:val="32"/>
          <w:highlight w:val="none"/>
          <w:lang w:val="en-US" w:eastAsia="zh-CN"/>
        </w:rPr>
        <w:t>参考</w:t>
      </w:r>
      <w:r>
        <w:rPr>
          <w:rFonts w:hint="eastAsia" w:ascii="仿宋" w:hAnsi="仿宋" w:eastAsia="仿宋" w:cs="仿宋"/>
          <w:b/>
          <w:bCs/>
          <w:color w:val="auto"/>
          <w:sz w:val="32"/>
          <w:szCs w:val="32"/>
          <w:highlight w:val="none"/>
          <w:lang w:val="zh-CN"/>
        </w:rPr>
        <w:t>）</w:t>
      </w:r>
    </w:p>
    <w:p w14:paraId="536850AA">
      <w:pPr>
        <w:shd w:val="clear" w:color="auto" w:fill="auto"/>
        <w:spacing w:line="360" w:lineRule="auto"/>
        <w:jc w:val="center"/>
        <w:rPr>
          <w:rFonts w:hint="eastAsia" w:ascii="仿宋" w:hAnsi="仿宋" w:eastAsia="仿宋" w:cs="仿宋"/>
          <w:sz w:val="24"/>
          <w:szCs w:val="24"/>
          <w:highlight w:val="none"/>
          <w:lang w:eastAsia="zh-CN"/>
        </w:rPr>
      </w:pPr>
    </w:p>
    <w:p w14:paraId="0EE5B4DD">
      <w:pPr>
        <w:shd w:val="clear" w:color="auto" w:fill="auto"/>
        <w:spacing w:line="360" w:lineRule="auto"/>
        <w:jc w:val="center"/>
        <w:rPr>
          <w:rFonts w:hint="eastAsia" w:ascii="仿宋" w:hAnsi="仿宋" w:eastAsia="仿宋" w:cs="仿宋"/>
          <w:b/>
          <w:bCs/>
          <w:sz w:val="24"/>
          <w:szCs w:val="24"/>
          <w:highlight w:val="none"/>
          <w:lang w:eastAsia="zh-CN"/>
        </w:rPr>
      </w:pPr>
    </w:p>
    <w:p w14:paraId="1491DBC9">
      <w:pPr>
        <w:pStyle w:val="4"/>
        <w:spacing w:line="360" w:lineRule="auto"/>
        <w:rPr>
          <w:rFonts w:hint="eastAsia" w:ascii="仿宋" w:hAnsi="仿宋" w:eastAsia="仿宋" w:cs="仿宋"/>
          <w:lang w:eastAsia="zh-CN"/>
        </w:rPr>
      </w:pPr>
    </w:p>
    <w:p w14:paraId="061B589F">
      <w:pPr>
        <w:shd w:val="clear" w:color="auto" w:fill="auto"/>
        <w:tabs>
          <w:tab w:val="left" w:pos="7815"/>
        </w:tabs>
        <w:spacing w:line="360" w:lineRule="auto"/>
        <w:jc w:val="center"/>
        <w:rPr>
          <w:rFonts w:hint="eastAsia" w:ascii="仿宋" w:hAnsi="仿宋" w:eastAsia="仿宋" w:cs="仿宋"/>
          <w:b/>
          <w:color w:val="auto"/>
          <w:sz w:val="40"/>
          <w:szCs w:val="40"/>
          <w:highlight w:val="none"/>
          <w:lang w:val="en-US" w:eastAsia="zh-CN"/>
        </w:rPr>
      </w:pPr>
      <w:r>
        <w:rPr>
          <w:rFonts w:hint="eastAsia" w:ascii="仿宋" w:hAnsi="仿宋" w:eastAsia="仿宋" w:cs="仿宋"/>
          <w:b/>
          <w:color w:val="auto"/>
          <w:sz w:val="40"/>
          <w:szCs w:val="40"/>
          <w:highlight w:val="none"/>
          <w:lang w:eastAsia="zh-CN"/>
        </w:rPr>
        <w:t>陕西省西安师范附属小学数字化教育、AI赋能教育采购项目</w:t>
      </w:r>
    </w:p>
    <w:p w14:paraId="4CBAEFE4">
      <w:pPr>
        <w:shd w:val="clear" w:color="auto" w:fill="auto"/>
        <w:tabs>
          <w:tab w:val="left" w:pos="7815"/>
        </w:tabs>
        <w:spacing w:line="360" w:lineRule="auto"/>
        <w:jc w:val="center"/>
        <w:rPr>
          <w:rFonts w:hint="eastAsia" w:ascii="仿宋" w:hAnsi="仿宋" w:eastAsia="仿宋" w:cs="仿宋"/>
          <w:b/>
          <w:color w:val="auto"/>
          <w:sz w:val="40"/>
          <w:szCs w:val="40"/>
          <w:highlight w:val="none"/>
          <w:lang w:val="en-US" w:eastAsia="zh-CN"/>
        </w:rPr>
      </w:pPr>
    </w:p>
    <w:p w14:paraId="3E3AEF3E">
      <w:pPr>
        <w:shd w:val="clear" w:color="auto" w:fill="auto"/>
        <w:tabs>
          <w:tab w:val="left" w:pos="7815"/>
        </w:tabs>
        <w:spacing w:line="360" w:lineRule="auto"/>
        <w:jc w:val="center"/>
        <w:rPr>
          <w:rFonts w:hint="eastAsia" w:ascii="仿宋" w:hAnsi="仿宋" w:eastAsia="仿宋" w:cs="仿宋"/>
          <w:b/>
          <w:color w:val="auto"/>
          <w:sz w:val="40"/>
          <w:szCs w:val="40"/>
          <w:highlight w:val="none"/>
        </w:rPr>
      </w:pPr>
      <w:r>
        <w:rPr>
          <w:rFonts w:hint="eastAsia" w:ascii="仿宋" w:hAnsi="仿宋" w:eastAsia="仿宋" w:cs="仿宋"/>
          <w:b/>
          <w:color w:val="auto"/>
          <w:sz w:val="40"/>
          <w:szCs w:val="40"/>
          <w:highlight w:val="none"/>
          <w:lang w:val="en-US" w:eastAsia="zh-CN"/>
        </w:rPr>
        <w:t>供货</w:t>
      </w:r>
      <w:r>
        <w:rPr>
          <w:rFonts w:hint="eastAsia" w:ascii="仿宋" w:hAnsi="仿宋" w:eastAsia="仿宋" w:cs="仿宋"/>
          <w:b/>
          <w:color w:val="auto"/>
          <w:sz w:val="40"/>
          <w:szCs w:val="40"/>
          <w:highlight w:val="none"/>
        </w:rPr>
        <w:t>合同</w:t>
      </w:r>
    </w:p>
    <w:p w14:paraId="266C62ED">
      <w:pPr>
        <w:shd w:val="clear" w:color="auto" w:fill="auto"/>
        <w:spacing w:line="360" w:lineRule="auto"/>
        <w:rPr>
          <w:rFonts w:hint="eastAsia" w:ascii="仿宋" w:hAnsi="仿宋" w:eastAsia="仿宋" w:cs="仿宋"/>
          <w:b/>
          <w:color w:val="auto"/>
          <w:sz w:val="32"/>
          <w:szCs w:val="32"/>
          <w:highlight w:val="none"/>
        </w:rPr>
      </w:pPr>
    </w:p>
    <w:p w14:paraId="322AEFDE">
      <w:pPr>
        <w:pStyle w:val="12"/>
        <w:shd w:val="clear" w:color="auto" w:fill="auto"/>
        <w:spacing w:line="360" w:lineRule="auto"/>
        <w:rPr>
          <w:rFonts w:hint="eastAsia" w:ascii="仿宋" w:hAnsi="仿宋" w:eastAsia="仿宋" w:cs="仿宋"/>
          <w:color w:val="auto"/>
          <w:highlight w:val="none"/>
        </w:rPr>
      </w:pPr>
    </w:p>
    <w:p w14:paraId="7EF044E1">
      <w:pPr>
        <w:pStyle w:val="12"/>
        <w:shd w:val="clear" w:color="auto" w:fill="auto"/>
        <w:spacing w:line="360" w:lineRule="auto"/>
        <w:rPr>
          <w:rFonts w:hint="eastAsia" w:ascii="仿宋" w:hAnsi="仿宋" w:eastAsia="仿宋" w:cs="仿宋"/>
          <w:color w:val="auto"/>
          <w:highlight w:val="none"/>
        </w:rPr>
      </w:pPr>
    </w:p>
    <w:p w14:paraId="5ED30C3E">
      <w:pPr>
        <w:shd w:val="clear" w:color="auto" w:fill="auto"/>
        <w:spacing w:line="360" w:lineRule="auto"/>
        <w:ind w:firstLine="1928" w:firstLineChars="600"/>
        <w:rPr>
          <w:rFonts w:hint="eastAsia" w:ascii="仿宋" w:hAnsi="仿宋" w:eastAsia="仿宋" w:cs="仿宋"/>
          <w:b/>
          <w:color w:val="auto"/>
          <w:sz w:val="32"/>
          <w:szCs w:val="32"/>
          <w:highlight w:val="none"/>
        </w:rPr>
      </w:pPr>
    </w:p>
    <w:p w14:paraId="4E20445A">
      <w:pPr>
        <w:shd w:val="clear" w:color="auto" w:fill="auto"/>
        <w:spacing w:line="360" w:lineRule="auto"/>
        <w:ind w:firstLine="1928" w:firstLineChars="600"/>
        <w:rPr>
          <w:rFonts w:hint="eastAsia" w:ascii="仿宋" w:hAnsi="仿宋" w:eastAsia="仿宋" w:cs="仿宋"/>
          <w:b/>
          <w:color w:val="auto"/>
          <w:sz w:val="32"/>
          <w:szCs w:val="32"/>
          <w:highlight w:val="none"/>
        </w:rPr>
      </w:pPr>
    </w:p>
    <w:p w14:paraId="514D6932">
      <w:pPr>
        <w:shd w:val="clear" w:color="auto" w:fill="auto"/>
        <w:spacing w:line="360" w:lineRule="auto"/>
        <w:ind w:firstLine="1928" w:firstLineChars="600"/>
        <w:rPr>
          <w:rFonts w:hint="eastAsia" w:ascii="仿宋" w:hAnsi="仿宋" w:eastAsia="仿宋" w:cs="仿宋"/>
          <w:b/>
          <w:color w:val="auto"/>
          <w:sz w:val="32"/>
          <w:szCs w:val="32"/>
          <w:highlight w:val="none"/>
        </w:rPr>
      </w:pPr>
    </w:p>
    <w:p w14:paraId="0B323250">
      <w:pPr>
        <w:pStyle w:val="12"/>
        <w:rPr>
          <w:rFonts w:hint="eastAsia" w:ascii="仿宋" w:hAnsi="仿宋" w:eastAsia="仿宋" w:cs="仿宋"/>
          <w:b/>
          <w:color w:val="auto"/>
          <w:sz w:val="32"/>
          <w:szCs w:val="32"/>
          <w:highlight w:val="none"/>
        </w:rPr>
      </w:pPr>
    </w:p>
    <w:p w14:paraId="103470BB">
      <w:pPr>
        <w:pStyle w:val="12"/>
        <w:rPr>
          <w:rFonts w:hint="eastAsia" w:ascii="仿宋" w:hAnsi="仿宋" w:eastAsia="仿宋" w:cs="仿宋"/>
          <w:b/>
          <w:color w:val="auto"/>
          <w:sz w:val="32"/>
          <w:szCs w:val="32"/>
          <w:highlight w:val="none"/>
        </w:rPr>
      </w:pPr>
    </w:p>
    <w:p w14:paraId="2126C58A">
      <w:pPr>
        <w:shd w:val="clear" w:color="auto" w:fill="auto"/>
        <w:spacing w:line="360" w:lineRule="auto"/>
        <w:ind w:firstLine="964" w:firstLineChars="300"/>
        <w:jc w:val="left"/>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项目</w:t>
      </w:r>
      <w:r>
        <w:rPr>
          <w:rFonts w:hint="eastAsia" w:ascii="仿宋" w:hAnsi="仿宋" w:eastAsia="仿宋" w:cs="仿宋"/>
          <w:b/>
          <w:color w:val="auto"/>
          <w:sz w:val="32"/>
          <w:szCs w:val="32"/>
          <w:highlight w:val="none"/>
        </w:rPr>
        <w:t>编号：</w:t>
      </w:r>
    </w:p>
    <w:p w14:paraId="24D5EB0B">
      <w:pPr>
        <w:shd w:val="clear" w:color="auto" w:fill="auto"/>
        <w:spacing w:line="360" w:lineRule="auto"/>
        <w:ind w:firstLine="964" w:firstLineChars="300"/>
        <w:jc w:val="left"/>
        <w:rPr>
          <w:rFonts w:hint="eastAsia" w:ascii="仿宋" w:hAnsi="仿宋" w:eastAsia="仿宋" w:cs="仿宋"/>
          <w:b/>
          <w:color w:val="auto"/>
          <w:sz w:val="32"/>
          <w:szCs w:val="32"/>
          <w:highlight w:val="none"/>
          <w:u w:val="single"/>
          <w:lang w:val="en-US" w:eastAsia="zh-CN"/>
        </w:rPr>
      </w:pPr>
      <w:r>
        <w:rPr>
          <w:rFonts w:hint="eastAsia" w:ascii="仿宋" w:hAnsi="仿宋" w:eastAsia="仿宋" w:cs="仿宋"/>
          <w:b/>
          <w:color w:val="auto"/>
          <w:sz w:val="32"/>
          <w:szCs w:val="32"/>
          <w:highlight w:val="none"/>
        </w:rPr>
        <w:t>合同编号：</w:t>
      </w:r>
    </w:p>
    <w:p w14:paraId="21E9C025">
      <w:pPr>
        <w:shd w:val="clear" w:color="auto" w:fill="auto"/>
        <w:spacing w:line="360" w:lineRule="auto"/>
        <w:ind w:firstLine="964" w:firstLineChars="300"/>
        <w:jc w:val="left"/>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项目</w:t>
      </w:r>
      <w:r>
        <w:rPr>
          <w:rFonts w:hint="eastAsia" w:ascii="仿宋" w:hAnsi="仿宋" w:eastAsia="仿宋" w:cs="仿宋"/>
          <w:b/>
          <w:color w:val="auto"/>
          <w:sz w:val="32"/>
          <w:szCs w:val="32"/>
          <w:highlight w:val="none"/>
        </w:rPr>
        <w:t>名称：</w:t>
      </w:r>
    </w:p>
    <w:p w14:paraId="281E479F">
      <w:pPr>
        <w:shd w:val="clear" w:color="auto" w:fill="auto"/>
        <w:spacing w:line="360" w:lineRule="auto"/>
        <w:ind w:firstLine="964" w:firstLineChars="300"/>
        <w:jc w:val="left"/>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甲</w:t>
      </w:r>
      <w:r>
        <w:rPr>
          <w:rFonts w:hint="eastAsia" w:ascii="仿宋" w:hAnsi="仿宋" w:eastAsia="仿宋" w:cs="仿宋"/>
          <w:b/>
          <w:color w:val="auto"/>
          <w:sz w:val="32"/>
          <w:szCs w:val="32"/>
          <w:highlight w:val="none"/>
        </w:rPr>
        <w:t xml:space="preserve">    方：</w:t>
      </w:r>
    </w:p>
    <w:p w14:paraId="2FA8B566">
      <w:pPr>
        <w:shd w:val="clear" w:color="auto" w:fill="auto"/>
        <w:spacing w:line="360" w:lineRule="auto"/>
        <w:ind w:firstLine="964" w:firstLineChars="300"/>
        <w:jc w:val="left"/>
        <w:rPr>
          <w:rFonts w:hint="eastAsia" w:ascii="方正仿宋_GB2312" w:hAnsi="方正仿宋_GB2312" w:eastAsia="方正仿宋_GB2312" w:cs="方正仿宋_GB2312"/>
          <w:b/>
          <w:color w:val="auto"/>
          <w:sz w:val="32"/>
          <w:szCs w:val="32"/>
          <w:highlight w:val="none"/>
        </w:rPr>
      </w:pPr>
      <w:r>
        <w:rPr>
          <w:rFonts w:hint="eastAsia" w:ascii="仿宋" w:hAnsi="仿宋" w:eastAsia="仿宋" w:cs="仿宋"/>
          <w:b/>
          <w:color w:val="auto"/>
          <w:sz w:val="32"/>
          <w:szCs w:val="32"/>
          <w:highlight w:val="none"/>
          <w:lang w:val="en-US" w:eastAsia="zh-CN"/>
        </w:rPr>
        <w:t>乙</w:t>
      </w:r>
      <w:r>
        <w:rPr>
          <w:rFonts w:hint="eastAsia" w:ascii="仿宋" w:hAnsi="仿宋" w:eastAsia="仿宋" w:cs="仿宋"/>
          <w:b/>
          <w:color w:val="auto"/>
          <w:sz w:val="32"/>
          <w:szCs w:val="32"/>
          <w:highlight w:val="none"/>
        </w:rPr>
        <w:t xml:space="preserve">    方：</w:t>
      </w:r>
      <w:r>
        <w:rPr>
          <w:rFonts w:hint="eastAsia" w:ascii="方正仿宋_GB2312" w:hAnsi="方正仿宋_GB2312" w:eastAsia="方正仿宋_GB2312" w:cs="方正仿宋_GB2312"/>
          <w:b/>
          <w:color w:val="auto"/>
          <w:sz w:val="32"/>
          <w:szCs w:val="32"/>
          <w:highlight w:val="none"/>
        </w:rPr>
        <w:br w:type="page"/>
      </w:r>
    </w:p>
    <w:p w14:paraId="54A2BECE">
      <w:pPr>
        <w:keepNext w:val="0"/>
        <w:keepLines w:val="0"/>
        <w:pageBreakBefore w:val="0"/>
        <w:kinsoku/>
        <w:overflowPunct/>
        <w:topLinePunct w:val="0"/>
        <w:bidi w:val="0"/>
        <w:spacing w:line="360" w:lineRule="auto"/>
        <w:ind w:left="0" w:leftChars="0" w:firstLine="643" w:firstLineChars="200"/>
        <w:jc w:val="center"/>
        <w:textAlignment w:val="auto"/>
        <w:rPr>
          <w:rFonts w:hint="eastAsia" w:ascii="方正仿宋_GB2312" w:hAnsi="方正仿宋_GB2312" w:eastAsia="方正仿宋_GB2312" w:cs="方正仿宋_GB2312"/>
          <w:b/>
          <w:color w:val="auto"/>
          <w:sz w:val="32"/>
          <w:szCs w:val="32"/>
          <w:highlight w:val="none"/>
        </w:rPr>
      </w:pPr>
      <w:r>
        <w:rPr>
          <w:rFonts w:hint="eastAsia" w:ascii="方正仿宋_GB2312" w:hAnsi="方正仿宋_GB2312" w:eastAsia="方正仿宋_GB2312" w:cs="方正仿宋_GB2312"/>
          <w:b/>
          <w:color w:val="auto"/>
          <w:sz w:val="32"/>
          <w:szCs w:val="32"/>
          <w:highlight w:val="none"/>
        </w:rPr>
        <w:t>供货合同</w:t>
      </w:r>
    </w:p>
    <w:p w14:paraId="79FC8059">
      <w:pPr>
        <w:keepNext w:val="0"/>
        <w:keepLines w:val="0"/>
        <w:pageBreakBefore w:val="0"/>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甲方（采购人）：</w:t>
      </w:r>
    </w:p>
    <w:p w14:paraId="2DAFBDA6">
      <w:pPr>
        <w:keepNext w:val="0"/>
        <w:keepLines w:val="0"/>
        <w:pageBreakBefore w:val="0"/>
        <w:tabs>
          <w:tab w:val="left" w:pos="480"/>
        </w:tabs>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乙方（供应商）：</w:t>
      </w:r>
    </w:p>
    <w:p w14:paraId="3BA8A39C">
      <w:pPr>
        <w:keepNext w:val="0"/>
        <w:keepLines w:val="0"/>
        <w:pageBreakBefore w:val="0"/>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就甲方所需产品/设备，甲方委托采购代理机构在西安市财政局政府采购管理处的监督管理下，按照政府采购程序组织</w:t>
      </w:r>
      <w:r>
        <w:rPr>
          <w:rFonts w:hint="eastAsia" w:ascii="方正仿宋_GB2312" w:hAnsi="方正仿宋_GB2312" w:eastAsia="方正仿宋_GB2312" w:cs="方正仿宋_GB2312"/>
          <w:color w:val="auto"/>
          <w:sz w:val="20"/>
          <w:szCs w:val="20"/>
          <w:highlight w:val="none"/>
          <w:lang w:val="en-US" w:eastAsia="zh-CN"/>
        </w:rPr>
        <w:t>谈判</w:t>
      </w:r>
      <w:r>
        <w:rPr>
          <w:rFonts w:hint="eastAsia" w:ascii="方正仿宋_GB2312" w:hAnsi="方正仿宋_GB2312" w:eastAsia="方正仿宋_GB2312" w:cs="方正仿宋_GB2312"/>
          <w:color w:val="auto"/>
          <w:sz w:val="20"/>
          <w:szCs w:val="20"/>
          <w:highlight w:val="none"/>
          <w:lang w:eastAsia="zh-CN"/>
        </w:rPr>
        <w:t>采购</w:t>
      </w:r>
      <w:r>
        <w:rPr>
          <w:rFonts w:hint="eastAsia" w:ascii="方正仿宋_GB2312" w:hAnsi="方正仿宋_GB2312" w:eastAsia="方正仿宋_GB2312" w:cs="方正仿宋_GB2312"/>
          <w:color w:val="auto"/>
          <w:sz w:val="20"/>
          <w:szCs w:val="20"/>
          <w:highlight w:val="none"/>
        </w:rPr>
        <w:t>，确定乙方为成交供应商。依据《中华人民共和国政府采购法》《政府采购货物和服务招标投标管理办法》《中华人民共和国民法典》等规定，以及</w:t>
      </w:r>
      <w:r>
        <w:rPr>
          <w:rFonts w:hint="eastAsia" w:ascii="方正仿宋_GB2312" w:hAnsi="方正仿宋_GB2312" w:eastAsia="方正仿宋_GB2312" w:cs="方正仿宋_GB2312"/>
          <w:color w:val="auto"/>
          <w:sz w:val="20"/>
          <w:szCs w:val="20"/>
          <w:highlight w:val="none"/>
          <w:lang w:val="en-US" w:eastAsia="zh-CN"/>
        </w:rPr>
        <w:t>谈判文件</w:t>
      </w:r>
      <w:r>
        <w:rPr>
          <w:rFonts w:hint="eastAsia" w:ascii="方正仿宋_GB2312" w:hAnsi="方正仿宋_GB2312" w:eastAsia="方正仿宋_GB2312" w:cs="方正仿宋_GB2312"/>
          <w:color w:val="auto"/>
          <w:sz w:val="20"/>
          <w:szCs w:val="20"/>
          <w:highlight w:val="none"/>
        </w:rPr>
        <w:t>、成交供应商</w:t>
      </w:r>
      <w:r>
        <w:rPr>
          <w:rFonts w:hint="eastAsia" w:ascii="方正仿宋_GB2312" w:hAnsi="方正仿宋_GB2312" w:eastAsia="方正仿宋_GB2312" w:cs="方正仿宋_GB2312"/>
          <w:color w:val="auto"/>
          <w:sz w:val="20"/>
          <w:szCs w:val="20"/>
          <w:highlight w:val="none"/>
          <w:lang w:val="en-US" w:eastAsia="zh-CN"/>
        </w:rPr>
        <w:t>谈判</w:t>
      </w:r>
      <w:r>
        <w:rPr>
          <w:rFonts w:hint="eastAsia" w:ascii="方正仿宋_GB2312" w:hAnsi="方正仿宋_GB2312" w:eastAsia="方正仿宋_GB2312" w:cs="方正仿宋_GB2312"/>
          <w:color w:val="auto"/>
          <w:sz w:val="20"/>
          <w:szCs w:val="20"/>
          <w:highlight w:val="none"/>
        </w:rPr>
        <w:t>响应文件和澄清表（函）、</w:t>
      </w:r>
      <w:r>
        <w:rPr>
          <w:rFonts w:hint="eastAsia" w:ascii="方正仿宋_GB2312" w:hAnsi="方正仿宋_GB2312" w:eastAsia="方正仿宋_GB2312" w:cs="方正仿宋_GB2312"/>
          <w:color w:val="auto"/>
          <w:sz w:val="20"/>
          <w:szCs w:val="20"/>
          <w:highlight w:val="none"/>
          <w:lang w:val="en-US" w:eastAsia="zh-CN"/>
        </w:rPr>
        <w:t>成交</w:t>
      </w:r>
      <w:r>
        <w:rPr>
          <w:rFonts w:hint="eastAsia" w:ascii="方正仿宋_GB2312" w:hAnsi="方正仿宋_GB2312" w:eastAsia="方正仿宋_GB2312" w:cs="方正仿宋_GB2312"/>
          <w:color w:val="auto"/>
          <w:sz w:val="20"/>
          <w:szCs w:val="20"/>
          <w:highlight w:val="none"/>
        </w:rPr>
        <w:t>通知书，经甲、乙双方协商一致，达成如下条款，签订本合同。</w:t>
      </w:r>
    </w:p>
    <w:p w14:paraId="14A669DE">
      <w:pPr>
        <w:keepNext w:val="0"/>
        <w:keepLines w:val="0"/>
        <w:pageBreakBefore w:val="0"/>
        <w:tabs>
          <w:tab w:val="left" w:pos="480"/>
        </w:tabs>
        <w:kinsoku/>
        <w:overflowPunct/>
        <w:topLinePunct w:val="0"/>
        <w:bidi w:val="0"/>
        <w:spacing w:line="360" w:lineRule="auto"/>
        <w:ind w:left="0" w:leftChars="0" w:firstLine="402" w:firstLineChars="200"/>
        <w:textAlignment w:val="auto"/>
        <w:rPr>
          <w:rFonts w:hint="eastAsia" w:ascii="方正仿宋_GB2312" w:hAnsi="方正仿宋_GB2312" w:eastAsia="方正仿宋_GB2312" w:cs="方正仿宋_GB2312"/>
          <w:b/>
          <w:color w:val="auto"/>
          <w:sz w:val="20"/>
          <w:szCs w:val="20"/>
          <w:highlight w:val="none"/>
        </w:rPr>
      </w:pPr>
      <w:r>
        <w:rPr>
          <w:rFonts w:hint="eastAsia" w:ascii="方正仿宋_GB2312" w:hAnsi="方正仿宋_GB2312" w:eastAsia="方正仿宋_GB2312" w:cs="方正仿宋_GB2312"/>
          <w:b/>
          <w:color w:val="auto"/>
          <w:sz w:val="20"/>
          <w:szCs w:val="20"/>
          <w:highlight w:val="none"/>
        </w:rPr>
        <w:t>一、合同标的物及数量</w:t>
      </w:r>
    </w:p>
    <w:tbl>
      <w:tblPr>
        <w:tblStyle w:val="9"/>
        <w:tblW w:w="90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1"/>
        <w:gridCol w:w="1531"/>
        <w:gridCol w:w="1695"/>
        <w:gridCol w:w="928"/>
        <w:gridCol w:w="1125"/>
        <w:gridCol w:w="1416"/>
        <w:gridCol w:w="1417"/>
      </w:tblGrid>
      <w:tr w14:paraId="0D4D5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Borders>
              <w:top w:val="single" w:color="auto" w:sz="4" w:space="0"/>
              <w:left w:val="single" w:color="auto" w:sz="4" w:space="0"/>
              <w:bottom w:val="single" w:color="auto" w:sz="4" w:space="0"/>
              <w:right w:val="single" w:color="auto" w:sz="4" w:space="0"/>
            </w:tcBorders>
            <w:noWrap/>
            <w:vAlign w:val="center"/>
          </w:tcPr>
          <w:p w14:paraId="5F212B4A">
            <w:pPr>
              <w:keepNext w:val="0"/>
              <w:keepLines w:val="0"/>
              <w:pageBreakBefore w:val="0"/>
              <w:tabs>
                <w:tab w:val="left" w:pos="480"/>
              </w:tabs>
              <w:kinsoku/>
              <w:overflowPunct/>
              <w:topLinePunct w:val="0"/>
              <w:bidi w:val="0"/>
              <w:spacing w:line="360" w:lineRule="auto"/>
              <w:ind w:left="0" w:leftChars="0"/>
              <w:jc w:val="center"/>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序号</w:t>
            </w:r>
          </w:p>
        </w:tc>
        <w:tc>
          <w:tcPr>
            <w:tcW w:w="1531" w:type="dxa"/>
            <w:tcBorders>
              <w:top w:val="single" w:color="auto" w:sz="4" w:space="0"/>
              <w:left w:val="single" w:color="auto" w:sz="4" w:space="0"/>
              <w:bottom w:val="single" w:color="auto" w:sz="4" w:space="0"/>
              <w:right w:val="single" w:color="auto" w:sz="4" w:space="0"/>
            </w:tcBorders>
            <w:noWrap/>
            <w:vAlign w:val="center"/>
          </w:tcPr>
          <w:p w14:paraId="1CB3AA08">
            <w:pPr>
              <w:keepNext w:val="0"/>
              <w:keepLines w:val="0"/>
              <w:pageBreakBefore w:val="0"/>
              <w:tabs>
                <w:tab w:val="left" w:pos="480"/>
              </w:tabs>
              <w:kinsoku/>
              <w:overflowPunct/>
              <w:topLinePunct w:val="0"/>
              <w:bidi w:val="0"/>
              <w:spacing w:line="360" w:lineRule="auto"/>
              <w:ind w:left="0" w:leftChars="0"/>
              <w:jc w:val="center"/>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货物名称</w:t>
            </w:r>
          </w:p>
        </w:tc>
        <w:tc>
          <w:tcPr>
            <w:tcW w:w="1695" w:type="dxa"/>
            <w:tcBorders>
              <w:top w:val="single" w:color="auto" w:sz="4" w:space="0"/>
              <w:left w:val="single" w:color="auto" w:sz="4" w:space="0"/>
              <w:bottom w:val="single" w:color="auto" w:sz="4" w:space="0"/>
              <w:right w:val="single" w:color="auto" w:sz="4" w:space="0"/>
            </w:tcBorders>
            <w:noWrap/>
            <w:vAlign w:val="center"/>
          </w:tcPr>
          <w:p w14:paraId="2580517E">
            <w:pPr>
              <w:keepNext w:val="0"/>
              <w:keepLines w:val="0"/>
              <w:pageBreakBefore w:val="0"/>
              <w:tabs>
                <w:tab w:val="left" w:pos="480"/>
              </w:tabs>
              <w:kinsoku/>
              <w:overflowPunct/>
              <w:topLinePunct w:val="0"/>
              <w:bidi w:val="0"/>
              <w:spacing w:line="360" w:lineRule="auto"/>
              <w:ind w:left="0" w:leftChars="0"/>
              <w:jc w:val="center"/>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规格参数</w:t>
            </w:r>
          </w:p>
        </w:tc>
        <w:tc>
          <w:tcPr>
            <w:tcW w:w="928" w:type="dxa"/>
            <w:tcBorders>
              <w:top w:val="single" w:color="auto" w:sz="4" w:space="0"/>
              <w:left w:val="single" w:color="auto" w:sz="4" w:space="0"/>
              <w:bottom w:val="single" w:color="auto" w:sz="4" w:space="0"/>
              <w:right w:val="single" w:color="auto" w:sz="4" w:space="0"/>
            </w:tcBorders>
            <w:noWrap/>
            <w:vAlign w:val="center"/>
          </w:tcPr>
          <w:p w14:paraId="30C1766F">
            <w:pPr>
              <w:keepNext w:val="0"/>
              <w:keepLines w:val="0"/>
              <w:pageBreakBefore w:val="0"/>
              <w:tabs>
                <w:tab w:val="left" w:pos="480"/>
              </w:tabs>
              <w:kinsoku/>
              <w:overflowPunct/>
              <w:topLinePunct w:val="0"/>
              <w:bidi w:val="0"/>
              <w:spacing w:line="360" w:lineRule="auto"/>
              <w:ind w:left="0" w:leftChars="0"/>
              <w:jc w:val="center"/>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数量</w:t>
            </w:r>
          </w:p>
        </w:tc>
        <w:tc>
          <w:tcPr>
            <w:tcW w:w="1125" w:type="dxa"/>
            <w:tcBorders>
              <w:top w:val="single" w:color="auto" w:sz="4" w:space="0"/>
              <w:left w:val="single" w:color="auto" w:sz="4" w:space="0"/>
              <w:bottom w:val="single" w:color="auto" w:sz="4" w:space="0"/>
              <w:right w:val="single" w:color="auto" w:sz="4" w:space="0"/>
            </w:tcBorders>
            <w:noWrap/>
          </w:tcPr>
          <w:p w14:paraId="25BD6C07">
            <w:pPr>
              <w:keepNext w:val="0"/>
              <w:keepLines w:val="0"/>
              <w:pageBreakBefore w:val="0"/>
              <w:tabs>
                <w:tab w:val="left" w:pos="480"/>
              </w:tabs>
              <w:kinsoku/>
              <w:overflowPunct/>
              <w:topLinePunct w:val="0"/>
              <w:bidi w:val="0"/>
              <w:spacing w:line="360" w:lineRule="auto"/>
              <w:ind w:left="0" w:leftChars="0"/>
              <w:jc w:val="center"/>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产地</w:t>
            </w:r>
          </w:p>
        </w:tc>
        <w:tc>
          <w:tcPr>
            <w:tcW w:w="1416" w:type="dxa"/>
            <w:tcBorders>
              <w:top w:val="single" w:color="auto" w:sz="4" w:space="0"/>
              <w:left w:val="single" w:color="auto" w:sz="4" w:space="0"/>
              <w:bottom w:val="single" w:color="auto" w:sz="4" w:space="0"/>
              <w:right w:val="single" w:color="auto" w:sz="4" w:space="0"/>
            </w:tcBorders>
            <w:noWrap/>
          </w:tcPr>
          <w:p w14:paraId="2FDE55BD">
            <w:pPr>
              <w:keepNext w:val="0"/>
              <w:keepLines w:val="0"/>
              <w:pageBreakBefore w:val="0"/>
              <w:tabs>
                <w:tab w:val="left" w:pos="480"/>
              </w:tabs>
              <w:kinsoku/>
              <w:overflowPunct/>
              <w:topLinePunct w:val="0"/>
              <w:bidi w:val="0"/>
              <w:spacing w:line="360" w:lineRule="auto"/>
              <w:ind w:left="0" w:leftChars="0"/>
              <w:jc w:val="center"/>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品牌</w:t>
            </w:r>
          </w:p>
        </w:tc>
        <w:tc>
          <w:tcPr>
            <w:tcW w:w="1417" w:type="dxa"/>
            <w:tcBorders>
              <w:top w:val="single" w:color="auto" w:sz="4" w:space="0"/>
              <w:left w:val="single" w:color="auto" w:sz="4" w:space="0"/>
              <w:bottom w:val="single" w:color="auto" w:sz="4" w:space="0"/>
              <w:right w:val="single" w:color="auto" w:sz="4" w:space="0"/>
            </w:tcBorders>
            <w:noWrap/>
          </w:tcPr>
          <w:p w14:paraId="3288BB79">
            <w:pPr>
              <w:keepNext w:val="0"/>
              <w:keepLines w:val="0"/>
              <w:pageBreakBefore w:val="0"/>
              <w:tabs>
                <w:tab w:val="left" w:pos="480"/>
              </w:tabs>
              <w:kinsoku/>
              <w:overflowPunct/>
              <w:topLinePunct w:val="0"/>
              <w:bidi w:val="0"/>
              <w:spacing w:line="360" w:lineRule="auto"/>
              <w:ind w:left="0" w:leftChars="0"/>
              <w:jc w:val="center"/>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备注</w:t>
            </w:r>
          </w:p>
        </w:tc>
      </w:tr>
      <w:tr w14:paraId="71FFF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Borders>
              <w:top w:val="single" w:color="auto" w:sz="4" w:space="0"/>
              <w:left w:val="single" w:color="auto" w:sz="4" w:space="0"/>
              <w:bottom w:val="single" w:color="auto" w:sz="4" w:space="0"/>
              <w:right w:val="single" w:color="auto" w:sz="4" w:space="0"/>
            </w:tcBorders>
            <w:noWrap/>
            <w:vAlign w:val="center"/>
          </w:tcPr>
          <w:p w14:paraId="13EAFE92">
            <w:pPr>
              <w:keepNext w:val="0"/>
              <w:keepLines w:val="0"/>
              <w:pageBreakBefore w:val="0"/>
              <w:tabs>
                <w:tab w:val="left" w:pos="480"/>
              </w:tabs>
              <w:kinsoku/>
              <w:overflowPunct/>
              <w:topLinePunct w:val="0"/>
              <w:bidi w:val="0"/>
              <w:spacing w:line="360" w:lineRule="auto"/>
              <w:ind w:left="0" w:leftChars="0"/>
              <w:jc w:val="center"/>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1</w:t>
            </w:r>
          </w:p>
        </w:tc>
        <w:tc>
          <w:tcPr>
            <w:tcW w:w="1531" w:type="dxa"/>
            <w:tcBorders>
              <w:top w:val="single" w:color="auto" w:sz="4" w:space="0"/>
              <w:left w:val="single" w:color="auto" w:sz="4" w:space="0"/>
              <w:bottom w:val="single" w:color="auto" w:sz="4" w:space="0"/>
              <w:right w:val="single" w:color="auto" w:sz="4" w:space="0"/>
            </w:tcBorders>
            <w:noWrap/>
            <w:vAlign w:val="center"/>
          </w:tcPr>
          <w:p w14:paraId="6E51E8E2">
            <w:pPr>
              <w:keepNext w:val="0"/>
              <w:keepLines w:val="0"/>
              <w:pageBreakBefore w:val="0"/>
              <w:tabs>
                <w:tab w:val="left" w:pos="480"/>
              </w:tabs>
              <w:kinsoku/>
              <w:overflowPunct/>
              <w:topLinePunct w:val="0"/>
              <w:bidi w:val="0"/>
              <w:spacing w:line="360" w:lineRule="auto"/>
              <w:ind w:left="0" w:leftChars="0"/>
              <w:jc w:val="center"/>
              <w:textAlignment w:val="auto"/>
              <w:rPr>
                <w:rFonts w:hint="eastAsia" w:ascii="方正仿宋_GB2312" w:hAnsi="方正仿宋_GB2312" w:eastAsia="方正仿宋_GB2312" w:cs="方正仿宋_GB2312"/>
                <w:color w:val="auto"/>
                <w:sz w:val="20"/>
                <w:szCs w:val="20"/>
                <w:highlight w:val="none"/>
              </w:rPr>
            </w:pPr>
          </w:p>
        </w:tc>
        <w:tc>
          <w:tcPr>
            <w:tcW w:w="1695" w:type="dxa"/>
            <w:tcBorders>
              <w:top w:val="single" w:color="auto" w:sz="4" w:space="0"/>
              <w:left w:val="single" w:color="auto" w:sz="4" w:space="0"/>
              <w:bottom w:val="single" w:color="auto" w:sz="4" w:space="0"/>
              <w:right w:val="single" w:color="auto" w:sz="4" w:space="0"/>
            </w:tcBorders>
            <w:noWrap/>
            <w:vAlign w:val="center"/>
          </w:tcPr>
          <w:p w14:paraId="438D6CF0">
            <w:pPr>
              <w:keepNext w:val="0"/>
              <w:keepLines w:val="0"/>
              <w:pageBreakBefore w:val="0"/>
              <w:tabs>
                <w:tab w:val="left" w:pos="480"/>
              </w:tabs>
              <w:kinsoku/>
              <w:overflowPunct/>
              <w:topLinePunct w:val="0"/>
              <w:bidi w:val="0"/>
              <w:spacing w:line="360" w:lineRule="auto"/>
              <w:ind w:left="0" w:leftChars="0"/>
              <w:jc w:val="center"/>
              <w:textAlignment w:val="auto"/>
              <w:rPr>
                <w:rFonts w:hint="eastAsia" w:ascii="方正仿宋_GB2312" w:hAnsi="方正仿宋_GB2312" w:eastAsia="方正仿宋_GB2312" w:cs="方正仿宋_GB2312"/>
                <w:color w:val="auto"/>
                <w:sz w:val="20"/>
                <w:szCs w:val="20"/>
                <w:highlight w:val="none"/>
              </w:rPr>
            </w:pPr>
          </w:p>
        </w:tc>
        <w:tc>
          <w:tcPr>
            <w:tcW w:w="928" w:type="dxa"/>
            <w:tcBorders>
              <w:top w:val="single" w:color="auto" w:sz="4" w:space="0"/>
              <w:left w:val="single" w:color="auto" w:sz="4" w:space="0"/>
              <w:bottom w:val="single" w:color="auto" w:sz="4" w:space="0"/>
              <w:right w:val="single" w:color="auto" w:sz="4" w:space="0"/>
            </w:tcBorders>
            <w:noWrap/>
            <w:vAlign w:val="center"/>
          </w:tcPr>
          <w:p w14:paraId="63E65D9A">
            <w:pPr>
              <w:keepNext w:val="0"/>
              <w:keepLines w:val="0"/>
              <w:pageBreakBefore w:val="0"/>
              <w:kinsoku/>
              <w:overflowPunct/>
              <w:topLinePunct w:val="0"/>
              <w:bidi w:val="0"/>
              <w:spacing w:line="360" w:lineRule="auto"/>
              <w:ind w:left="0" w:leftChars="0"/>
              <w:jc w:val="center"/>
              <w:textAlignment w:val="auto"/>
              <w:rPr>
                <w:rFonts w:hint="eastAsia" w:ascii="方正仿宋_GB2312" w:hAnsi="方正仿宋_GB2312" w:eastAsia="方正仿宋_GB2312" w:cs="方正仿宋_GB2312"/>
                <w:color w:val="auto"/>
                <w:sz w:val="20"/>
                <w:szCs w:val="20"/>
                <w:highlight w:val="none"/>
              </w:rPr>
            </w:pPr>
          </w:p>
        </w:tc>
        <w:tc>
          <w:tcPr>
            <w:tcW w:w="1125" w:type="dxa"/>
            <w:tcBorders>
              <w:top w:val="single" w:color="auto" w:sz="4" w:space="0"/>
              <w:left w:val="single" w:color="auto" w:sz="4" w:space="0"/>
              <w:bottom w:val="single" w:color="auto" w:sz="4" w:space="0"/>
              <w:right w:val="single" w:color="auto" w:sz="4" w:space="0"/>
            </w:tcBorders>
            <w:noWrap/>
            <w:vAlign w:val="center"/>
          </w:tcPr>
          <w:p w14:paraId="0195378F">
            <w:pPr>
              <w:keepNext w:val="0"/>
              <w:keepLines w:val="0"/>
              <w:pageBreakBefore w:val="0"/>
              <w:kinsoku/>
              <w:overflowPunct/>
              <w:topLinePunct w:val="0"/>
              <w:bidi w:val="0"/>
              <w:spacing w:line="360" w:lineRule="auto"/>
              <w:ind w:left="0" w:leftChars="0"/>
              <w:jc w:val="center"/>
              <w:textAlignment w:val="auto"/>
              <w:rPr>
                <w:rFonts w:hint="eastAsia" w:ascii="方正仿宋_GB2312" w:hAnsi="方正仿宋_GB2312" w:eastAsia="方正仿宋_GB2312" w:cs="方正仿宋_GB2312"/>
                <w:color w:val="auto"/>
                <w:sz w:val="20"/>
                <w:szCs w:val="20"/>
                <w:highlight w:val="none"/>
              </w:rPr>
            </w:pPr>
          </w:p>
        </w:tc>
        <w:tc>
          <w:tcPr>
            <w:tcW w:w="1416" w:type="dxa"/>
            <w:tcBorders>
              <w:top w:val="single" w:color="auto" w:sz="4" w:space="0"/>
              <w:left w:val="single" w:color="auto" w:sz="4" w:space="0"/>
              <w:bottom w:val="single" w:color="auto" w:sz="4" w:space="0"/>
              <w:right w:val="single" w:color="auto" w:sz="4" w:space="0"/>
            </w:tcBorders>
            <w:noWrap/>
            <w:vAlign w:val="center"/>
          </w:tcPr>
          <w:p w14:paraId="5A0EA420">
            <w:pPr>
              <w:keepNext w:val="0"/>
              <w:keepLines w:val="0"/>
              <w:pageBreakBefore w:val="0"/>
              <w:tabs>
                <w:tab w:val="left" w:pos="480"/>
              </w:tabs>
              <w:kinsoku/>
              <w:overflowPunct/>
              <w:topLinePunct w:val="0"/>
              <w:bidi w:val="0"/>
              <w:spacing w:line="360" w:lineRule="auto"/>
              <w:ind w:left="0" w:leftChars="0"/>
              <w:jc w:val="center"/>
              <w:textAlignment w:val="auto"/>
              <w:rPr>
                <w:rFonts w:hint="eastAsia" w:ascii="方正仿宋_GB2312" w:hAnsi="方正仿宋_GB2312" w:eastAsia="方正仿宋_GB2312" w:cs="方正仿宋_GB2312"/>
                <w:color w:val="auto"/>
                <w:sz w:val="20"/>
                <w:szCs w:val="20"/>
                <w:highlight w:val="none"/>
              </w:rPr>
            </w:pPr>
          </w:p>
        </w:tc>
        <w:tc>
          <w:tcPr>
            <w:tcW w:w="1417" w:type="dxa"/>
            <w:tcBorders>
              <w:top w:val="single" w:color="auto" w:sz="4" w:space="0"/>
              <w:left w:val="single" w:color="auto" w:sz="4" w:space="0"/>
              <w:bottom w:val="single" w:color="auto" w:sz="4" w:space="0"/>
              <w:right w:val="single" w:color="auto" w:sz="4" w:space="0"/>
            </w:tcBorders>
            <w:noWrap/>
            <w:vAlign w:val="center"/>
          </w:tcPr>
          <w:p w14:paraId="0FD6DC4D">
            <w:pPr>
              <w:keepNext w:val="0"/>
              <w:keepLines w:val="0"/>
              <w:pageBreakBefore w:val="0"/>
              <w:tabs>
                <w:tab w:val="left" w:pos="480"/>
              </w:tabs>
              <w:kinsoku/>
              <w:overflowPunct/>
              <w:topLinePunct w:val="0"/>
              <w:bidi w:val="0"/>
              <w:spacing w:line="360" w:lineRule="auto"/>
              <w:ind w:left="0" w:leftChars="0"/>
              <w:jc w:val="center"/>
              <w:textAlignment w:val="auto"/>
              <w:rPr>
                <w:rFonts w:hint="eastAsia" w:ascii="方正仿宋_GB2312" w:hAnsi="方正仿宋_GB2312" w:eastAsia="方正仿宋_GB2312" w:cs="方正仿宋_GB2312"/>
                <w:color w:val="auto"/>
                <w:sz w:val="20"/>
                <w:szCs w:val="20"/>
                <w:highlight w:val="none"/>
              </w:rPr>
            </w:pPr>
          </w:p>
        </w:tc>
      </w:tr>
      <w:tr w14:paraId="65DD1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Borders>
              <w:top w:val="single" w:color="auto" w:sz="4" w:space="0"/>
              <w:left w:val="single" w:color="auto" w:sz="4" w:space="0"/>
              <w:bottom w:val="single" w:color="auto" w:sz="4" w:space="0"/>
              <w:right w:val="single" w:color="auto" w:sz="4" w:space="0"/>
            </w:tcBorders>
            <w:noWrap/>
            <w:vAlign w:val="center"/>
          </w:tcPr>
          <w:p w14:paraId="0F45BCE8">
            <w:pPr>
              <w:keepNext w:val="0"/>
              <w:keepLines w:val="0"/>
              <w:pageBreakBefore w:val="0"/>
              <w:tabs>
                <w:tab w:val="left" w:pos="480"/>
              </w:tabs>
              <w:kinsoku/>
              <w:overflowPunct/>
              <w:topLinePunct w:val="0"/>
              <w:bidi w:val="0"/>
              <w:spacing w:line="360" w:lineRule="auto"/>
              <w:ind w:left="0" w:leftChars="0"/>
              <w:jc w:val="center"/>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2</w:t>
            </w:r>
          </w:p>
        </w:tc>
        <w:tc>
          <w:tcPr>
            <w:tcW w:w="1531" w:type="dxa"/>
            <w:tcBorders>
              <w:top w:val="single" w:color="auto" w:sz="4" w:space="0"/>
              <w:left w:val="single" w:color="auto" w:sz="4" w:space="0"/>
              <w:bottom w:val="single" w:color="auto" w:sz="4" w:space="0"/>
              <w:right w:val="single" w:color="auto" w:sz="4" w:space="0"/>
            </w:tcBorders>
            <w:noWrap/>
            <w:vAlign w:val="center"/>
          </w:tcPr>
          <w:p w14:paraId="1C3EC10F">
            <w:pPr>
              <w:keepNext w:val="0"/>
              <w:keepLines w:val="0"/>
              <w:pageBreakBefore w:val="0"/>
              <w:tabs>
                <w:tab w:val="left" w:pos="480"/>
              </w:tabs>
              <w:kinsoku/>
              <w:overflowPunct/>
              <w:topLinePunct w:val="0"/>
              <w:bidi w:val="0"/>
              <w:spacing w:line="360" w:lineRule="auto"/>
              <w:ind w:left="0" w:leftChars="0"/>
              <w:jc w:val="center"/>
              <w:textAlignment w:val="auto"/>
              <w:rPr>
                <w:rFonts w:hint="eastAsia" w:ascii="方正仿宋_GB2312" w:hAnsi="方正仿宋_GB2312" w:eastAsia="方正仿宋_GB2312" w:cs="方正仿宋_GB2312"/>
                <w:color w:val="auto"/>
                <w:sz w:val="20"/>
                <w:szCs w:val="20"/>
                <w:highlight w:val="none"/>
              </w:rPr>
            </w:pPr>
          </w:p>
        </w:tc>
        <w:tc>
          <w:tcPr>
            <w:tcW w:w="1695" w:type="dxa"/>
            <w:tcBorders>
              <w:top w:val="single" w:color="auto" w:sz="4" w:space="0"/>
              <w:left w:val="single" w:color="auto" w:sz="4" w:space="0"/>
              <w:bottom w:val="single" w:color="auto" w:sz="4" w:space="0"/>
              <w:right w:val="single" w:color="auto" w:sz="4" w:space="0"/>
            </w:tcBorders>
            <w:noWrap/>
            <w:vAlign w:val="center"/>
          </w:tcPr>
          <w:p w14:paraId="5B76EB4D">
            <w:pPr>
              <w:keepNext w:val="0"/>
              <w:keepLines w:val="0"/>
              <w:pageBreakBefore w:val="0"/>
              <w:tabs>
                <w:tab w:val="left" w:pos="480"/>
              </w:tabs>
              <w:kinsoku/>
              <w:overflowPunct/>
              <w:topLinePunct w:val="0"/>
              <w:bidi w:val="0"/>
              <w:spacing w:line="360" w:lineRule="auto"/>
              <w:ind w:left="0" w:leftChars="0"/>
              <w:jc w:val="center"/>
              <w:textAlignment w:val="auto"/>
              <w:rPr>
                <w:rFonts w:hint="eastAsia" w:ascii="方正仿宋_GB2312" w:hAnsi="方正仿宋_GB2312" w:eastAsia="方正仿宋_GB2312" w:cs="方正仿宋_GB2312"/>
                <w:color w:val="auto"/>
                <w:sz w:val="20"/>
                <w:szCs w:val="20"/>
                <w:highlight w:val="none"/>
              </w:rPr>
            </w:pPr>
          </w:p>
        </w:tc>
        <w:tc>
          <w:tcPr>
            <w:tcW w:w="928" w:type="dxa"/>
            <w:tcBorders>
              <w:top w:val="single" w:color="auto" w:sz="4" w:space="0"/>
              <w:left w:val="single" w:color="auto" w:sz="4" w:space="0"/>
              <w:bottom w:val="single" w:color="auto" w:sz="4" w:space="0"/>
              <w:right w:val="single" w:color="auto" w:sz="4" w:space="0"/>
            </w:tcBorders>
            <w:noWrap/>
            <w:vAlign w:val="center"/>
          </w:tcPr>
          <w:p w14:paraId="615B5B29">
            <w:pPr>
              <w:keepNext w:val="0"/>
              <w:keepLines w:val="0"/>
              <w:pageBreakBefore w:val="0"/>
              <w:kinsoku/>
              <w:overflowPunct/>
              <w:topLinePunct w:val="0"/>
              <w:bidi w:val="0"/>
              <w:spacing w:line="360" w:lineRule="auto"/>
              <w:ind w:left="0" w:leftChars="0"/>
              <w:jc w:val="center"/>
              <w:textAlignment w:val="auto"/>
              <w:rPr>
                <w:rFonts w:hint="eastAsia" w:ascii="方正仿宋_GB2312" w:hAnsi="方正仿宋_GB2312" w:eastAsia="方正仿宋_GB2312" w:cs="方正仿宋_GB2312"/>
                <w:color w:val="auto"/>
                <w:sz w:val="20"/>
                <w:szCs w:val="20"/>
                <w:highlight w:val="none"/>
              </w:rPr>
            </w:pPr>
          </w:p>
        </w:tc>
        <w:tc>
          <w:tcPr>
            <w:tcW w:w="1125" w:type="dxa"/>
            <w:tcBorders>
              <w:top w:val="single" w:color="auto" w:sz="4" w:space="0"/>
              <w:left w:val="single" w:color="auto" w:sz="4" w:space="0"/>
              <w:bottom w:val="single" w:color="auto" w:sz="4" w:space="0"/>
              <w:right w:val="single" w:color="auto" w:sz="4" w:space="0"/>
            </w:tcBorders>
            <w:noWrap/>
            <w:vAlign w:val="center"/>
          </w:tcPr>
          <w:p w14:paraId="2095E6F2">
            <w:pPr>
              <w:keepNext w:val="0"/>
              <w:keepLines w:val="0"/>
              <w:pageBreakBefore w:val="0"/>
              <w:kinsoku/>
              <w:overflowPunct/>
              <w:topLinePunct w:val="0"/>
              <w:bidi w:val="0"/>
              <w:spacing w:line="360" w:lineRule="auto"/>
              <w:ind w:left="0" w:leftChars="0"/>
              <w:jc w:val="center"/>
              <w:textAlignment w:val="auto"/>
              <w:rPr>
                <w:rFonts w:hint="eastAsia" w:ascii="方正仿宋_GB2312" w:hAnsi="方正仿宋_GB2312" w:eastAsia="方正仿宋_GB2312" w:cs="方正仿宋_GB2312"/>
                <w:color w:val="auto"/>
                <w:sz w:val="20"/>
                <w:szCs w:val="20"/>
                <w:highlight w:val="none"/>
              </w:rPr>
            </w:pPr>
          </w:p>
        </w:tc>
        <w:tc>
          <w:tcPr>
            <w:tcW w:w="1416" w:type="dxa"/>
            <w:tcBorders>
              <w:top w:val="single" w:color="auto" w:sz="4" w:space="0"/>
              <w:left w:val="single" w:color="auto" w:sz="4" w:space="0"/>
              <w:bottom w:val="single" w:color="auto" w:sz="4" w:space="0"/>
              <w:right w:val="single" w:color="auto" w:sz="4" w:space="0"/>
            </w:tcBorders>
            <w:noWrap/>
            <w:vAlign w:val="center"/>
          </w:tcPr>
          <w:p w14:paraId="134B0D00">
            <w:pPr>
              <w:keepNext w:val="0"/>
              <w:keepLines w:val="0"/>
              <w:pageBreakBefore w:val="0"/>
              <w:tabs>
                <w:tab w:val="left" w:pos="480"/>
              </w:tabs>
              <w:kinsoku/>
              <w:overflowPunct/>
              <w:topLinePunct w:val="0"/>
              <w:bidi w:val="0"/>
              <w:spacing w:line="360" w:lineRule="auto"/>
              <w:ind w:left="0" w:leftChars="0"/>
              <w:jc w:val="center"/>
              <w:textAlignment w:val="auto"/>
              <w:rPr>
                <w:rFonts w:hint="eastAsia" w:ascii="方正仿宋_GB2312" w:hAnsi="方正仿宋_GB2312" w:eastAsia="方正仿宋_GB2312" w:cs="方正仿宋_GB2312"/>
                <w:color w:val="auto"/>
                <w:sz w:val="20"/>
                <w:szCs w:val="20"/>
                <w:highlight w:val="none"/>
              </w:rPr>
            </w:pPr>
          </w:p>
        </w:tc>
        <w:tc>
          <w:tcPr>
            <w:tcW w:w="1417" w:type="dxa"/>
            <w:tcBorders>
              <w:top w:val="single" w:color="auto" w:sz="4" w:space="0"/>
              <w:left w:val="single" w:color="auto" w:sz="4" w:space="0"/>
              <w:bottom w:val="single" w:color="auto" w:sz="4" w:space="0"/>
              <w:right w:val="single" w:color="auto" w:sz="4" w:space="0"/>
            </w:tcBorders>
            <w:noWrap/>
            <w:vAlign w:val="center"/>
          </w:tcPr>
          <w:p w14:paraId="0E209AE3">
            <w:pPr>
              <w:keepNext w:val="0"/>
              <w:keepLines w:val="0"/>
              <w:pageBreakBefore w:val="0"/>
              <w:tabs>
                <w:tab w:val="left" w:pos="480"/>
              </w:tabs>
              <w:kinsoku/>
              <w:overflowPunct/>
              <w:topLinePunct w:val="0"/>
              <w:bidi w:val="0"/>
              <w:spacing w:line="360" w:lineRule="auto"/>
              <w:ind w:left="0" w:leftChars="0"/>
              <w:jc w:val="center"/>
              <w:textAlignment w:val="auto"/>
              <w:rPr>
                <w:rFonts w:hint="eastAsia" w:ascii="方正仿宋_GB2312" w:hAnsi="方正仿宋_GB2312" w:eastAsia="方正仿宋_GB2312" w:cs="方正仿宋_GB2312"/>
                <w:color w:val="auto"/>
                <w:sz w:val="20"/>
                <w:szCs w:val="20"/>
                <w:highlight w:val="none"/>
              </w:rPr>
            </w:pPr>
          </w:p>
        </w:tc>
      </w:tr>
      <w:tr w14:paraId="799E2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Borders>
              <w:top w:val="single" w:color="auto" w:sz="4" w:space="0"/>
              <w:left w:val="single" w:color="auto" w:sz="4" w:space="0"/>
              <w:bottom w:val="single" w:color="auto" w:sz="4" w:space="0"/>
              <w:right w:val="single" w:color="auto" w:sz="4" w:space="0"/>
            </w:tcBorders>
            <w:noWrap/>
            <w:vAlign w:val="center"/>
          </w:tcPr>
          <w:p w14:paraId="26A65E2F">
            <w:pPr>
              <w:keepNext w:val="0"/>
              <w:keepLines w:val="0"/>
              <w:pageBreakBefore w:val="0"/>
              <w:tabs>
                <w:tab w:val="left" w:pos="480"/>
              </w:tabs>
              <w:kinsoku/>
              <w:overflowPunct/>
              <w:topLinePunct w:val="0"/>
              <w:bidi w:val="0"/>
              <w:spacing w:line="360" w:lineRule="auto"/>
              <w:ind w:left="0" w:leftChars="0"/>
              <w:jc w:val="center"/>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合计</w:t>
            </w:r>
          </w:p>
        </w:tc>
        <w:tc>
          <w:tcPr>
            <w:tcW w:w="1531" w:type="dxa"/>
            <w:tcBorders>
              <w:top w:val="single" w:color="auto" w:sz="4" w:space="0"/>
              <w:left w:val="single" w:color="auto" w:sz="4" w:space="0"/>
              <w:bottom w:val="single" w:color="auto" w:sz="4" w:space="0"/>
              <w:right w:val="single" w:color="auto" w:sz="4" w:space="0"/>
            </w:tcBorders>
            <w:noWrap/>
            <w:vAlign w:val="center"/>
          </w:tcPr>
          <w:p w14:paraId="6BD66A8C">
            <w:pPr>
              <w:keepNext w:val="0"/>
              <w:keepLines w:val="0"/>
              <w:pageBreakBefore w:val="0"/>
              <w:tabs>
                <w:tab w:val="left" w:pos="480"/>
              </w:tabs>
              <w:kinsoku/>
              <w:overflowPunct/>
              <w:topLinePunct w:val="0"/>
              <w:bidi w:val="0"/>
              <w:spacing w:line="360" w:lineRule="auto"/>
              <w:ind w:left="0" w:leftChars="0"/>
              <w:jc w:val="center"/>
              <w:textAlignment w:val="auto"/>
              <w:rPr>
                <w:rFonts w:hint="eastAsia" w:ascii="方正仿宋_GB2312" w:hAnsi="方正仿宋_GB2312" w:eastAsia="方正仿宋_GB2312" w:cs="方正仿宋_GB2312"/>
                <w:color w:val="auto"/>
                <w:sz w:val="20"/>
                <w:szCs w:val="20"/>
                <w:highlight w:val="none"/>
              </w:rPr>
            </w:pPr>
          </w:p>
        </w:tc>
        <w:tc>
          <w:tcPr>
            <w:tcW w:w="1695" w:type="dxa"/>
            <w:tcBorders>
              <w:top w:val="single" w:color="auto" w:sz="4" w:space="0"/>
              <w:left w:val="single" w:color="auto" w:sz="4" w:space="0"/>
              <w:bottom w:val="single" w:color="auto" w:sz="4" w:space="0"/>
              <w:right w:val="single" w:color="auto" w:sz="4" w:space="0"/>
            </w:tcBorders>
            <w:noWrap/>
            <w:vAlign w:val="center"/>
          </w:tcPr>
          <w:p w14:paraId="2ECCB432">
            <w:pPr>
              <w:keepNext w:val="0"/>
              <w:keepLines w:val="0"/>
              <w:pageBreakBefore w:val="0"/>
              <w:tabs>
                <w:tab w:val="left" w:pos="480"/>
              </w:tabs>
              <w:kinsoku/>
              <w:overflowPunct/>
              <w:topLinePunct w:val="0"/>
              <w:bidi w:val="0"/>
              <w:spacing w:line="360" w:lineRule="auto"/>
              <w:ind w:left="0" w:leftChars="0"/>
              <w:jc w:val="center"/>
              <w:textAlignment w:val="auto"/>
              <w:rPr>
                <w:rFonts w:hint="eastAsia" w:ascii="方正仿宋_GB2312" w:hAnsi="方正仿宋_GB2312" w:eastAsia="方正仿宋_GB2312" w:cs="方正仿宋_GB2312"/>
                <w:color w:val="auto"/>
                <w:sz w:val="20"/>
                <w:szCs w:val="20"/>
                <w:highlight w:val="none"/>
              </w:rPr>
            </w:pPr>
          </w:p>
        </w:tc>
        <w:tc>
          <w:tcPr>
            <w:tcW w:w="928" w:type="dxa"/>
            <w:tcBorders>
              <w:top w:val="single" w:color="auto" w:sz="4" w:space="0"/>
              <w:left w:val="single" w:color="auto" w:sz="4" w:space="0"/>
              <w:bottom w:val="single" w:color="auto" w:sz="4" w:space="0"/>
              <w:right w:val="single" w:color="auto" w:sz="4" w:space="0"/>
            </w:tcBorders>
            <w:noWrap/>
            <w:vAlign w:val="center"/>
          </w:tcPr>
          <w:p w14:paraId="65F6381A">
            <w:pPr>
              <w:keepNext w:val="0"/>
              <w:keepLines w:val="0"/>
              <w:pageBreakBefore w:val="0"/>
              <w:kinsoku/>
              <w:overflowPunct/>
              <w:topLinePunct w:val="0"/>
              <w:bidi w:val="0"/>
              <w:spacing w:line="360" w:lineRule="auto"/>
              <w:ind w:left="0" w:leftChars="0"/>
              <w:jc w:val="center"/>
              <w:textAlignment w:val="auto"/>
              <w:rPr>
                <w:rFonts w:hint="eastAsia" w:ascii="方正仿宋_GB2312" w:hAnsi="方正仿宋_GB2312" w:eastAsia="方正仿宋_GB2312" w:cs="方正仿宋_GB2312"/>
                <w:color w:val="auto"/>
                <w:sz w:val="20"/>
                <w:szCs w:val="20"/>
                <w:highlight w:val="none"/>
              </w:rPr>
            </w:pPr>
          </w:p>
        </w:tc>
        <w:tc>
          <w:tcPr>
            <w:tcW w:w="1125" w:type="dxa"/>
            <w:tcBorders>
              <w:top w:val="single" w:color="auto" w:sz="4" w:space="0"/>
              <w:left w:val="single" w:color="auto" w:sz="4" w:space="0"/>
              <w:bottom w:val="single" w:color="auto" w:sz="4" w:space="0"/>
              <w:right w:val="single" w:color="auto" w:sz="4" w:space="0"/>
            </w:tcBorders>
            <w:noWrap/>
            <w:vAlign w:val="center"/>
          </w:tcPr>
          <w:p w14:paraId="593ED5C7">
            <w:pPr>
              <w:keepNext w:val="0"/>
              <w:keepLines w:val="0"/>
              <w:pageBreakBefore w:val="0"/>
              <w:kinsoku/>
              <w:overflowPunct/>
              <w:topLinePunct w:val="0"/>
              <w:bidi w:val="0"/>
              <w:spacing w:line="360" w:lineRule="auto"/>
              <w:ind w:left="0" w:leftChars="0"/>
              <w:jc w:val="center"/>
              <w:textAlignment w:val="auto"/>
              <w:rPr>
                <w:rFonts w:hint="eastAsia" w:ascii="方正仿宋_GB2312" w:hAnsi="方正仿宋_GB2312" w:eastAsia="方正仿宋_GB2312" w:cs="方正仿宋_GB2312"/>
                <w:color w:val="auto"/>
                <w:sz w:val="20"/>
                <w:szCs w:val="20"/>
                <w:highlight w:val="none"/>
              </w:rPr>
            </w:pPr>
          </w:p>
        </w:tc>
        <w:tc>
          <w:tcPr>
            <w:tcW w:w="1416" w:type="dxa"/>
            <w:tcBorders>
              <w:top w:val="single" w:color="auto" w:sz="4" w:space="0"/>
              <w:left w:val="single" w:color="auto" w:sz="4" w:space="0"/>
              <w:bottom w:val="single" w:color="auto" w:sz="4" w:space="0"/>
              <w:right w:val="single" w:color="auto" w:sz="4" w:space="0"/>
            </w:tcBorders>
            <w:noWrap/>
            <w:vAlign w:val="center"/>
          </w:tcPr>
          <w:p w14:paraId="57CCCC56">
            <w:pPr>
              <w:keepNext w:val="0"/>
              <w:keepLines w:val="0"/>
              <w:pageBreakBefore w:val="0"/>
              <w:tabs>
                <w:tab w:val="left" w:pos="480"/>
              </w:tabs>
              <w:kinsoku/>
              <w:overflowPunct/>
              <w:topLinePunct w:val="0"/>
              <w:bidi w:val="0"/>
              <w:spacing w:line="360" w:lineRule="auto"/>
              <w:ind w:left="0" w:leftChars="0"/>
              <w:jc w:val="center"/>
              <w:textAlignment w:val="auto"/>
              <w:rPr>
                <w:rFonts w:hint="eastAsia" w:ascii="方正仿宋_GB2312" w:hAnsi="方正仿宋_GB2312" w:eastAsia="方正仿宋_GB2312" w:cs="方正仿宋_GB2312"/>
                <w:color w:val="auto"/>
                <w:sz w:val="20"/>
                <w:szCs w:val="20"/>
                <w:highlight w:val="none"/>
              </w:rPr>
            </w:pPr>
          </w:p>
        </w:tc>
        <w:tc>
          <w:tcPr>
            <w:tcW w:w="1417" w:type="dxa"/>
            <w:tcBorders>
              <w:top w:val="single" w:color="auto" w:sz="4" w:space="0"/>
              <w:left w:val="single" w:color="auto" w:sz="4" w:space="0"/>
              <w:bottom w:val="single" w:color="auto" w:sz="4" w:space="0"/>
              <w:right w:val="single" w:color="auto" w:sz="4" w:space="0"/>
            </w:tcBorders>
            <w:noWrap/>
            <w:vAlign w:val="center"/>
          </w:tcPr>
          <w:p w14:paraId="2AD6E5E6">
            <w:pPr>
              <w:keepNext w:val="0"/>
              <w:keepLines w:val="0"/>
              <w:pageBreakBefore w:val="0"/>
              <w:tabs>
                <w:tab w:val="left" w:pos="480"/>
              </w:tabs>
              <w:kinsoku/>
              <w:overflowPunct/>
              <w:topLinePunct w:val="0"/>
              <w:bidi w:val="0"/>
              <w:spacing w:line="360" w:lineRule="auto"/>
              <w:ind w:left="0" w:leftChars="0"/>
              <w:jc w:val="center"/>
              <w:textAlignment w:val="auto"/>
              <w:rPr>
                <w:rFonts w:hint="eastAsia" w:ascii="方正仿宋_GB2312" w:hAnsi="方正仿宋_GB2312" w:eastAsia="方正仿宋_GB2312" w:cs="方正仿宋_GB2312"/>
                <w:color w:val="auto"/>
                <w:sz w:val="20"/>
                <w:szCs w:val="20"/>
                <w:highlight w:val="none"/>
              </w:rPr>
            </w:pPr>
          </w:p>
        </w:tc>
      </w:tr>
      <w:tr w14:paraId="0E78A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941" w:type="dxa"/>
            <w:tcBorders>
              <w:top w:val="single" w:color="auto" w:sz="4" w:space="0"/>
              <w:left w:val="single" w:color="auto" w:sz="4" w:space="0"/>
              <w:bottom w:val="single" w:color="auto" w:sz="4" w:space="0"/>
              <w:right w:val="single" w:color="auto" w:sz="4" w:space="0"/>
            </w:tcBorders>
            <w:noWrap/>
            <w:vAlign w:val="center"/>
          </w:tcPr>
          <w:p w14:paraId="5284C239">
            <w:pPr>
              <w:keepNext w:val="0"/>
              <w:keepLines w:val="0"/>
              <w:pageBreakBefore w:val="0"/>
              <w:tabs>
                <w:tab w:val="left" w:pos="480"/>
              </w:tabs>
              <w:kinsoku/>
              <w:overflowPunct/>
              <w:topLinePunct w:val="0"/>
              <w:bidi w:val="0"/>
              <w:spacing w:line="360" w:lineRule="auto"/>
              <w:ind w:left="0" w:leftChars="0"/>
              <w:jc w:val="center"/>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备注</w:t>
            </w:r>
          </w:p>
        </w:tc>
        <w:tc>
          <w:tcPr>
            <w:tcW w:w="1531" w:type="dxa"/>
            <w:tcBorders>
              <w:top w:val="single" w:color="auto" w:sz="4" w:space="0"/>
              <w:left w:val="single" w:color="auto" w:sz="4" w:space="0"/>
              <w:bottom w:val="single" w:color="auto" w:sz="4" w:space="0"/>
              <w:right w:val="single" w:color="auto" w:sz="4" w:space="0"/>
            </w:tcBorders>
            <w:noWrap/>
            <w:vAlign w:val="center"/>
          </w:tcPr>
          <w:p w14:paraId="19D78401">
            <w:pPr>
              <w:keepNext w:val="0"/>
              <w:keepLines w:val="0"/>
              <w:pageBreakBefore w:val="0"/>
              <w:tabs>
                <w:tab w:val="left" w:pos="480"/>
              </w:tabs>
              <w:kinsoku/>
              <w:overflowPunct/>
              <w:topLinePunct w:val="0"/>
              <w:bidi w:val="0"/>
              <w:spacing w:line="360" w:lineRule="auto"/>
              <w:ind w:left="0" w:leftChars="0"/>
              <w:jc w:val="center"/>
              <w:textAlignment w:val="auto"/>
              <w:rPr>
                <w:rFonts w:hint="eastAsia" w:ascii="方正仿宋_GB2312" w:hAnsi="方正仿宋_GB2312" w:eastAsia="方正仿宋_GB2312" w:cs="方正仿宋_GB2312"/>
                <w:color w:val="auto"/>
                <w:sz w:val="20"/>
                <w:szCs w:val="20"/>
                <w:highlight w:val="none"/>
              </w:rPr>
            </w:pPr>
          </w:p>
        </w:tc>
        <w:tc>
          <w:tcPr>
            <w:tcW w:w="1695" w:type="dxa"/>
            <w:tcBorders>
              <w:top w:val="single" w:color="auto" w:sz="4" w:space="0"/>
              <w:left w:val="single" w:color="auto" w:sz="4" w:space="0"/>
              <w:bottom w:val="single" w:color="auto" w:sz="4" w:space="0"/>
              <w:right w:val="single" w:color="auto" w:sz="4" w:space="0"/>
            </w:tcBorders>
            <w:noWrap/>
            <w:vAlign w:val="center"/>
          </w:tcPr>
          <w:p w14:paraId="23E1F14A">
            <w:pPr>
              <w:keepNext w:val="0"/>
              <w:keepLines w:val="0"/>
              <w:pageBreakBefore w:val="0"/>
              <w:tabs>
                <w:tab w:val="left" w:pos="480"/>
              </w:tabs>
              <w:kinsoku/>
              <w:overflowPunct/>
              <w:topLinePunct w:val="0"/>
              <w:bidi w:val="0"/>
              <w:spacing w:line="360" w:lineRule="auto"/>
              <w:ind w:left="0" w:leftChars="0"/>
              <w:jc w:val="center"/>
              <w:textAlignment w:val="auto"/>
              <w:rPr>
                <w:rFonts w:hint="eastAsia" w:ascii="方正仿宋_GB2312" w:hAnsi="方正仿宋_GB2312" w:eastAsia="方正仿宋_GB2312" w:cs="方正仿宋_GB2312"/>
                <w:color w:val="auto"/>
                <w:sz w:val="20"/>
                <w:szCs w:val="20"/>
                <w:highlight w:val="none"/>
              </w:rPr>
            </w:pPr>
          </w:p>
        </w:tc>
        <w:tc>
          <w:tcPr>
            <w:tcW w:w="928" w:type="dxa"/>
            <w:tcBorders>
              <w:top w:val="single" w:color="auto" w:sz="4" w:space="0"/>
              <w:left w:val="single" w:color="auto" w:sz="4" w:space="0"/>
              <w:bottom w:val="single" w:color="auto" w:sz="4" w:space="0"/>
              <w:right w:val="single" w:color="auto" w:sz="4" w:space="0"/>
            </w:tcBorders>
            <w:noWrap/>
            <w:vAlign w:val="center"/>
          </w:tcPr>
          <w:p w14:paraId="2C00EBE8">
            <w:pPr>
              <w:keepNext w:val="0"/>
              <w:keepLines w:val="0"/>
              <w:pageBreakBefore w:val="0"/>
              <w:kinsoku/>
              <w:overflowPunct/>
              <w:topLinePunct w:val="0"/>
              <w:bidi w:val="0"/>
              <w:spacing w:line="360" w:lineRule="auto"/>
              <w:ind w:left="0" w:leftChars="0"/>
              <w:jc w:val="center"/>
              <w:textAlignment w:val="auto"/>
              <w:rPr>
                <w:rFonts w:hint="eastAsia" w:ascii="方正仿宋_GB2312" w:hAnsi="方正仿宋_GB2312" w:eastAsia="方正仿宋_GB2312" w:cs="方正仿宋_GB2312"/>
                <w:color w:val="auto"/>
                <w:sz w:val="20"/>
                <w:szCs w:val="20"/>
                <w:highlight w:val="none"/>
              </w:rPr>
            </w:pPr>
          </w:p>
        </w:tc>
        <w:tc>
          <w:tcPr>
            <w:tcW w:w="1125" w:type="dxa"/>
            <w:tcBorders>
              <w:top w:val="single" w:color="auto" w:sz="4" w:space="0"/>
              <w:left w:val="single" w:color="auto" w:sz="4" w:space="0"/>
              <w:bottom w:val="single" w:color="auto" w:sz="4" w:space="0"/>
              <w:right w:val="single" w:color="auto" w:sz="4" w:space="0"/>
            </w:tcBorders>
            <w:noWrap/>
            <w:vAlign w:val="center"/>
          </w:tcPr>
          <w:p w14:paraId="60670C2C">
            <w:pPr>
              <w:keepNext w:val="0"/>
              <w:keepLines w:val="0"/>
              <w:pageBreakBefore w:val="0"/>
              <w:kinsoku/>
              <w:overflowPunct/>
              <w:topLinePunct w:val="0"/>
              <w:bidi w:val="0"/>
              <w:spacing w:line="360" w:lineRule="auto"/>
              <w:ind w:left="0" w:leftChars="0"/>
              <w:jc w:val="center"/>
              <w:textAlignment w:val="auto"/>
              <w:rPr>
                <w:rFonts w:hint="eastAsia" w:ascii="方正仿宋_GB2312" w:hAnsi="方正仿宋_GB2312" w:eastAsia="方正仿宋_GB2312" w:cs="方正仿宋_GB2312"/>
                <w:color w:val="auto"/>
                <w:sz w:val="20"/>
                <w:szCs w:val="20"/>
                <w:highlight w:val="none"/>
              </w:rPr>
            </w:pPr>
          </w:p>
        </w:tc>
        <w:tc>
          <w:tcPr>
            <w:tcW w:w="1416" w:type="dxa"/>
            <w:tcBorders>
              <w:top w:val="single" w:color="auto" w:sz="4" w:space="0"/>
              <w:left w:val="single" w:color="auto" w:sz="4" w:space="0"/>
              <w:bottom w:val="single" w:color="auto" w:sz="4" w:space="0"/>
              <w:right w:val="single" w:color="auto" w:sz="4" w:space="0"/>
            </w:tcBorders>
            <w:noWrap/>
            <w:vAlign w:val="center"/>
          </w:tcPr>
          <w:p w14:paraId="0C559136">
            <w:pPr>
              <w:keepNext w:val="0"/>
              <w:keepLines w:val="0"/>
              <w:pageBreakBefore w:val="0"/>
              <w:tabs>
                <w:tab w:val="left" w:pos="480"/>
              </w:tabs>
              <w:kinsoku/>
              <w:overflowPunct/>
              <w:topLinePunct w:val="0"/>
              <w:bidi w:val="0"/>
              <w:spacing w:line="360" w:lineRule="auto"/>
              <w:ind w:left="0" w:leftChars="0"/>
              <w:jc w:val="center"/>
              <w:textAlignment w:val="auto"/>
              <w:rPr>
                <w:rFonts w:hint="eastAsia" w:ascii="方正仿宋_GB2312" w:hAnsi="方正仿宋_GB2312" w:eastAsia="方正仿宋_GB2312" w:cs="方正仿宋_GB2312"/>
                <w:color w:val="auto"/>
                <w:sz w:val="20"/>
                <w:szCs w:val="20"/>
                <w:highlight w:val="none"/>
              </w:rPr>
            </w:pPr>
          </w:p>
        </w:tc>
        <w:tc>
          <w:tcPr>
            <w:tcW w:w="1417" w:type="dxa"/>
            <w:tcBorders>
              <w:top w:val="single" w:color="auto" w:sz="4" w:space="0"/>
              <w:left w:val="single" w:color="auto" w:sz="4" w:space="0"/>
              <w:bottom w:val="single" w:color="auto" w:sz="4" w:space="0"/>
              <w:right w:val="single" w:color="auto" w:sz="4" w:space="0"/>
            </w:tcBorders>
            <w:noWrap/>
            <w:vAlign w:val="center"/>
          </w:tcPr>
          <w:p w14:paraId="0A4A4036">
            <w:pPr>
              <w:keepNext w:val="0"/>
              <w:keepLines w:val="0"/>
              <w:pageBreakBefore w:val="0"/>
              <w:tabs>
                <w:tab w:val="left" w:pos="480"/>
              </w:tabs>
              <w:kinsoku/>
              <w:overflowPunct/>
              <w:topLinePunct w:val="0"/>
              <w:bidi w:val="0"/>
              <w:spacing w:line="360" w:lineRule="auto"/>
              <w:ind w:left="0" w:leftChars="0"/>
              <w:jc w:val="center"/>
              <w:textAlignment w:val="auto"/>
              <w:rPr>
                <w:rFonts w:hint="eastAsia" w:ascii="方正仿宋_GB2312" w:hAnsi="方正仿宋_GB2312" w:eastAsia="方正仿宋_GB2312" w:cs="方正仿宋_GB2312"/>
                <w:color w:val="auto"/>
                <w:sz w:val="20"/>
                <w:szCs w:val="20"/>
                <w:highlight w:val="none"/>
              </w:rPr>
            </w:pPr>
          </w:p>
        </w:tc>
      </w:tr>
      <w:tr w14:paraId="14623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Borders>
              <w:top w:val="single" w:color="auto" w:sz="4" w:space="0"/>
              <w:left w:val="single" w:color="auto" w:sz="4" w:space="0"/>
              <w:bottom w:val="single" w:color="auto" w:sz="4" w:space="0"/>
              <w:right w:val="single" w:color="auto" w:sz="4" w:space="0"/>
            </w:tcBorders>
            <w:noWrap/>
            <w:vAlign w:val="center"/>
          </w:tcPr>
          <w:p w14:paraId="57037EF4">
            <w:pPr>
              <w:keepNext w:val="0"/>
              <w:keepLines w:val="0"/>
              <w:pageBreakBefore w:val="0"/>
              <w:tabs>
                <w:tab w:val="left" w:pos="480"/>
              </w:tabs>
              <w:kinsoku/>
              <w:overflowPunct/>
              <w:topLinePunct w:val="0"/>
              <w:bidi w:val="0"/>
              <w:spacing w:line="360" w:lineRule="auto"/>
              <w:ind w:left="0" w:leftChars="0"/>
              <w:jc w:val="center"/>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说明</w:t>
            </w:r>
          </w:p>
        </w:tc>
        <w:tc>
          <w:tcPr>
            <w:tcW w:w="8112" w:type="dxa"/>
            <w:gridSpan w:val="6"/>
            <w:tcBorders>
              <w:top w:val="single" w:color="auto" w:sz="4" w:space="0"/>
              <w:left w:val="single" w:color="auto" w:sz="4" w:space="0"/>
              <w:bottom w:val="single" w:color="auto" w:sz="4" w:space="0"/>
              <w:right w:val="single" w:color="auto" w:sz="4" w:space="0"/>
            </w:tcBorders>
            <w:noWrap/>
            <w:vAlign w:val="center"/>
          </w:tcPr>
          <w:p w14:paraId="67EE012D">
            <w:pPr>
              <w:keepNext w:val="0"/>
              <w:keepLines w:val="0"/>
              <w:pageBreakBefore w:val="0"/>
              <w:tabs>
                <w:tab w:val="left" w:pos="480"/>
              </w:tabs>
              <w:kinsoku/>
              <w:overflowPunct/>
              <w:topLinePunct w:val="0"/>
              <w:bidi w:val="0"/>
              <w:spacing w:line="360" w:lineRule="auto"/>
              <w:ind w:left="0" w:leftChars="0"/>
              <w:jc w:val="left"/>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附技术参数说明</w:t>
            </w:r>
          </w:p>
        </w:tc>
      </w:tr>
    </w:tbl>
    <w:p w14:paraId="608B259D">
      <w:pPr>
        <w:keepNext w:val="0"/>
        <w:keepLines w:val="0"/>
        <w:pageBreakBefore w:val="0"/>
        <w:kinsoku/>
        <w:overflowPunct/>
        <w:topLinePunct w:val="0"/>
        <w:bidi w:val="0"/>
        <w:spacing w:line="360" w:lineRule="auto"/>
        <w:ind w:left="0" w:leftChars="0"/>
        <w:textAlignment w:val="auto"/>
        <w:rPr>
          <w:rFonts w:hint="eastAsia" w:ascii="方正仿宋_GB2312" w:hAnsi="方正仿宋_GB2312" w:eastAsia="方正仿宋_GB2312" w:cs="方正仿宋_GB2312"/>
          <w:b/>
          <w:bCs/>
          <w:color w:val="auto"/>
          <w:spacing w:val="-20"/>
          <w:kern w:val="0"/>
          <w:sz w:val="20"/>
          <w:szCs w:val="20"/>
          <w:highlight w:val="none"/>
        </w:rPr>
      </w:pPr>
      <w:r>
        <w:rPr>
          <w:rFonts w:hint="eastAsia" w:ascii="方正仿宋_GB2312" w:hAnsi="方正仿宋_GB2312" w:eastAsia="方正仿宋_GB2312" w:cs="方正仿宋_GB2312"/>
          <w:b/>
          <w:bCs/>
          <w:color w:val="auto"/>
          <w:spacing w:val="-20"/>
          <w:kern w:val="0"/>
          <w:sz w:val="20"/>
          <w:szCs w:val="20"/>
          <w:highlight w:val="none"/>
        </w:rPr>
        <w:t>（技术参数可附附件或详见</w:t>
      </w:r>
      <w:r>
        <w:rPr>
          <w:rFonts w:hint="eastAsia" w:ascii="方正仿宋_GB2312" w:hAnsi="方正仿宋_GB2312" w:eastAsia="方正仿宋_GB2312" w:cs="方正仿宋_GB2312"/>
          <w:b/>
          <w:bCs/>
          <w:color w:val="auto"/>
          <w:spacing w:val="-20"/>
          <w:kern w:val="0"/>
          <w:sz w:val="20"/>
          <w:szCs w:val="20"/>
          <w:highlight w:val="none"/>
          <w:lang w:val="en-US" w:eastAsia="zh-CN"/>
        </w:rPr>
        <w:t>谈判响应</w:t>
      </w:r>
      <w:r>
        <w:rPr>
          <w:rFonts w:hint="eastAsia" w:ascii="方正仿宋_GB2312" w:hAnsi="方正仿宋_GB2312" w:eastAsia="方正仿宋_GB2312" w:cs="方正仿宋_GB2312"/>
          <w:b/>
          <w:bCs/>
          <w:color w:val="auto"/>
          <w:spacing w:val="-20"/>
          <w:kern w:val="0"/>
          <w:sz w:val="20"/>
          <w:szCs w:val="20"/>
          <w:highlight w:val="none"/>
        </w:rPr>
        <w:t>文件，需说明清楚，表格可根据实际情况调整）</w:t>
      </w:r>
    </w:p>
    <w:p w14:paraId="70723106">
      <w:pPr>
        <w:keepNext w:val="0"/>
        <w:keepLines w:val="0"/>
        <w:pageBreakBefore w:val="0"/>
        <w:tabs>
          <w:tab w:val="left" w:pos="480"/>
        </w:tabs>
        <w:kinsoku/>
        <w:overflowPunct/>
        <w:topLinePunct w:val="0"/>
        <w:bidi w:val="0"/>
        <w:spacing w:line="360" w:lineRule="auto"/>
        <w:ind w:left="0" w:leftChars="0" w:firstLine="394" w:firstLineChars="196"/>
        <w:textAlignment w:val="auto"/>
        <w:rPr>
          <w:rFonts w:hint="eastAsia" w:ascii="方正仿宋_GB2312" w:hAnsi="方正仿宋_GB2312" w:eastAsia="方正仿宋_GB2312" w:cs="方正仿宋_GB2312"/>
          <w:b/>
          <w:color w:val="auto"/>
          <w:sz w:val="20"/>
          <w:szCs w:val="20"/>
          <w:highlight w:val="none"/>
        </w:rPr>
      </w:pPr>
      <w:r>
        <w:rPr>
          <w:rFonts w:hint="eastAsia" w:ascii="方正仿宋_GB2312" w:hAnsi="方正仿宋_GB2312" w:eastAsia="方正仿宋_GB2312" w:cs="方正仿宋_GB2312"/>
          <w:b/>
          <w:color w:val="auto"/>
          <w:sz w:val="20"/>
          <w:szCs w:val="20"/>
          <w:highlight w:val="none"/>
        </w:rPr>
        <w:t>二、合同价款</w:t>
      </w:r>
    </w:p>
    <w:p w14:paraId="0BCE9289">
      <w:pPr>
        <w:keepNext w:val="0"/>
        <w:keepLines w:val="0"/>
        <w:pageBreakBefore w:val="0"/>
        <w:tabs>
          <w:tab w:val="left" w:pos="480"/>
        </w:tabs>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（一）合同总价款为人民币(大写)</w:t>
      </w:r>
      <w:r>
        <w:rPr>
          <w:rFonts w:hint="eastAsia" w:ascii="方正仿宋_GB2312" w:hAnsi="方正仿宋_GB2312" w:eastAsia="方正仿宋_GB2312" w:cs="方正仿宋_GB2312"/>
          <w:color w:val="auto"/>
          <w:sz w:val="20"/>
          <w:szCs w:val="20"/>
          <w:highlight w:val="none"/>
          <w:u w:val="single"/>
        </w:rPr>
        <w:t xml:space="preserve">           元整</w:t>
      </w:r>
      <w:r>
        <w:rPr>
          <w:rFonts w:hint="eastAsia" w:ascii="方正仿宋_GB2312" w:hAnsi="方正仿宋_GB2312" w:eastAsia="方正仿宋_GB2312" w:cs="方正仿宋_GB2312"/>
          <w:color w:val="auto"/>
          <w:sz w:val="20"/>
          <w:szCs w:val="20"/>
          <w:highlight w:val="none"/>
        </w:rPr>
        <w:t xml:space="preserve"> (小写</w:t>
      </w:r>
      <w:r>
        <w:rPr>
          <w:rFonts w:hint="eastAsia" w:ascii="方正仿宋_GB2312" w:hAnsi="方正仿宋_GB2312" w:eastAsia="方正仿宋_GB2312" w:cs="方正仿宋_GB2312"/>
          <w:color w:val="auto"/>
          <w:sz w:val="20"/>
          <w:szCs w:val="20"/>
          <w:highlight w:val="none"/>
          <w:u w:val="single"/>
        </w:rPr>
        <w:t xml:space="preserve"> ¥        </w:t>
      </w:r>
      <w:r>
        <w:rPr>
          <w:rFonts w:hint="eastAsia" w:ascii="方正仿宋_GB2312" w:hAnsi="方正仿宋_GB2312" w:eastAsia="方正仿宋_GB2312" w:cs="方正仿宋_GB2312"/>
          <w:color w:val="auto"/>
          <w:sz w:val="20"/>
          <w:szCs w:val="20"/>
          <w:highlight w:val="none"/>
        </w:rPr>
        <w:t>元)。</w:t>
      </w:r>
    </w:p>
    <w:p w14:paraId="3FABEA78">
      <w:pPr>
        <w:keepNext w:val="0"/>
        <w:keepLines w:val="0"/>
        <w:pageBreakBefore w:val="0"/>
        <w:tabs>
          <w:tab w:val="left" w:pos="480"/>
        </w:tabs>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（二）以上价格包含甲方采购产品所需支付的全部费用，包含产品价格、税金、包装、运输、装卸、调试费、检测费、质保期内维修保养、配件更换等费用。</w:t>
      </w:r>
    </w:p>
    <w:p w14:paraId="764FB5AE">
      <w:pPr>
        <w:keepNext w:val="0"/>
        <w:keepLines w:val="0"/>
        <w:pageBreakBefore w:val="0"/>
        <w:tabs>
          <w:tab w:val="left" w:pos="480"/>
        </w:tabs>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（三）合同总价一次性包死，不受市场价格变化因素的影响。</w:t>
      </w:r>
    </w:p>
    <w:p w14:paraId="36751486">
      <w:pPr>
        <w:keepNext w:val="0"/>
        <w:keepLines w:val="0"/>
        <w:pageBreakBefore w:val="0"/>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（四）甲方除支付本合同总价外，不再支付其他任何费用。</w:t>
      </w:r>
    </w:p>
    <w:p w14:paraId="66C8824E">
      <w:pPr>
        <w:keepNext w:val="0"/>
        <w:keepLines w:val="0"/>
        <w:pageBreakBefore w:val="0"/>
        <w:tabs>
          <w:tab w:val="left" w:pos="480"/>
        </w:tabs>
        <w:kinsoku/>
        <w:overflowPunct/>
        <w:topLinePunct w:val="0"/>
        <w:bidi w:val="0"/>
        <w:spacing w:line="360" w:lineRule="auto"/>
        <w:ind w:left="0" w:leftChars="0" w:firstLine="602" w:firstLineChars="300"/>
        <w:textAlignment w:val="auto"/>
        <w:rPr>
          <w:rFonts w:hint="eastAsia" w:ascii="方正仿宋_GB2312" w:hAnsi="方正仿宋_GB2312" w:eastAsia="方正仿宋_GB2312" w:cs="方正仿宋_GB2312"/>
          <w:b/>
          <w:color w:val="auto"/>
          <w:sz w:val="20"/>
          <w:szCs w:val="20"/>
          <w:highlight w:val="none"/>
        </w:rPr>
      </w:pPr>
      <w:r>
        <w:rPr>
          <w:rFonts w:hint="eastAsia" w:ascii="方正仿宋_GB2312" w:hAnsi="方正仿宋_GB2312" w:eastAsia="方正仿宋_GB2312" w:cs="方正仿宋_GB2312"/>
          <w:b/>
          <w:color w:val="auto"/>
          <w:sz w:val="20"/>
          <w:szCs w:val="20"/>
          <w:highlight w:val="none"/>
        </w:rPr>
        <w:t>三、款项支付、结算</w:t>
      </w:r>
    </w:p>
    <w:p w14:paraId="79CA1E03">
      <w:pPr>
        <w:pStyle w:val="7"/>
        <w:keepNext w:val="0"/>
        <w:keepLines w:val="0"/>
        <w:pageBreakBefore w:val="0"/>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（一）结算</w:t>
      </w:r>
    </w:p>
    <w:p w14:paraId="584B0B3C">
      <w:pPr>
        <w:keepNext w:val="0"/>
        <w:keepLines w:val="0"/>
        <w:pageBreakBefore w:val="0"/>
        <w:tabs>
          <w:tab w:val="left" w:pos="480"/>
        </w:tabs>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bCs/>
          <w:color w:val="auto"/>
          <w:sz w:val="20"/>
          <w:szCs w:val="20"/>
          <w:highlight w:val="none"/>
        </w:rPr>
      </w:pPr>
      <w:r>
        <w:rPr>
          <w:rFonts w:hint="eastAsia" w:ascii="方正仿宋_GB2312" w:hAnsi="方正仿宋_GB2312" w:eastAsia="方正仿宋_GB2312" w:cs="方正仿宋_GB2312"/>
          <w:color w:val="auto"/>
          <w:sz w:val="20"/>
          <w:szCs w:val="20"/>
          <w:highlight w:val="none"/>
        </w:rPr>
        <w:t>所有货物到达甲方指定地点，安装、调试完毕、验收合格后，乙方持本合同总价款的全额增</w:t>
      </w:r>
      <w:r>
        <w:rPr>
          <w:rFonts w:hint="eastAsia" w:ascii="方正仿宋_GB2312" w:hAnsi="方正仿宋_GB2312" w:eastAsia="方正仿宋_GB2312" w:cs="方正仿宋_GB2312"/>
          <w:bCs/>
          <w:color w:val="auto"/>
          <w:sz w:val="20"/>
          <w:szCs w:val="20"/>
          <w:highlight w:val="none"/>
        </w:rPr>
        <w:t>值税发票、本合同</w:t>
      </w:r>
      <w:r>
        <w:rPr>
          <w:rFonts w:hint="eastAsia" w:ascii="方正仿宋_GB2312" w:hAnsi="方正仿宋_GB2312" w:eastAsia="方正仿宋_GB2312" w:cs="方正仿宋_GB2312"/>
          <w:bCs/>
          <w:color w:val="auto"/>
          <w:sz w:val="20"/>
          <w:szCs w:val="20"/>
          <w:highlight w:val="none"/>
          <w:lang w:eastAsia="zh-CN"/>
        </w:rPr>
        <w:t>、</w:t>
      </w:r>
      <w:r>
        <w:rPr>
          <w:rFonts w:hint="eastAsia" w:ascii="方正仿宋_GB2312" w:hAnsi="方正仿宋_GB2312" w:eastAsia="方正仿宋_GB2312" w:cs="方正仿宋_GB2312"/>
          <w:bCs/>
          <w:color w:val="auto"/>
          <w:sz w:val="20"/>
          <w:szCs w:val="20"/>
          <w:highlight w:val="none"/>
        </w:rPr>
        <w:t>验收单到甲方办理资金结算。</w:t>
      </w:r>
    </w:p>
    <w:p w14:paraId="08718E24">
      <w:pPr>
        <w:pStyle w:val="8"/>
        <w:keepNext w:val="0"/>
        <w:keepLines w:val="0"/>
        <w:pageBreakBefore w:val="0"/>
        <w:widowControl w:val="0"/>
        <w:kinsoku/>
        <w:overflowPunct/>
        <w:topLinePunct w:val="0"/>
        <w:bidi w:val="0"/>
        <w:snapToGrid w:val="0"/>
        <w:spacing w:before="0" w:beforeAutospacing="0" w:after="0" w:afterAutospacing="0" w:line="360" w:lineRule="auto"/>
        <w:ind w:left="0" w:leftChars="0" w:firstLine="440" w:firstLineChars="220"/>
        <w:contextualSpacing/>
        <w:textAlignment w:val="auto"/>
        <w:rPr>
          <w:rFonts w:hint="eastAsia" w:ascii="方正仿宋_GB2312" w:hAnsi="方正仿宋_GB2312" w:eastAsia="方正仿宋_GB2312" w:cs="方正仿宋_GB2312"/>
          <w:color w:val="auto"/>
          <w:kern w:val="2"/>
          <w:sz w:val="20"/>
          <w:szCs w:val="20"/>
          <w:highlight w:val="none"/>
          <w:lang w:val="en-US" w:eastAsia="zh-CN" w:bidi="ar-SA"/>
        </w:rPr>
      </w:pPr>
      <w:r>
        <w:rPr>
          <w:rFonts w:hint="eastAsia" w:ascii="方正仿宋_GB2312" w:hAnsi="方正仿宋_GB2312" w:eastAsia="方正仿宋_GB2312" w:cs="方正仿宋_GB2312"/>
          <w:color w:val="auto"/>
          <w:sz w:val="20"/>
          <w:szCs w:val="20"/>
          <w:highlight w:val="none"/>
        </w:rPr>
        <w:t>（</w:t>
      </w:r>
      <w:r>
        <w:rPr>
          <w:rFonts w:hint="eastAsia" w:ascii="方正仿宋_GB2312" w:hAnsi="方正仿宋_GB2312" w:eastAsia="方正仿宋_GB2312" w:cs="方正仿宋_GB2312"/>
          <w:color w:val="auto"/>
          <w:sz w:val="20"/>
          <w:szCs w:val="20"/>
          <w:highlight w:val="none"/>
          <w:lang w:val="en-US" w:eastAsia="zh-CN"/>
        </w:rPr>
        <w:t>二</w:t>
      </w:r>
      <w:r>
        <w:rPr>
          <w:rFonts w:hint="eastAsia" w:ascii="方正仿宋_GB2312" w:hAnsi="方正仿宋_GB2312" w:eastAsia="方正仿宋_GB2312" w:cs="方正仿宋_GB2312"/>
          <w:color w:val="auto"/>
          <w:sz w:val="20"/>
          <w:szCs w:val="20"/>
          <w:highlight w:val="none"/>
        </w:rPr>
        <w:t>）</w:t>
      </w:r>
      <w:r>
        <w:rPr>
          <w:rFonts w:hint="eastAsia" w:ascii="方正仿宋_GB2312" w:hAnsi="方正仿宋_GB2312" w:eastAsia="方正仿宋_GB2312" w:cs="方正仿宋_GB2312"/>
          <w:color w:val="auto"/>
          <w:kern w:val="2"/>
          <w:sz w:val="20"/>
          <w:szCs w:val="20"/>
          <w:highlight w:val="none"/>
          <w:lang w:val="en-US" w:eastAsia="zh-CN" w:bidi="ar-SA"/>
        </w:rPr>
        <w:t>付款方式</w:t>
      </w:r>
    </w:p>
    <w:p w14:paraId="02599B96">
      <w:pPr>
        <w:pStyle w:val="7"/>
        <w:keepNext w:val="0"/>
        <w:keepLines w:val="0"/>
        <w:pageBreakBefore w:val="0"/>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kern w:val="2"/>
          <w:sz w:val="20"/>
          <w:szCs w:val="20"/>
          <w:highlight w:val="none"/>
          <w:lang w:val="en-US" w:eastAsia="zh-CN" w:bidi="ar-SA"/>
        </w:rPr>
      </w:pPr>
      <w:r>
        <w:rPr>
          <w:rFonts w:hint="eastAsia" w:ascii="方正仿宋_GB2312" w:hAnsi="方正仿宋_GB2312" w:eastAsia="方正仿宋_GB2312" w:cs="方正仿宋_GB2312"/>
          <w:color w:val="auto"/>
          <w:kern w:val="2"/>
          <w:sz w:val="20"/>
          <w:szCs w:val="20"/>
          <w:highlight w:val="none"/>
          <w:lang w:val="en-US" w:eastAsia="zh-CN" w:bidi="ar-SA"/>
        </w:rPr>
        <w:t>完成供货并安装调试达到采购人使用需求，达到付款条件起10个工作日内，支付合同总金额的100.0%</w:t>
      </w:r>
    </w:p>
    <w:p w14:paraId="6B5A3BE4">
      <w:pPr>
        <w:pStyle w:val="7"/>
        <w:keepNext w:val="0"/>
        <w:keepLines w:val="0"/>
        <w:pageBreakBefore w:val="0"/>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kern w:val="2"/>
          <w:sz w:val="20"/>
          <w:szCs w:val="20"/>
          <w:highlight w:val="none"/>
          <w:lang w:val="en-US" w:eastAsia="zh-CN" w:bidi="ar-SA"/>
        </w:rPr>
      </w:pPr>
      <w:r>
        <w:rPr>
          <w:rFonts w:hint="eastAsia" w:ascii="方正仿宋_GB2312" w:hAnsi="方正仿宋_GB2312" w:eastAsia="方正仿宋_GB2312" w:cs="方正仿宋_GB2312"/>
          <w:color w:val="auto"/>
          <w:kern w:val="2"/>
          <w:sz w:val="20"/>
          <w:szCs w:val="20"/>
          <w:highlight w:val="none"/>
          <w:lang w:val="en-US" w:eastAsia="zh-CN" w:bidi="ar-SA"/>
        </w:rPr>
        <w:t>（三）支付方式：银行转账</w:t>
      </w:r>
    </w:p>
    <w:p w14:paraId="114009F8">
      <w:pPr>
        <w:keepNext w:val="0"/>
        <w:keepLines w:val="0"/>
        <w:pageBreakBefore w:val="0"/>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甲方通过银行转账方式将款项转入乙方指定银行账户。乙方指定银行账户信息如下：</w:t>
      </w:r>
    </w:p>
    <w:p w14:paraId="602958E5">
      <w:pPr>
        <w:keepNext w:val="0"/>
        <w:keepLines w:val="0"/>
        <w:pageBreakBefore w:val="0"/>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账户全称：</w:t>
      </w:r>
    </w:p>
    <w:p w14:paraId="6A00D776">
      <w:pPr>
        <w:keepNext w:val="0"/>
        <w:keepLines w:val="0"/>
        <w:pageBreakBefore w:val="0"/>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账    号：</w:t>
      </w:r>
    </w:p>
    <w:p w14:paraId="2262A21C">
      <w:pPr>
        <w:keepNext w:val="0"/>
        <w:keepLines w:val="0"/>
        <w:pageBreakBefore w:val="0"/>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开 户 行：</w:t>
      </w:r>
    </w:p>
    <w:p w14:paraId="2BFD0AD1">
      <w:pPr>
        <w:keepNext w:val="0"/>
        <w:keepLines w:val="0"/>
        <w:pageBreakBefore w:val="0"/>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甲方仅认可上述指定账户并向该账户付款。甲方有权拒绝向指定账户之外的任何账户付款，由此导致的付款延迟责任由乙方承担。</w:t>
      </w:r>
    </w:p>
    <w:p w14:paraId="59D2A151">
      <w:pPr>
        <w:keepNext w:val="0"/>
        <w:keepLines w:val="0"/>
        <w:pageBreakBefore w:val="0"/>
        <w:tabs>
          <w:tab w:val="left" w:pos="480"/>
        </w:tabs>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若因乙方开具发票出现税务争议的，乙方应承担税款、滞纳金、罚款等赔偿责任以及其他相关责任。</w:t>
      </w:r>
    </w:p>
    <w:p w14:paraId="7AF762AD">
      <w:pPr>
        <w:keepNext w:val="0"/>
        <w:keepLines w:val="0"/>
        <w:pageBreakBefore w:val="0"/>
        <w:tabs>
          <w:tab w:val="left" w:pos="480"/>
        </w:tabs>
        <w:kinsoku/>
        <w:overflowPunct/>
        <w:topLinePunct w:val="0"/>
        <w:bidi w:val="0"/>
        <w:spacing w:line="360" w:lineRule="auto"/>
        <w:ind w:left="0" w:leftChars="0" w:firstLine="402" w:firstLineChars="200"/>
        <w:textAlignment w:val="auto"/>
        <w:rPr>
          <w:rFonts w:hint="eastAsia" w:ascii="方正仿宋_GB2312" w:hAnsi="方正仿宋_GB2312" w:eastAsia="方正仿宋_GB2312" w:cs="方正仿宋_GB2312"/>
          <w:b/>
          <w:color w:val="auto"/>
          <w:sz w:val="20"/>
          <w:szCs w:val="20"/>
          <w:highlight w:val="none"/>
        </w:rPr>
      </w:pPr>
      <w:r>
        <w:rPr>
          <w:rFonts w:hint="eastAsia" w:ascii="方正仿宋_GB2312" w:hAnsi="方正仿宋_GB2312" w:eastAsia="方正仿宋_GB2312" w:cs="方正仿宋_GB2312"/>
          <w:b/>
          <w:color w:val="auto"/>
          <w:sz w:val="20"/>
          <w:szCs w:val="20"/>
          <w:highlight w:val="none"/>
        </w:rPr>
        <w:t>四、双方的权利和义务</w:t>
      </w:r>
    </w:p>
    <w:p w14:paraId="78B039E1">
      <w:pPr>
        <w:keepNext w:val="0"/>
        <w:keepLines w:val="0"/>
        <w:pageBreakBefore w:val="0"/>
        <w:kinsoku/>
        <w:overflowPunct/>
        <w:topLinePunct w:val="0"/>
        <w:bidi w:val="0"/>
        <w:spacing w:line="360" w:lineRule="auto"/>
        <w:ind w:left="0" w:leftChars="0" w:firstLine="200" w:firstLineChars="1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（一）甲方的权利和义务</w:t>
      </w:r>
    </w:p>
    <w:p w14:paraId="2E1CA5F8">
      <w:pPr>
        <w:keepNext w:val="0"/>
        <w:keepLines w:val="0"/>
        <w:pageBreakBefore w:val="0"/>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1. 甲方有权依据</w:t>
      </w:r>
      <w:r>
        <w:rPr>
          <w:rFonts w:hint="eastAsia" w:ascii="方正仿宋_GB2312" w:hAnsi="方正仿宋_GB2312" w:eastAsia="方正仿宋_GB2312" w:cs="方正仿宋_GB2312"/>
          <w:color w:val="auto"/>
          <w:sz w:val="20"/>
          <w:szCs w:val="20"/>
          <w:highlight w:val="none"/>
          <w:lang w:val="en-US" w:eastAsia="zh-CN"/>
        </w:rPr>
        <w:t>谈判文件、谈判响应</w:t>
      </w:r>
      <w:r>
        <w:rPr>
          <w:rFonts w:hint="eastAsia" w:ascii="方正仿宋_GB2312" w:hAnsi="方正仿宋_GB2312" w:eastAsia="方正仿宋_GB2312" w:cs="方正仿宋_GB2312"/>
          <w:color w:val="auto"/>
          <w:sz w:val="20"/>
          <w:szCs w:val="20"/>
          <w:highlight w:val="none"/>
        </w:rPr>
        <w:t>文件、国家标准或行业标准、技术指标等对该产品/设备进行验收，达不到标准的，甲方有权解除本合同，合同自甲方书面解除通知到达乙方时解除，乙方应承担违约责任，并赔偿甲方的损失。</w:t>
      </w:r>
    </w:p>
    <w:p w14:paraId="4CD1103C">
      <w:pPr>
        <w:keepNext w:val="0"/>
        <w:keepLines w:val="0"/>
        <w:pageBreakBefore w:val="0"/>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2. 质保期限届满后,甲方有权继续享用乙方提供的优惠条件。</w:t>
      </w:r>
    </w:p>
    <w:p w14:paraId="42B85C19">
      <w:pPr>
        <w:keepNext w:val="0"/>
        <w:keepLines w:val="0"/>
        <w:pageBreakBefore w:val="0"/>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3. 质保期限届满后,甲方享有乙方产品/设备维修只收取材料费,工时费全免的权利。</w:t>
      </w:r>
    </w:p>
    <w:p w14:paraId="6C1BAC8A">
      <w:pPr>
        <w:keepNext w:val="0"/>
        <w:keepLines w:val="0"/>
        <w:pageBreakBefore w:val="0"/>
        <w:kinsoku/>
        <w:overflowPunct/>
        <w:topLinePunct w:val="0"/>
        <w:bidi w:val="0"/>
        <w:spacing w:line="360" w:lineRule="auto"/>
        <w:ind w:left="0" w:leftChars="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 xml:space="preserve">    4. 质保期限届满后,甲方享有乙方消耗品只收取成本费,其他费用全免的权利。 </w:t>
      </w:r>
    </w:p>
    <w:p w14:paraId="3AD88A4E">
      <w:pPr>
        <w:keepNext w:val="0"/>
        <w:keepLines w:val="0"/>
        <w:pageBreakBefore w:val="0"/>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5. 甲方应按本合同的约定付款。</w:t>
      </w:r>
    </w:p>
    <w:p w14:paraId="08AF941D">
      <w:pPr>
        <w:keepNext w:val="0"/>
        <w:keepLines w:val="0"/>
        <w:pageBreakBefore w:val="0"/>
        <w:kinsoku/>
        <w:overflowPunct/>
        <w:topLinePunct w:val="0"/>
        <w:bidi w:val="0"/>
        <w:spacing w:line="360" w:lineRule="auto"/>
        <w:ind w:left="0" w:leftChars="0" w:firstLine="200" w:firstLineChars="1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（二）乙方的权利和义务</w:t>
      </w:r>
    </w:p>
    <w:p w14:paraId="3CA7AED5">
      <w:pPr>
        <w:keepNext w:val="0"/>
        <w:keepLines w:val="0"/>
        <w:pageBreakBefore w:val="0"/>
        <w:tabs>
          <w:tab w:val="left" w:pos="480"/>
        </w:tabs>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1.乙方提供的产品/设备必须设计科学、技术成熟、工艺精良，必须是生产厂商原厂生产的、全新未开封的，必须符合国家标准（包括强制性标准及推荐标准）、行业标准、企业标准及相应的技术规范要求中要求最高的标准。</w:t>
      </w:r>
    </w:p>
    <w:p w14:paraId="64C619C2">
      <w:pPr>
        <w:keepNext w:val="0"/>
        <w:keepLines w:val="0"/>
        <w:pageBreakBefore w:val="0"/>
        <w:tabs>
          <w:tab w:val="left" w:pos="480"/>
        </w:tabs>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2.乙方提供的产品/设备等的设计、技术、外型、应用软件等均应符合我国的有关法律、知识产权及行业标准，凡因以上问题与第三方发生任何纠纷的，均由乙方承担责任，与甲方无关。若导致甲方承担的，乙方应承担违约责任，并赔偿甲方的损失，包括但不限于甲方因此承担的责任、甲方的维权费用等。</w:t>
      </w:r>
    </w:p>
    <w:p w14:paraId="3349B88B">
      <w:pPr>
        <w:keepNext w:val="0"/>
        <w:keepLines w:val="0"/>
        <w:pageBreakBefore w:val="0"/>
        <w:tabs>
          <w:tab w:val="left" w:pos="480"/>
        </w:tabs>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3. 乙方应提供安全可靠的产品/设备，应通过生产厂检验，并应提供质量合格证书；在正常使用下不应对操作者等任何人造成伤害，如因产品/设备质量瑕疵或标示不明确等原因造成人身损害、财产损失的，乙方应承担所有责任，并应赔偿甲方的损失。</w:t>
      </w:r>
    </w:p>
    <w:p w14:paraId="7277375D">
      <w:pPr>
        <w:keepNext w:val="0"/>
        <w:keepLines w:val="0"/>
        <w:pageBreakBefore w:val="0"/>
        <w:tabs>
          <w:tab w:val="left" w:pos="480"/>
        </w:tabs>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4.有强制性安全标准的产品/设备，乙方应提供该产品/设备的制造许可证。</w:t>
      </w:r>
    </w:p>
    <w:p w14:paraId="2606719F">
      <w:pPr>
        <w:keepNext w:val="0"/>
        <w:keepLines w:val="0"/>
        <w:pageBreakBefore w:val="0"/>
        <w:tabs>
          <w:tab w:val="left" w:pos="480"/>
        </w:tabs>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5.乙方有义务就本合同所购产品/设备对甲方提供免费咨询服务，并免费培训甲方人员的操作使用。</w:t>
      </w:r>
    </w:p>
    <w:p w14:paraId="44827A23">
      <w:pPr>
        <w:keepNext w:val="0"/>
        <w:keepLines w:val="0"/>
        <w:pageBreakBefore w:val="0"/>
        <w:tabs>
          <w:tab w:val="left" w:pos="480"/>
        </w:tabs>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6.乙方免费提供产品/设备软件终身升级和更新。</w:t>
      </w:r>
    </w:p>
    <w:p w14:paraId="647B13DE">
      <w:pPr>
        <w:keepNext w:val="0"/>
        <w:keepLines w:val="0"/>
        <w:pageBreakBefore w:val="0"/>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7. 乙方解决产品/设备故障的期限严格按照</w:t>
      </w:r>
      <w:r>
        <w:rPr>
          <w:rFonts w:hint="eastAsia" w:ascii="方正仿宋_GB2312" w:hAnsi="方正仿宋_GB2312" w:eastAsia="方正仿宋_GB2312" w:cs="方正仿宋_GB2312"/>
          <w:color w:val="auto"/>
          <w:sz w:val="20"/>
          <w:szCs w:val="20"/>
          <w:highlight w:val="none"/>
          <w:lang w:val="en-US" w:eastAsia="zh-CN"/>
        </w:rPr>
        <w:t>谈判响应</w:t>
      </w:r>
      <w:r>
        <w:rPr>
          <w:rFonts w:hint="eastAsia" w:ascii="方正仿宋_GB2312" w:hAnsi="方正仿宋_GB2312" w:eastAsia="方正仿宋_GB2312" w:cs="方正仿宋_GB2312"/>
          <w:color w:val="auto"/>
          <w:sz w:val="20"/>
          <w:szCs w:val="20"/>
          <w:highlight w:val="none"/>
        </w:rPr>
        <w:t>文件中各项货物的参数执行；故障维修响应时间不得超过</w:t>
      </w:r>
      <w:r>
        <w:rPr>
          <w:rFonts w:hint="eastAsia" w:ascii="方正仿宋_GB2312" w:hAnsi="方正仿宋_GB2312" w:eastAsia="方正仿宋_GB2312" w:cs="方正仿宋_GB2312"/>
          <w:color w:val="auto"/>
          <w:sz w:val="20"/>
          <w:szCs w:val="20"/>
          <w:highlight w:val="none"/>
          <w:u w:val="single"/>
        </w:rPr>
        <w:t xml:space="preserve">   </w:t>
      </w:r>
      <w:r>
        <w:rPr>
          <w:rFonts w:hint="eastAsia" w:ascii="方正仿宋_GB2312" w:hAnsi="方正仿宋_GB2312" w:eastAsia="方正仿宋_GB2312" w:cs="方正仿宋_GB2312"/>
          <w:color w:val="auto"/>
          <w:sz w:val="20"/>
          <w:szCs w:val="20"/>
          <w:highlight w:val="none"/>
        </w:rPr>
        <w:t>小时；</w:t>
      </w:r>
      <w:r>
        <w:rPr>
          <w:rFonts w:hint="eastAsia" w:ascii="方正仿宋_GB2312" w:hAnsi="方正仿宋_GB2312" w:eastAsia="方正仿宋_GB2312" w:cs="方正仿宋_GB2312"/>
          <w:color w:val="auto"/>
          <w:sz w:val="20"/>
          <w:szCs w:val="20"/>
          <w:highlight w:val="none"/>
          <w:u w:val="single"/>
        </w:rPr>
        <w:t xml:space="preserve">  </w:t>
      </w:r>
      <w:r>
        <w:rPr>
          <w:rFonts w:hint="eastAsia" w:ascii="方正仿宋_GB2312" w:hAnsi="方正仿宋_GB2312" w:eastAsia="方正仿宋_GB2312" w:cs="方正仿宋_GB2312"/>
          <w:color w:val="auto"/>
          <w:sz w:val="20"/>
          <w:szCs w:val="20"/>
          <w:highlight w:val="none"/>
        </w:rPr>
        <w:t>小时内乙方维修工程师必须到达现场；排除故障不得超过</w:t>
      </w:r>
      <w:r>
        <w:rPr>
          <w:rFonts w:hint="eastAsia" w:ascii="方正仿宋_GB2312" w:hAnsi="方正仿宋_GB2312" w:eastAsia="方正仿宋_GB2312" w:cs="方正仿宋_GB2312"/>
          <w:color w:val="auto"/>
          <w:sz w:val="20"/>
          <w:szCs w:val="20"/>
          <w:highlight w:val="none"/>
          <w:u w:val="single"/>
        </w:rPr>
        <w:t xml:space="preserve">   </w:t>
      </w:r>
      <w:r>
        <w:rPr>
          <w:rFonts w:hint="eastAsia" w:ascii="方正仿宋_GB2312" w:hAnsi="方正仿宋_GB2312" w:eastAsia="方正仿宋_GB2312" w:cs="方正仿宋_GB2312"/>
          <w:color w:val="auto"/>
          <w:sz w:val="20"/>
          <w:szCs w:val="20"/>
          <w:highlight w:val="none"/>
        </w:rPr>
        <w:t>个工作日；逾期未排除故障的，乙方必须提供备用货物，并向甲方支付违约金</w:t>
      </w:r>
      <w:r>
        <w:rPr>
          <w:rFonts w:hint="eastAsia" w:ascii="方正仿宋_GB2312" w:hAnsi="方正仿宋_GB2312" w:eastAsia="方正仿宋_GB2312" w:cs="方正仿宋_GB2312"/>
          <w:color w:val="auto"/>
          <w:sz w:val="20"/>
          <w:szCs w:val="20"/>
          <w:highlight w:val="none"/>
          <w:u w:val="single"/>
        </w:rPr>
        <w:t xml:space="preserve">    </w:t>
      </w:r>
      <w:r>
        <w:rPr>
          <w:rFonts w:hint="eastAsia" w:ascii="方正仿宋_GB2312" w:hAnsi="方正仿宋_GB2312" w:eastAsia="方正仿宋_GB2312" w:cs="方正仿宋_GB2312"/>
          <w:color w:val="auto"/>
          <w:sz w:val="20"/>
          <w:szCs w:val="20"/>
          <w:highlight w:val="none"/>
        </w:rPr>
        <w:t>元/天，违约金可按天累计，且甲方有权指定第三方维修，维修费用由乙方承担。上述违约金和第三方维修费用甲方可优先从</w:t>
      </w:r>
      <w:r>
        <w:rPr>
          <w:rFonts w:hint="eastAsia" w:ascii="方正仿宋_GB2312" w:hAnsi="方正仿宋_GB2312" w:eastAsia="方正仿宋_GB2312" w:cs="方正仿宋_GB2312"/>
          <w:color w:val="auto"/>
          <w:sz w:val="20"/>
          <w:szCs w:val="20"/>
          <w:highlight w:val="none"/>
          <w:lang w:eastAsia="zh-CN"/>
        </w:rPr>
        <w:t>未支付款项</w:t>
      </w:r>
      <w:r>
        <w:rPr>
          <w:rFonts w:hint="eastAsia" w:ascii="方正仿宋_GB2312" w:hAnsi="方正仿宋_GB2312" w:eastAsia="方正仿宋_GB2312" w:cs="方正仿宋_GB2312"/>
          <w:color w:val="auto"/>
          <w:sz w:val="20"/>
          <w:szCs w:val="20"/>
          <w:highlight w:val="none"/>
        </w:rPr>
        <w:t>中扣减。</w:t>
      </w:r>
    </w:p>
    <w:p w14:paraId="3BA5B66A">
      <w:pPr>
        <w:keepNext w:val="0"/>
        <w:keepLines w:val="0"/>
        <w:pageBreakBefore w:val="0"/>
        <w:tabs>
          <w:tab w:val="left" w:pos="480"/>
        </w:tabs>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8.乙方应向甲方提交项目实施过程中的所有资料。</w:t>
      </w:r>
    </w:p>
    <w:p w14:paraId="68E45C9D">
      <w:pPr>
        <w:keepNext w:val="0"/>
        <w:keepLines w:val="0"/>
        <w:pageBreakBefore w:val="0"/>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9.双方拟定的其他条款。</w:t>
      </w:r>
    </w:p>
    <w:p w14:paraId="27B930E1">
      <w:pPr>
        <w:pStyle w:val="7"/>
        <w:keepNext w:val="0"/>
        <w:keepLines w:val="0"/>
        <w:pageBreakBefore w:val="0"/>
        <w:kinsoku/>
        <w:overflowPunct/>
        <w:topLinePunct w:val="0"/>
        <w:bidi w:val="0"/>
        <w:spacing w:line="360" w:lineRule="auto"/>
        <w:ind w:left="0" w:leftChars="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国家法律、法规等规定的应由乙方承担的其它责任。</w:t>
      </w:r>
    </w:p>
    <w:p w14:paraId="423AD463">
      <w:pPr>
        <w:pStyle w:val="5"/>
        <w:keepNext w:val="0"/>
        <w:keepLines w:val="0"/>
        <w:pageBreakBefore w:val="0"/>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乙方按照</w:t>
      </w:r>
      <w:r>
        <w:rPr>
          <w:rFonts w:hint="eastAsia" w:ascii="方正仿宋_GB2312" w:hAnsi="方正仿宋_GB2312" w:eastAsia="方正仿宋_GB2312" w:cs="方正仿宋_GB2312"/>
          <w:color w:val="auto"/>
          <w:sz w:val="20"/>
          <w:szCs w:val="20"/>
          <w:highlight w:val="none"/>
          <w:lang w:val="en-US" w:eastAsia="zh-CN"/>
        </w:rPr>
        <w:t>谈判文件</w:t>
      </w:r>
      <w:r>
        <w:rPr>
          <w:rFonts w:hint="eastAsia" w:ascii="方正仿宋_GB2312" w:hAnsi="方正仿宋_GB2312" w:eastAsia="方正仿宋_GB2312" w:cs="方正仿宋_GB2312"/>
          <w:color w:val="auto"/>
          <w:sz w:val="20"/>
          <w:szCs w:val="20"/>
          <w:highlight w:val="none"/>
        </w:rPr>
        <w:t>、</w:t>
      </w:r>
      <w:r>
        <w:rPr>
          <w:rFonts w:hint="eastAsia" w:ascii="方正仿宋_GB2312" w:hAnsi="方正仿宋_GB2312" w:eastAsia="方正仿宋_GB2312" w:cs="方正仿宋_GB2312"/>
          <w:color w:val="auto"/>
          <w:sz w:val="20"/>
          <w:szCs w:val="20"/>
          <w:highlight w:val="none"/>
          <w:lang w:val="en-US" w:eastAsia="zh-CN"/>
        </w:rPr>
        <w:t>谈判响应</w:t>
      </w:r>
      <w:r>
        <w:rPr>
          <w:rFonts w:hint="eastAsia" w:ascii="方正仿宋_GB2312" w:hAnsi="方正仿宋_GB2312" w:eastAsia="方正仿宋_GB2312" w:cs="方正仿宋_GB2312"/>
          <w:color w:val="auto"/>
          <w:sz w:val="20"/>
          <w:szCs w:val="20"/>
          <w:highlight w:val="none"/>
        </w:rPr>
        <w:t>文件要求，向甲方提供的其他技术支持服务。</w:t>
      </w:r>
      <w:r>
        <w:rPr>
          <w:rFonts w:hint="eastAsia" w:ascii="方正仿宋_GB2312" w:hAnsi="方正仿宋_GB2312" w:eastAsia="方正仿宋_GB2312" w:cs="方正仿宋_GB2312"/>
          <w:b/>
          <w:color w:val="auto"/>
          <w:sz w:val="20"/>
          <w:szCs w:val="20"/>
          <w:highlight w:val="none"/>
        </w:rPr>
        <w:t>（由双方协商）</w:t>
      </w:r>
    </w:p>
    <w:p w14:paraId="75A6D856">
      <w:pPr>
        <w:keepNext w:val="0"/>
        <w:keepLines w:val="0"/>
        <w:pageBreakBefore w:val="0"/>
        <w:kinsoku/>
        <w:overflowPunct/>
        <w:topLinePunct w:val="0"/>
        <w:bidi w:val="0"/>
        <w:spacing w:line="360" w:lineRule="auto"/>
        <w:ind w:left="0" w:leftChars="0" w:firstLine="322" w:firstLineChars="200"/>
        <w:textAlignment w:val="auto"/>
        <w:rPr>
          <w:rFonts w:hint="eastAsia" w:ascii="方正仿宋_GB2312" w:hAnsi="方正仿宋_GB2312" w:eastAsia="方正仿宋_GB2312" w:cs="方正仿宋_GB2312"/>
          <w:b/>
          <w:bCs/>
          <w:color w:val="auto"/>
          <w:spacing w:val="-20"/>
          <w:kern w:val="0"/>
          <w:sz w:val="20"/>
          <w:szCs w:val="20"/>
          <w:highlight w:val="none"/>
        </w:rPr>
      </w:pPr>
      <w:r>
        <w:rPr>
          <w:rFonts w:hint="eastAsia" w:ascii="方正仿宋_GB2312" w:hAnsi="方正仿宋_GB2312" w:eastAsia="方正仿宋_GB2312" w:cs="方正仿宋_GB2312"/>
          <w:b/>
          <w:bCs/>
          <w:color w:val="auto"/>
          <w:spacing w:val="-20"/>
          <w:kern w:val="0"/>
          <w:sz w:val="20"/>
          <w:szCs w:val="20"/>
          <w:highlight w:val="none"/>
        </w:rPr>
        <w:t>五、质量保证</w:t>
      </w:r>
    </w:p>
    <w:p w14:paraId="60A804AF">
      <w:pPr>
        <w:keepNext w:val="0"/>
        <w:keepLines w:val="0"/>
        <w:pageBreakBefore w:val="0"/>
        <w:tabs>
          <w:tab w:val="left" w:pos="480"/>
        </w:tabs>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质保期：</w:t>
      </w:r>
      <w:r>
        <w:rPr>
          <w:rFonts w:hint="eastAsia" w:ascii="方正仿宋_GB2312" w:hAnsi="方正仿宋_GB2312" w:eastAsia="方正仿宋_GB2312" w:cs="方正仿宋_GB2312"/>
          <w:color w:val="auto"/>
          <w:sz w:val="20"/>
          <w:szCs w:val="20"/>
          <w:highlight w:val="none"/>
          <w:u w:val="single"/>
        </w:rPr>
        <w:t xml:space="preserve">    </w:t>
      </w:r>
      <w:r>
        <w:rPr>
          <w:rFonts w:hint="eastAsia" w:ascii="方正仿宋_GB2312" w:hAnsi="方正仿宋_GB2312" w:eastAsia="方正仿宋_GB2312" w:cs="方正仿宋_GB2312"/>
          <w:color w:val="auto"/>
          <w:sz w:val="20"/>
          <w:szCs w:val="20"/>
          <w:highlight w:val="none"/>
        </w:rPr>
        <w:t>年，自</w:t>
      </w:r>
      <w:r>
        <w:rPr>
          <w:rFonts w:hint="eastAsia" w:ascii="方正仿宋_GB2312" w:hAnsi="方正仿宋_GB2312" w:eastAsia="方正仿宋_GB2312" w:cs="方正仿宋_GB2312"/>
          <w:color w:val="auto"/>
          <w:sz w:val="20"/>
          <w:szCs w:val="20"/>
          <w:highlight w:val="none"/>
          <w:lang w:eastAsia="zh-CN"/>
        </w:rPr>
        <w:t>双方签署验收合格单之日起计算</w:t>
      </w:r>
      <w:r>
        <w:rPr>
          <w:rFonts w:hint="eastAsia" w:ascii="方正仿宋_GB2312" w:hAnsi="方正仿宋_GB2312" w:eastAsia="方正仿宋_GB2312" w:cs="方正仿宋_GB2312"/>
          <w:color w:val="auto"/>
          <w:sz w:val="20"/>
          <w:szCs w:val="20"/>
          <w:highlight w:val="none"/>
        </w:rPr>
        <w:t>。</w:t>
      </w:r>
    </w:p>
    <w:p w14:paraId="028C0C56">
      <w:pPr>
        <w:keepNext w:val="0"/>
        <w:keepLines w:val="0"/>
        <w:pageBreakBefore w:val="0"/>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乙方所供产品/设备必须执行下列条款：</w:t>
      </w:r>
    </w:p>
    <w:p w14:paraId="183A6F2F">
      <w:pPr>
        <w:keepNext w:val="0"/>
        <w:keepLines w:val="0"/>
        <w:pageBreakBefore w:val="0"/>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（一）保证所供产品/设备技术指标先进、质量性能可靠、配置合理、进货渠道正规，全面满足</w:t>
      </w:r>
      <w:r>
        <w:rPr>
          <w:rFonts w:hint="eastAsia" w:ascii="方正仿宋_GB2312" w:hAnsi="方正仿宋_GB2312" w:eastAsia="方正仿宋_GB2312" w:cs="方正仿宋_GB2312"/>
          <w:color w:val="auto"/>
          <w:sz w:val="20"/>
          <w:szCs w:val="20"/>
          <w:highlight w:val="none"/>
          <w:lang w:val="en-US" w:eastAsia="zh-CN"/>
        </w:rPr>
        <w:t>谈判</w:t>
      </w:r>
      <w:r>
        <w:rPr>
          <w:rFonts w:hint="eastAsia" w:ascii="方正仿宋_GB2312" w:hAnsi="方正仿宋_GB2312" w:eastAsia="方正仿宋_GB2312" w:cs="方正仿宋_GB2312"/>
          <w:color w:val="auto"/>
          <w:sz w:val="20"/>
          <w:szCs w:val="20"/>
          <w:highlight w:val="none"/>
        </w:rPr>
        <w:t>文件要求，无假货、水货或翻新货，并能按期交付。</w:t>
      </w:r>
    </w:p>
    <w:p w14:paraId="60712C3F">
      <w:pPr>
        <w:keepNext w:val="0"/>
        <w:keepLines w:val="0"/>
        <w:pageBreakBefore w:val="0"/>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（二）保证所供产品/设备在装卸、运输和仓储过程中有足够的包装保护，防止产品/设备受潮、锈蚀、遭受冲撞及其他不可预见的损坏。</w:t>
      </w:r>
    </w:p>
    <w:p w14:paraId="6A43C073">
      <w:pPr>
        <w:keepNext w:val="0"/>
        <w:keepLines w:val="0"/>
        <w:pageBreakBefore w:val="0"/>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（三）保证所供产品/设备具有良好的外观，适合各种安装场所的使用要求，确保达到最佳运行状态。</w:t>
      </w:r>
    </w:p>
    <w:p w14:paraId="2509B5CF">
      <w:pPr>
        <w:keepNext w:val="0"/>
        <w:keepLines w:val="0"/>
        <w:pageBreakBefore w:val="0"/>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（四）因产品/设备质量或设计等缺陷引发的纠纷，由乙方承担全部责任，包括但不限于对甲方的全部损失、对第三人造成人身损害和财产损失等；上述赔偿，甲方可从</w:t>
      </w:r>
      <w:r>
        <w:rPr>
          <w:rFonts w:hint="eastAsia" w:ascii="方正仿宋_GB2312" w:hAnsi="方正仿宋_GB2312" w:eastAsia="方正仿宋_GB2312" w:cs="方正仿宋_GB2312"/>
          <w:color w:val="auto"/>
          <w:sz w:val="20"/>
          <w:szCs w:val="20"/>
          <w:highlight w:val="none"/>
          <w:lang w:eastAsia="zh-CN"/>
        </w:rPr>
        <w:t>未支付款项中</w:t>
      </w:r>
      <w:r>
        <w:rPr>
          <w:rFonts w:hint="eastAsia" w:ascii="方正仿宋_GB2312" w:hAnsi="方正仿宋_GB2312" w:eastAsia="方正仿宋_GB2312" w:cs="方正仿宋_GB2312"/>
          <w:color w:val="auto"/>
          <w:sz w:val="20"/>
          <w:szCs w:val="20"/>
          <w:highlight w:val="none"/>
        </w:rPr>
        <w:t>直接扣除。</w:t>
      </w:r>
    </w:p>
    <w:p w14:paraId="01498FFC">
      <w:pPr>
        <w:pStyle w:val="13"/>
        <w:keepNext w:val="0"/>
        <w:keepLines w:val="0"/>
        <w:pageBreakBefore w:val="0"/>
        <w:widowControl w:val="0"/>
        <w:kinsoku/>
        <w:overflowPunct/>
        <w:topLinePunct w:val="0"/>
        <w:autoSpaceDE w:val="0"/>
        <w:autoSpaceDN w:val="0"/>
        <w:bidi w:val="0"/>
        <w:adjustRightInd w:val="0"/>
        <w:spacing w:before="0" w:after="0" w:line="360" w:lineRule="auto"/>
        <w:ind w:left="0" w:leftChars="0" w:firstLine="400" w:firstLineChars="200"/>
        <w:jc w:val="left"/>
        <w:textAlignment w:val="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w:t>
      </w:r>
      <w:r>
        <w:rPr>
          <w:rFonts w:hint="eastAsia" w:ascii="方正仿宋_GB2312" w:hAnsi="方正仿宋_GB2312" w:eastAsia="方正仿宋_GB2312" w:cs="方正仿宋_GB2312"/>
          <w:color w:val="auto"/>
          <w:sz w:val="20"/>
          <w:szCs w:val="20"/>
          <w:highlight w:val="none"/>
          <w:lang w:val="en-US" w:eastAsia="zh-CN"/>
        </w:rPr>
        <w:t>五</w:t>
      </w:r>
      <w:r>
        <w:rPr>
          <w:rFonts w:hint="eastAsia" w:ascii="方正仿宋_GB2312" w:hAnsi="方正仿宋_GB2312" w:eastAsia="方正仿宋_GB2312" w:cs="方正仿宋_GB2312"/>
          <w:color w:val="auto"/>
          <w:sz w:val="20"/>
          <w:szCs w:val="20"/>
          <w:highlight w:val="none"/>
          <w:lang w:eastAsia="zh-CN"/>
        </w:rPr>
        <w:t>）</w:t>
      </w:r>
      <w:r>
        <w:rPr>
          <w:rFonts w:hint="eastAsia" w:ascii="方正仿宋_GB2312" w:hAnsi="方正仿宋_GB2312" w:eastAsia="方正仿宋_GB2312" w:cs="方正仿宋_GB2312"/>
          <w:color w:val="auto"/>
          <w:sz w:val="20"/>
          <w:szCs w:val="20"/>
          <w:highlight w:val="none"/>
          <w:lang w:val="en-US" w:eastAsia="zh-CN"/>
        </w:rPr>
        <w:t>乙方应安全</w:t>
      </w:r>
      <w:r>
        <w:rPr>
          <w:rFonts w:hint="eastAsia" w:ascii="方正仿宋_GB2312" w:hAnsi="方正仿宋_GB2312" w:eastAsia="方正仿宋_GB2312" w:cs="方正仿宋_GB2312"/>
          <w:color w:val="auto"/>
          <w:sz w:val="20"/>
          <w:szCs w:val="20"/>
          <w:highlight w:val="none"/>
          <w:lang w:eastAsia="zh-CN"/>
        </w:rPr>
        <w:t>施工，</w:t>
      </w:r>
      <w:r>
        <w:rPr>
          <w:rFonts w:hint="eastAsia" w:ascii="方正仿宋_GB2312" w:hAnsi="方正仿宋_GB2312" w:eastAsia="方正仿宋_GB2312" w:cs="方正仿宋_GB2312"/>
          <w:color w:val="auto"/>
          <w:sz w:val="20"/>
          <w:szCs w:val="20"/>
          <w:highlight w:val="none"/>
          <w:lang w:val="en-US" w:eastAsia="zh-CN"/>
        </w:rPr>
        <w:t>施工</w:t>
      </w:r>
      <w:r>
        <w:rPr>
          <w:rFonts w:hint="eastAsia" w:ascii="方正仿宋_GB2312" w:hAnsi="方正仿宋_GB2312" w:eastAsia="方正仿宋_GB2312" w:cs="方正仿宋_GB2312"/>
          <w:color w:val="auto"/>
          <w:sz w:val="20"/>
          <w:szCs w:val="20"/>
          <w:highlight w:val="none"/>
          <w:lang w:eastAsia="zh-CN"/>
        </w:rPr>
        <w:t>的安全责任及造成的损失</w:t>
      </w:r>
      <w:r>
        <w:rPr>
          <w:rFonts w:hint="eastAsia" w:ascii="方正仿宋_GB2312" w:hAnsi="方正仿宋_GB2312" w:eastAsia="方正仿宋_GB2312" w:cs="方正仿宋_GB2312"/>
          <w:color w:val="auto"/>
          <w:sz w:val="20"/>
          <w:szCs w:val="20"/>
          <w:highlight w:val="none"/>
          <w:lang w:val="en-US" w:eastAsia="zh-CN"/>
        </w:rPr>
        <w:t>均</w:t>
      </w:r>
      <w:r>
        <w:rPr>
          <w:rFonts w:hint="eastAsia" w:ascii="方正仿宋_GB2312" w:hAnsi="方正仿宋_GB2312" w:eastAsia="方正仿宋_GB2312" w:cs="方正仿宋_GB2312"/>
          <w:color w:val="auto"/>
          <w:sz w:val="20"/>
          <w:szCs w:val="20"/>
          <w:highlight w:val="none"/>
          <w:lang w:eastAsia="zh-CN"/>
        </w:rPr>
        <w:t>由乙方承担。</w:t>
      </w:r>
    </w:p>
    <w:p w14:paraId="601FE17F">
      <w:pPr>
        <w:keepNext w:val="0"/>
        <w:keepLines w:val="0"/>
        <w:pageBreakBefore w:val="0"/>
        <w:tabs>
          <w:tab w:val="left" w:pos="480"/>
        </w:tabs>
        <w:kinsoku/>
        <w:overflowPunct/>
        <w:topLinePunct w:val="0"/>
        <w:bidi w:val="0"/>
        <w:spacing w:line="360" w:lineRule="auto"/>
        <w:ind w:left="0" w:leftChars="0" w:firstLine="402" w:firstLineChars="200"/>
        <w:textAlignment w:val="auto"/>
        <w:rPr>
          <w:rFonts w:hint="eastAsia" w:ascii="方正仿宋_GB2312" w:hAnsi="方正仿宋_GB2312" w:eastAsia="方正仿宋_GB2312" w:cs="方正仿宋_GB2312"/>
          <w:b/>
          <w:color w:val="auto"/>
          <w:sz w:val="20"/>
          <w:szCs w:val="20"/>
          <w:highlight w:val="none"/>
        </w:rPr>
      </w:pPr>
      <w:r>
        <w:rPr>
          <w:rFonts w:hint="eastAsia" w:ascii="方正仿宋_GB2312" w:hAnsi="方正仿宋_GB2312" w:eastAsia="方正仿宋_GB2312" w:cs="方正仿宋_GB2312"/>
          <w:b/>
          <w:color w:val="auto"/>
          <w:sz w:val="20"/>
          <w:szCs w:val="20"/>
          <w:highlight w:val="none"/>
        </w:rPr>
        <w:t>六、运输</w:t>
      </w:r>
    </w:p>
    <w:p w14:paraId="480A5880">
      <w:pPr>
        <w:keepNext w:val="0"/>
        <w:keepLines w:val="0"/>
        <w:pageBreakBefore w:val="0"/>
        <w:tabs>
          <w:tab w:val="left" w:pos="480"/>
        </w:tabs>
        <w:kinsoku/>
        <w:overflowPunct/>
        <w:topLinePunct w:val="0"/>
        <w:bidi w:val="0"/>
        <w:spacing w:line="360" w:lineRule="auto"/>
        <w:ind w:left="0" w:leftChars="0" w:firstLine="200" w:firstLineChars="1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（一）运输由乙方负责，运输费已包含在合同总价内，包括从产品/设备供应地点到达甲方指定的交货地点的所有费用，包括但不限于运输费、装卸费、仓储费、保险费等。</w:t>
      </w:r>
    </w:p>
    <w:p w14:paraId="76CC45BE">
      <w:pPr>
        <w:keepNext w:val="0"/>
        <w:keepLines w:val="0"/>
        <w:pageBreakBefore w:val="0"/>
        <w:tabs>
          <w:tab w:val="left" w:pos="480"/>
        </w:tabs>
        <w:kinsoku/>
        <w:overflowPunct/>
        <w:topLinePunct w:val="0"/>
        <w:bidi w:val="0"/>
        <w:spacing w:line="360" w:lineRule="auto"/>
        <w:ind w:left="0" w:leftChars="0" w:firstLine="200" w:firstLineChars="1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（二）运输方式由乙方自行选择。</w:t>
      </w:r>
    </w:p>
    <w:p w14:paraId="7521CD73">
      <w:pPr>
        <w:keepNext w:val="0"/>
        <w:keepLines w:val="0"/>
        <w:pageBreakBefore w:val="0"/>
        <w:kinsoku/>
        <w:overflowPunct/>
        <w:topLinePunct w:val="0"/>
        <w:bidi w:val="0"/>
        <w:spacing w:line="360" w:lineRule="auto"/>
        <w:ind w:left="0" w:leftChars="0" w:firstLine="402"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b/>
          <w:color w:val="auto"/>
          <w:sz w:val="20"/>
          <w:szCs w:val="20"/>
          <w:highlight w:val="none"/>
        </w:rPr>
        <w:t>七、交货</w:t>
      </w:r>
    </w:p>
    <w:p w14:paraId="64085634">
      <w:pPr>
        <w:keepNext w:val="0"/>
        <w:keepLines w:val="0"/>
        <w:pageBreakBefore w:val="0"/>
        <w:tabs>
          <w:tab w:val="left" w:pos="480"/>
        </w:tabs>
        <w:kinsoku/>
        <w:overflowPunct/>
        <w:topLinePunct w:val="0"/>
        <w:bidi w:val="0"/>
        <w:spacing w:line="360" w:lineRule="auto"/>
        <w:ind w:left="0" w:leftChars="0" w:firstLine="200" w:firstLineChars="1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（一）交货地点：</w:t>
      </w:r>
      <w:r>
        <w:rPr>
          <w:rFonts w:hint="eastAsia" w:ascii="方正仿宋_GB2312" w:hAnsi="方正仿宋_GB2312" w:eastAsia="方正仿宋_GB2312" w:cs="方正仿宋_GB2312"/>
          <w:color w:val="auto"/>
          <w:sz w:val="20"/>
          <w:szCs w:val="20"/>
          <w:highlight w:val="none"/>
          <w:lang w:eastAsia="zh-CN"/>
        </w:rPr>
        <w:t>陕西省西安师范附属小学校内</w:t>
      </w:r>
      <w:r>
        <w:rPr>
          <w:rFonts w:hint="eastAsia" w:ascii="方正仿宋_GB2312" w:hAnsi="方正仿宋_GB2312" w:eastAsia="方正仿宋_GB2312" w:cs="方正仿宋_GB2312"/>
          <w:color w:val="auto"/>
          <w:sz w:val="20"/>
          <w:szCs w:val="20"/>
          <w:highlight w:val="none"/>
        </w:rPr>
        <w:t>。</w:t>
      </w:r>
    </w:p>
    <w:p w14:paraId="31A8A618">
      <w:pPr>
        <w:keepNext w:val="0"/>
        <w:keepLines w:val="0"/>
        <w:pageBreakBefore w:val="0"/>
        <w:tabs>
          <w:tab w:val="left" w:pos="480"/>
        </w:tabs>
        <w:kinsoku/>
        <w:overflowPunct/>
        <w:topLinePunct w:val="0"/>
        <w:bidi w:val="0"/>
        <w:spacing w:line="360" w:lineRule="auto"/>
        <w:ind w:left="0" w:leftChars="0" w:firstLine="200" w:firstLineChars="100"/>
        <w:textAlignment w:val="auto"/>
        <w:rPr>
          <w:rFonts w:hint="eastAsia" w:ascii="方正仿宋_GB2312" w:hAnsi="方正仿宋_GB2312" w:eastAsia="方正仿宋_GB2312" w:cs="方正仿宋_GB2312"/>
          <w:bCs/>
          <w:color w:val="auto"/>
          <w:kern w:val="2"/>
          <w:sz w:val="20"/>
          <w:szCs w:val="20"/>
          <w:highlight w:val="none"/>
          <w:lang w:val="en-US" w:eastAsia="zh-CN" w:bidi="ar-SA"/>
        </w:rPr>
      </w:pPr>
      <w:r>
        <w:rPr>
          <w:rFonts w:hint="eastAsia" w:ascii="方正仿宋_GB2312" w:hAnsi="方正仿宋_GB2312" w:eastAsia="方正仿宋_GB2312" w:cs="方正仿宋_GB2312"/>
          <w:bCs/>
          <w:color w:val="auto"/>
          <w:kern w:val="2"/>
          <w:sz w:val="20"/>
          <w:szCs w:val="20"/>
          <w:highlight w:val="none"/>
          <w:lang w:val="en-US" w:eastAsia="zh-CN" w:bidi="ar-SA"/>
        </w:rPr>
        <w:t>（二）交货期：合同签订后15个日历日完成供货并安装调试达到采购人使用需求。</w:t>
      </w:r>
    </w:p>
    <w:p w14:paraId="429A8020">
      <w:pPr>
        <w:pStyle w:val="7"/>
        <w:keepNext w:val="0"/>
        <w:keepLines w:val="0"/>
        <w:pageBreakBefore w:val="0"/>
        <w:kinsoku/>
        <w:overflowPunct/>
        <w:topLinePunct w:val="0"/>
        <w:bidi w:val="0"/>
        <w:spacing w:line="360" w:lineRule="auto"/>
        <w:ind w:left="0" w:leftChars="0"/>
        <w:textAlignment w:val="auto"/>
        <w:rPr>
          <w:rFonts w:hint="eastAsia" w:ascii="方正仿宋_GB2312" w:hAnsi="方正仿宋_GB2312" w:eastAsia="方正仿宋_GB2312" w:cs="方正仿宋_GB2312"/>
          <w:bCs/>
          <w:color w:val="auto"/>
          <w:sz w:val="20"/>
          <w:szCs w:val="20"/>
          <w:highlight w:val="none"/>
        </w:rPr>
      </w:pPr>
      <w:r>
        <w:rPr>
          <w:rFonts w:hint="eastAsia" w:ascii="方正仿宋_GB2312" w:hAnsi="方正仿宋_GB2312" w:eastAsia="方正仿宋_GB2312" w:cs="方正仿宋_GB2312"/>
          <w:bCs/>
          <w:color w:val="auto"/>
          <w:sz w:val="20"/>
          <w:szCs w:val="20"/>
          <w:highlight w:val="none"/>
        </w:rPr>
        <w:t xml:space="preserve">  （三）乙方应在合同约定的交货日期前</w:t>
      </w:r>
      <w:r>
        <w:rPr>
          <w:rFonts w:hint="eastAsia" w:ascii="方正仿宋_GB2312" w:hAnsi="方正仿宋_GB2312" w:eastAsia="方正仿宋_GB2312" w:cs="方正仿宋_GB2312"/>
          <w:bCs/>
          <w:color w:val="auto"/>
          <w:sz w:val="20"/>
          <w:szCs w:val="20"/>
          <w:highlight w:val="none"/>
          <w:u w:val="single"/>
        </w:rPr>
        <w:t xml:space="preserve">     </w:t>
      </w:r>
      <w:r>
        <w:rPr>
          <w:rFonts w:hint="eastAsia" w:ascii="方正仿宋_GB2312" w:hAnsi="方正仿宋_GB2312" w:eastAsia="方正仿宋_GB2312" w:cs="方正仿宋_GB2312"/>
          <w:bCs/>
          <w:color w:val="auto"/>
          <w:sz w:val="20"/>
          <w:szCs w:val="20"/>
          <w:highlight w:val="none"/>
        </w:rPr>
        <w:t>日，向甲方提供交货计划（内容包括：合同编号、产品名称、数量、价格、箱数、规格、重量和体积、拟发运的时间及其他必要的说明），并于发运的同时通知甲方。</w:t>
      </w:r>
    </w:p>
    <w:p w14:paraId="50A64B1B">
      <w:pPr>
        <w:pStyle w:val="7"/>
        <w:keepNext w:val="0"/>
        <w:keepLines w:val="0"/>
        <w:pageBreakBefore w:val="0"/>
        <w:kinsoku/>
        <w:overflowPunct/>
        <w:topLinePunct w:val="0"/>
        <w:bidi w:val="0"/>
        <w:spacing w:line="360" w:lineRule="auto"/>
        <w:ind w:left="0" w:leftChars="0"/>
        <w:textAlignment w:val="auto"/>
        <w:rPr>
          <w:rFonts w:hint="eastAsia" w:ascii="方正仿宋_GB2312" w:hAnsi="方正仿宋_GB2312" w:eastAsia="方正仿宋_GB2312" w:cs="方正仿宋_GB2312"/>
          <w:bCs/>
          <w:color w:val="auto"/>
          <w:sz w:val="20"/>
          <w:szCs w:val="20"/>
          <w:highlight w:val="none"/>
        </w:rPr>
      </w:pPr>
      <w:r>
        <w:rPr>
          <w:rFonts w:hint="eastAsia" w:ascii="方正仿宋_GB2312" w:hAnsi="方正仿宋_GB2312" w:eastAsia="方正仿宋_GB2312" w:cs="方正仿宋_GB2312"/>
          <w:bCs/>
          <w:color w:val="auto"/>
          <w:sz w:val="20"/>
          <w:szCs w:val="20"/>
          <w:highlight w:val="none"/>
        </w:rPr>
        <w:t>（四）货物经甲方验收合格前，一切毁损、灭失等风险由乙方承担。</w:t>
      </w:r>
    </w:p>
    <w:p w14:paraId="21705BED">
      <w:pPr>
        <w:pStyle w:val="7"/>
        <w:keepNext w:val="0"/>
        <w:keepLines w:val="0"/>
        <w:pageBreakBefore w:val="0"/>
        <w:kinsoku/>
        <w:overflowPunct/>
        <w:topLinePunct w:val="0"/>
        <w:bidi w:val="0"/>
        <w:spacing w:line="360" w:lineRule="auto"/>
        <w:ind w:left="0" w:leftChars="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bCs/>
          <w:color w:val="auto"/>
          <w:sz w:val="20"/>
          <w:szCs w:val="20"/>
          <w:highlight w:val="none"/>
        </w:rPr>
        <w:t>（五）其他约定事项：</w:t>
      </w:r>
      <w:r>
        <w:rPr>
          <w:rFonts w:hint="eastAsia" w:ascii="方正仿宋_GB2312" w:hAnsi="方正仿宋_GB2312" w:eastAsia="方正仿宋_GB2312" w:cs="方正仿宋_GB2312"/>
          <w:bCs/>
          <w:color w:val="auto"/>
          <w:sz w:val="20"/>
          <w:szCs w:val="20"/>
          <w:highlight w:val="none"/>
          <w:u w:val="single"/>
        </w:rPr>
        <w:t>按照</w:t>
      </w:r>
      <w:r>
        <w:rPr>
          <w:rFonts w:hint="eastAsia" w:ascii="方正仿宋_GB2312" w:hAnsi="方正仿宋_GB2312" w:eastAsia="方正仿宋_GB2312" w:cs="方正仿宋_GB2312"/>
          <w:bCs/>
          <w:color w:val="auto"/>
          <w:sz w:val="20"/>
          <w:szCs w:val="20"/>
          <w:highlight w:val="none"/>
          <w:u w:val="single"/>
          <w:lang w:val="en-US" w:eastAsia="zh-CN"/>
        </w:rPr>
        <w:t>谈判</w:t>
      </w:r>
      <w:r>
        <w:rPr>
          <w:rFonts w:hint="eastAsia" w:ascii="方正仿宋_GB2312" w:hAnsi="方正仿宋_GB2312" w:eastAsia="方正仿宋_GB2312" w:cs="方正仿宋_GB2312"/>
          <w:bCs/>
          <w:color w:val="auto"/>
          <w:sz w:val="20"/>
          <w:szCs w:val="20"/>
          <w:highlight w:val="none"/>
          <w:u w:val="single"/>
        </w:rPr>
        <w:t>文件要求完成安装、调试、培训工作</w:t>
      </w:r>
      <w:r>
        <w:rPr>
          <w:rFonts w:hint="eastAsia" w:ascii="方正仿宋_GB2312" w:hAnsi="方正仿宋_GB2312" w:eastAsia="方正仿宋_GB2312" w:cs="方正仿宋_GB2312"/>
          <w:bCs/>
          <w:color w:val="auto"/>
          <w:sz w:val="20"/>
          <w:szCs w:val="20"/>
          <w:highlight w:val="none"/>
        </w:rPr>
        <w:t>。</w:t>
      </w:r>
    </w:p>
    <w:p w14:paraId="124D358F">
      <w:pPr>
        <w:pStyle w:val="7"/>
        <w:keepNext w:val="0"/>
        <w:keepLines w:val="0"/>
        <w:pageBreakBefore w:val="0"/>
        <w:kinsoku/>
        <w:overflowPunct/>
        <w:topLinePunct w:val="0"/>
        <w:bidi w:val="0"/>
        <w:spacing w:line="360" w:lineRule="auto"/>
        <w:ind w:left="0" w:leftChars="0" w:firstLine="201" w:firstLineChars="100"/>
        <w:textAlignment w:val="auto"/>
        <w:rPr>
          <w:rFonts w:hint="eastAsia" w:ascii="方正仿宋_GB2312" w:hAnsi="方正仿宋_GB2312" w:eastAsia="方正仿宋_GB2312" w:cs="方正仿宋_GB2312"/>
          <w:b/>
          <w:color w:val="auto"/>
          <w:sz w:val="20"/>
          <w:szCs w:val="20"/>
          <w:highlight w:val="none"/>
        </w:rPr>
      </w:pPr>
      <w:r>
        <w:rPr>
          <w:rFonts w:hint="eastAsia" w:ascii="方正仿宋_GB2312" w:hAnsi="方正仿宋_GB2312" w:eastAsia="方正仿宋_GB2312" w:cs="方正仿宋_GB2312"/>
          <w:b/>
          <w:color w:val="auto"/>
          <w:sz w:val="20"/>
          <w:szCs w:val="20"/>
          <w:highlight w:val="none"/>
        </w:rPr>
        <w:t>八、验收：</w:t>
      </w:r>
    </w:p>
    <w:p w14:paraId="7D9A7C68">
      <w:pPr>
        <w:pStyle w:val="7"/>
        <w:keepNext w:val="0"/>
        <w:keepLines w:val="0"/>
        <w:pageBreakBefore w:val="0"/>
        <w:kinsoku/>
        <w:overflowPunct/>
        <w:topLinePunct w:val="0"/>
        <w:bidi w:val="0"/>
        <w:spacing w:line="360" w:lineRule="auto"/>
        <w:ind w:left="0" w:leftChars="0" w:firstLine="200" w:firstLineChars="100"/>
        <w:textAlignment w:val="auto"/>
        <w:rPr>
          <w:rFonts w:hint="eastAsia" w:ascii="方正仿宋_GB2312" w:hAnsi="方正仿宋_GB2312" w:eastAsia="方正仿宋_GB2312" w:cs="方正仿宋_GB2312"/>
          <w:color w:val="auto"/>
          <w:sz w:val="20"/>
          <w:szCs w:val="20"/>
          <w:highlight w:val="none"/>
          <w:lang w:val="en-US" w:eastAsia="zh-CN"/>
        </w:rPr>
      </w:pPr>
      <w:r>
        <w:rPr>
          <w:rFonts w:hint="eastAsia" w:ascii="方正仿宋_GB2312" w:hAnsi="方正仿宋_GB2312" w:eastAsia="方正仿宋_GB2312" w:cs="方正仿宋_GB2312"/>
          <w:color w:val="auto"/>
          <w:sz w:val="20"/>
          <w:szCs w:val="20"/>
          <w:highlight w:val="none"/>
          <w:lang w:val="en-US" w:eastAsia="zh-CN"/>
        </w:rPr>
        <w:t xml:space="preserve">（一）验收内容包括商务验收、技术验收两部分。 </w:t>
      </w:r>
    </w:p>
    <w:p w14:paraId="67B706B4">
      <w:pPr>
        <w:pStyle w:val="7"/>
        <w:keepNext w:val="0"/>
        <w:keepLines w:val="0"/>
        <w:pageBreakBefore w:val="0"/>
        <w:kinsoku/>
        <w:overflowPunct/>
        <w:topLinePunct w:val="0"/>
        <w:bidi w:val="0"/>
        <w:spacing w:line="360" w:lineRule="auto"/>
        <w:ind w:left="0" w:leftChars="0" w:firstLine="200" w:firstLineChars="100"/>
        <w:textAlignment w:val="auto"/>
        <w:rPr>
          <w:rFonts w:hint="eastAsia" w:ascii="方正仿宋_GB2312" w:hAnsi="方正仿宋_GB2312" w:eastAsia="方正仿宋_GB2312" w:cs="方正仿宋_GB2312"/>
          <w:color w:val="auto"/>
          <w:sz w:val="20"/>
          <w:szCs w:val="20"/>
          <w:highlight w:val="none"/>
          <w:lang w:val="en-US" w:eastAsia="zh-CN"/>
        </w:rPr>
      </w:pPr>
      <w:r>
        <w:rPr>
          <w:rFonts w:hint="eastAsia" w:ascii="方正仿宋_GB2312" w:hAnsi="方正仿宋_GB2312" w:eastAsia="方正仿宋_GB2312" w:cs="方正仿宋_GB2312"/>
          <w:color w:val="auto"/>
          <w:sz w:val="20"/>
          <w:szCs w:val="20"/>
          <w:highlight w:val="none"/>
          <w:lang w:val="en-US" w:eastAsia="zh-CN"/>
        </w:rPr>
        <w:t xml:space="preserve">1.商务验收是指对货物进行开箱清点，检查仪器设备的外观状况，核对型号、规格、数量及附件，核查（签署）实物（装箱）清单，查验出厂证、产品合格证、质量检验证、保修单、说明书、操作规程、技术资料、检修手册等文件。 </w:t>
      </w:r>
    </w:p>
    <w:p w14:paraId="39239DDA">
      <w:pPr>
        <w:pStyle w:val="7"/>
        <w:keepNext w:val="0"/>
        <w:keepLines w:val="0"/>
        <w:pageBreakBefore w:val="0"/>
        <w:kinsoku/>
        <w:overflowPunct/>
        <w:topLinePunct w:val="0"/>
        <w:bidi w:val="0"/>
        <w:spacing w:line="360" w:lineRule="auto"/>
        <w:ind w:left="0" w:leftChars="0" w:firstLine="200" w:firstLineChars="100"/>
        <w:textAlignment w:val="auto"/>
        <w:rPr>
          <w:rFonts w:hint="eastAsia" w:ascii="方正仿宋_GB2312" w:hAnsi="方正仿宋_GB2312" w:eastAsia="方正仿宋_GB2312" w:cs="方正仿宋_GB2312"/>
          <w:color w:val="auto"/>
          <w:sz w:val="20"/>
          <w:szCs w:val="20"/>
          <w:highlight w:val="none"/>
          <w:lang w:val="en-US" w:eastAsia="zh-CN"/>
        </w:rPr>
      </w:pPr>
      <w:r>
        <w:rPr>
          <w:rFonts w:hint="eastAsia" w:ascii="方正仿宋_GB2312" w:hAnsi="方正仿宋_GB2312" w:eastAsia="方正仿宋_GB2312" w:cs="方正仿宋_GB2312"/>
          <w:color w:val="auto"/>
          <w:sz w:val="20"/>
          <w:szCs w:val="20"/>
          <w:highlight w:val="none"/>
          <w:lang w:val="en-US" w:eastAsia="zh-CN"/>
        </w:rPr>
        <w:t xml:space="preserve">2.技术验收是指由使用单位依据合同技术附件、谈判文件及响应文件，对产品的主要技术指标，对仪器设备的各项功能进行验收。 </w:t>
      </w:r>
    </w:p>
    <w:p w14:paraId="1615C671">
      <w:pPr>
        <w:pStyle w:val="7"/>
        <w:keepNext w:val="0"/>
        <w:keepLines w:val="0"/>
        <w:pageBreakBefore w:val="0"/>
        <w:kinsoku/>
        <w:overflowPunct/>
        <w:topLinePunct w:val="0"/>
        <w:bidi w:val="0"/>
        <w:spacing w:line="360" w:lineRule="auto"/>
        <w:ind w:left="0" w:leftChars="0" w:firstLine="200" w:firstLineChars="1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lang w:val="en-US" w:eastAsia="zh-CN"/>
        </w:rPr>
        <w:t>3.交付标准：满足采购人使用需求。</w:t>
      </w:r>
    </w:p>
    <w:p w14:paraId="73A5B352">
      <w:pPr>
        <w:keepNext w:val="0"/>
        <w:keepLines w:val="0"/>
        <w:pageBreakBefore w:val="0"/>
        <w:kinsoku/>
        <w:overflowPunct/>
        <w:topLinePunct w:val="0"/>
        <w:bidi w:val="0"/>
        <w:spacing w:line="360" w:lineRule="auto"/>
        <w:ind w:left="0" w:leftChars="0" w:firstLine="200" w:firstLineChars="1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w:t>
      </w:r>
      <w:r>
        <w:rPr>
          <w:rFonts w:hint="eastAsia" w:ascii="方正仿宋_GB2312" w:hAnsi="方正仿宋_GB2312" w:eastAsia="方正仿宋_GB2312" w:cs="方正仿宋_GB2312"/>
          <w:color w:val="auto"/>
          <w:sz w:val="20"/>
          <w:szCs w:val="20"/>
          <w:highlight w:val="none"/>
          <w:lang w:val="en-US" w:eastAsia="zh-CN"/>
        </w:rPr>
        <w:t>二</w:t>
      </w:r>
      <w:r>
        <w:rPr>
          <w:rFonts w:hint="eastAsia" w:ascii="方正仿宋_GB2312" w:hAnsi="方正仿宋_GB2312" w:eastAsia="方正仿宋_GB2312" w:cs="方正仿宋_GB2312"/>
          <w:color w:val="auto"/>
          <w:sz w:val="20"/>
          <w:szCs w:val="20"/>
          <w:highlight w:val="none"/>
        </w:rPr>
        <w:t>）验收依据</w:t>
      </w:r>
    </w:p>
    <w:p w14:paraId="51442C1C">
      <w:pPr>
        <w:keepNext w:val="0"/>
        <w:keepLines w:val="0"/>
        <w:pageBreakBefore w:val="0"/>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 xml:space="preserve">1. </w:t>
      </w:r>
      <w:r>
        <w:rPr>
          <w:rFonts w:hint="eastAsia" w:ascii="方正仿宋_GB2312" w:hAnsi="方正仿宋_GB2312" w:eastAsia="方正仿宋_GB2312" w:cs="方正仿宋_GB2312"/>
          <w:color w:val="auto"/>
          <w:sz w:val="20"/>
          <w:szCs w:val="20"/>
          <w:highlight w:val="none"/>
          <w:lang w:val="en-US" w:eastAsia="zh-CN"/>
        </w:rPr>
        <w:t>谈判</w:t>
      </w:r>
      <w:r>
        <w:rPr>
          <w:rFonts w:hint="eastAsia" w:ascii="方正仿宋_GB2312" w:hAnsi="方正仿宋_GB2312" w:eastAsia="方正仿宋_GB2312" w:cs="方正仿宋_GB2312"/>
          <w:color w:val="auto"/>
          <w:sz w:val="20"/>
          <w:szCs w:val="20"/>
          <w:highlight w:val="none"/>
        </w:rPr>
        <w:t>文件、</w:t>
      </w:r>
      <w:r>
        <w:rPr>
          <w:rFonts w:hint="eastAsia" w:ascii="方正仿宋_GB2312" w:hAnsi="方正仿宋_GB2312" w:eastAsia="方正仿宋_GB2312" w:cs="方正仿宋_GB2312"/>
          <w:color w:val="auto"/>
          <w:sz w:val="20"/>
          <w:szCs w:val="20"/>
          <w:highlight w:val="none"/>
          <w:lang w:val="en-US" w:eastAsia="zh-CN"/>
        </w:rPr>
        <w:t>谈判响应</w:t>
      </w:r>
      <w:r>
        <w:rPr>
          <w:rFonts w:hint="eastAsia" w:ascii="方正仿宋_GB2312" w:hAnsi="方正仿宋_GB2312" w:eastAsia="方正仿宋_GB2312" w:cs="方正仿宋_GB2312"/>
          <w:color w:val="auto"/>
          <w:sz w:val="20"/>
          <w:szCs w:val="20"/>
          <w:highlight w:val="none"/>
        </w:rPr>
        <w:t>文件、澄清表（函）；</w:t>
      </w:r>
    </w:p>
    <w:p w14:paraId="732FDAB4">
      <w:pPr>
        <w:keepNext w:val="0"/>
        <w:keepLines w:val="0"/>
        <w:pageBreakBefore w:val="0"/>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2．本合同及附件（若有）；</w:t>
      </w:r>
    </w:p>
    <w:p w14:paraId="558D49E0">
      <w:pPr>
        <w:keepNext w:val="0"/>
        <w:keepLines w:val="0"/>
        <w:pageBreakBefore w:val="0"/>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3．合同签订时国家、行业及企业等的标准和技术规范。</w:t>
      </w:r>
    </w:p>
    <w:p w14:paraId="421CACEA">
      <w:pPr>
        <w:keepNext w:val="0"/>
        <w:keepLines w:val="0"/>
        <w:pageBreakBefore w:val="0"/>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4. 双方拟定的其他条款。</w:t>
      </w:r>
    </w:p>
    <w:p w14:paraId="6084236C">
      <w:pPr>
        <w:keepNext w:val="0"/>
        <w:keepLines w:val="0"/>
        <w:pageBreakBefore w:val="0"/>
        <w:kinsoku/>
        <w:overflowPunct/>
        <w:topLinePunct w:val="0"/>
        <w:bidi w:val="0"/>
        <w:spacing w:line="360" w:lineRule="auto"/>
        <w:ind w:left="0" w:leftChars="0" w:firstLine="402"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b/>
          <w:color w:val="auto"/>
          <w:sz w:val="20"/>
          <w:szCs w:val="20"/>
          <w:highlight w:val="none"/>
        </w:rPr>
        <w:t>九、</w:t>
      </w:r>
      <w:r>
        <w:rPr>
          <w:rFonts w:hint="eastAsia" w:ascii="方正仿宋_GB2312" w:hAnsi="方正仿宋_GB2312" w:eastAsia="方正仿宋_GB2312" w:cs="方正仿宋_GB2312"/>
          <w:color w:val="auto"/>
          <w:sz w:val="20"/>
          <w:szCs w:val="20"/>
          <w:highlight w:val="none"/>
        </w:rPr>
        <w:t>售后服务：</w:t>
      </w:r>
    </w:p>
    <w:p w14:paraId="6902680F">
      <w:pPr>
        <w:keepNext w:val="0"/>
        <w:keepLines w:val="0"/>
        <w:pageBreakBefore w:val="0"/>
        <w:tabs>
          <w:tab w:val="left" w:pos="480"/>
        </w:tabs>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乙方提供免费原厂整机保修</w:t>
      </w:r>
      <w:r>
        <w:rPr>
          <w:rFonts w:hint="eastAsia" w:ascii="方正仿宋_GB2312" w:hAnsi="方正仿宋_GB2312" w:eastAsia="方正仿宋_GB2312" w:cs="方正仿宋_GB2312"/>
          <w:color w:val="auto"/>
          <w:sz w:val="20"/>
          <w:szCs w:val="20"/>
          <w:highlight w:val="none"/>
          <w:u w:val="single"/>
        </w:rPr>
        <w:t xml:space="preserve">   </w:t>
      </w:r>
      <w:r>
        <w:rPr>
          <w:rFonts w:hint="eastAsia" w:ascii="方正仿宋_GB2312" w:hAnsi="方正仿宋_GB2312" w:eastAsia="方正仿宋_GB2312" w:cs="方正仿宋_GB2312"/>
          <w:color w:val="auto"/>
          <w:sz w:val="20"/>
          <w:szCs w:val="20"/>
          <w:highlight w:val="none"/>
        </w:rPr>
        <w:t>年（具体时限同质保期），终身维护的售后服务。</w:t>
      </w:r>
    </w:p>
    <w:p w14:paraId="3CFE0B30">
      <w:pPr>
        <w:keepNext w:val="0"/>
        <w:keepLines w:val="0"/>
        <w:pageBreakBefore w:val="0"/>
        <w:tabs>
          <w:tab w:val="left" w:pos="480"/>
        </w:tabs>
        <w:kinsoku/>
        <w:overflowPunct/>
        <w:topLinePunct w:val="0"/>
        <w:bidi w:val="0"/>
        <w:spacing w:line="360" w:lineRule="auto"/>
        <w:ind w:left="0" w:leftChars="0" w:firstLine="200" w:firstLineChars="1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（一）质保期内</w:t>
      </w:r>
    </w:p>
    <w:p w14:paraId="2C53788D">
      <w:pPr>
        <w:pStyle w:val="7"/>
        <w:keepNext w:val="0"/>
        <w:keepLines w:val="0"/>
        <w:pageBreakBefore w:val="0"/>
        <w:kinsoku/>
        <w:overflowPunct/>
        <w:topLinePunct w:val="0"/>
        <w:bidi w:val="0"/>
        <w:spacing w:line="360" w:lineRule="auto"/>
        <w:ind w:left="0" w:leftChars="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 xml:space="preserve">    1.同一主要部件出现质量问题经过两次维修后仍无法正常使用，乙方应</w:t>
      </w:r>
      <w:r>
        <w:rPr>
          <w:rFonts w:hint="eastAsia" w:ascii="方正仿宋_GB2312" w:hAnsi="方正仿宋_GB2312" w:eastAsia="方正仿宋_GB2312" w:cs="方正仿宋_GB2312"/>
          <w:color w:val="auto"/>
          <w:sz w:val="20"/>
          <w:szCs w:val="20"/>
          <w:highlight w:val="none"/>
          <w:u w:val="single"/>
        </w:rPr>
        <w:t xml:space="preserve"> 2</w:t>
      </w:r>
      <w:r>
        <w:rPr>
          <w:rFonts w:hint="eastAsia" w:ascii="方正仿宋_GB2312" w:hAnsi="方正仿宋_GB2312" w:eastAsia="方正仿宋_GB2312" w:cs="方正仿宋_GB2312"/>
          <w:color w:val="auto"/>
          <w:sz w:val="20"/>
          <w:szCs w:val="20"/>
          <w:highlight w:val="none"/>
        </w:rPr>
        <w:t>日内更换同型号、同规格的产品/设备，若乙方违反本约定，应承担违约责任，赔偿甲方的损失，且甲方有权解除本合同。</w:t>
      </w:r>
    </w:p>
    <w:p w14:paraId="7AAC6A57">
      <w:pPr>
        <w:keepNext w:val="0"/>
        <w:keepLines w:val="0"/>
        <w:pageBreakBefore w:val="0"/>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2.凡正常使用中出现的故障，均由乙方负责提供免费检测维修、免费更换不合格的零部件直至整机（更换的零部件或整机应保证自更换之日起提供相同的质量保证期）；若需返厂处理，乙方应免费提供替代产品/设备，并承担返厂维修的所有费用，包括但不限于往返运输费用等；且乙方应同时记录检修情况，并向甲方提供检修报告。</w:t>
      </w:r>
    </w:p>
    <w:p w14:paraId="07F1D83C">
      <w:pPr>
        <w:keepNext w:val="0"/>
        <w:keepLines w:val="0"/>
        <w:pageBreakBefore w:val="0"/>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3.免费提供每天</w:t>
      </w:r>
      <w:r>
        <w:rPr>
          <w:rFonts w:hint="eastAsia" w:ascii="方正仿宋_GB2312" w:hAnsi="方正仿宋_GB2312" w:eastAsia="方正仿宋_GB2312" w:cs="方正仿宋_GB2312"/>
          <w:color w:val="auto"/>
          <w:sz w:val="20"/>
          <w:szCs w:val="20"/>
          <w:highlight w:val="none"/>
          <w:u w:val="single"/>
        </w:rPr>
        <w:t>24</w:t>
      </w:r>
      <w:r>
        <w:rPr>
          <w:rFonts w:hint="eastAsia" w:ascii="方正仿宋_GB2312" w:hAnsi="方正仿宋_GB2312" w:eastAsia="方正仿宋_GB2312" w:cs="方正仿宋_GB2312"/>
          <w:color w:val="auto"/>
          <w:sz w:val="20"/>
          <w:szCs w:val="20"/>
          <w:highlight w:val="none"/>
        </w:rPr>
        <w:t>小时不间断的电话支持服务，解答甲方在使用过程中遇到的问题，及时提出解决问题的建议和对策。</w:t>
      </w:r>
    </w:p>
    <w:p w14:paraId="4D835C66">
      <w:pPr>
        <w:keepNext w:val="0"/>
        <w:keepLines w:val="0"/>
        <w:pageBreakBefore w:val="0"/>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4. 如出现质量问题，甲方可选择换货或退货；如退货的，乙方应退还全部货款、支付违约金，且应赔偿甲方的损失；如换货的，乙方应支付违约金、赔偿甲方的损失，且承担换货的所有费用。</w:t>
      </w:r>
    </w:p>
    <w:p w14:paraId="707F4E1B">
      <w:pPr>
        <w:keepNext w:val="0"/>
        <w:keepLines w:val="0"/>
        <w:pageBreakBefore w:val="0"/>
        <w:tabs>
          <w:tab w:val="left" w:pos="480"/>
        </w:tabs>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5.乙方专业维修人员应每季度到现场走访，给予检查维护。并向甲方提供巡检报告（一式两份，由双方签字确认），内容包含但不限于巡检时间、巡检内容、巡检结果。</w:t>
      </w:r>
    </w:p>
    <w:p w14:paraId="2FAEE987">
      <w:pPr>
        <w:keepNext w:val="0"/>
        <w:keepLines w:val="0"/>
        <w:pageBreakBefore w:val="0"/>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6.质保期届满前 30 日内，乙方应对所有产品/设备进行全面检测、保养、维护。维保内容包括但不限于：检查所有产品/设备及设备间各连接件，设备内清洁和机械滑动上油，进行系统测试等确保所有设备的正常使用。</w:t>
      </w:r>
    </w:p>
    <w:p w14:paraId="00F83D79">
      <w:pPr>
        <w:pStyle w:val="7"/>
        <w:keepNext w:val="0"/>
        <w:keepLines w:val="0"/>
        <w:pageBreakBefore w:val="0"/>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7.质保期内，每年对设备提供一次免费保养服务。</w:t>
      </w:r>
    </w:p>
    <w:p w14:paraId="466C5FFC">
      <w:pPr>
        <w:keepNext w:val="0"/>
        <w:keepLines w:val="0"/>
        <w:pageBreakBefore w:val="0"/>
        <w:kinsoku/>
        <w:overflowPunct/>
        <w:topLinePunct w:val="0"/>
        <w:bidi w:val="0"/>
        <w:spacing w:line="360" w:lineRule="auto"/>
        <w:ind w:left="0" w:leftChars="0" w:firstLine="200" w:firstLineChars="1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（二）质保期满后</w:t>
      </w:r>
    </w:p>
    <w:p w14:paraId="6A83BEB7">
      <w:pPr>
        <w:keepNext w:val="0"/>
        <w:keepLines w:val="0"/>
        <w:pageBreakBefore w:val="0"/>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乙方应保证以合理的价格提供维护和保养服务，当发生故障时，乙方应按质保期内相同的服务标准进行维护维修。</w:t>
      </w:r>
    </w:p>
    <w:p w14:paraId="23CBB001">
      <w:pPr>
        <w:keepNext w:val="0"/>
        <w:keepLines w:val="0"/>
        <w:pageBreakBefore w:val="0"/>
        <w:kinsoku/>
        <w:overflowPunct/>
        <w:topLinePunct w:val="0"/>
        <w:bidi w:val="0"/>
        <w:spacing w:line="360" w:lineRule="auto"/>
        <w:ind w:left="0" w:leftChars="0" w:firstLine="200" w:firstLineChars="1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（三）人员培训</w:t>
      </w:r>
    </w:p>
    <w:p w14:paraId="0D0F6277">
      <w:pPr>
        <w:keepNext w:val="0"/>
        <w:keepLines w:val="0"/>
        <w:pageBreakBefore w:val="0"/>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提供产品/设备的现场/驻厂培训，确保甲方操作、维护人员</w:t>
      </w:r>
      <w:r>
        <w:rPr>
          <w:rFonts w:hint="eastAsia" w:ascii="方正仿宋_GB2312" w:hAnsi="方正仿宋_GB2312" w:eastAsia="方正仿宋_GB2312" w:cs="方正仿宋_GB2312"/>
          <w:b/>
          <w:bCs/>
          <w:color w:val="auto"/>
          <w:sz w:val="20"/>
          <w:szCs w:val="20"/>
          <w:highlight w:val="none"/>
        </w:rPr>
        <w:t>（约</w:t>
      </w:r>
      <w:r>
        <w:rPr>
          <w:rFonts w:hint="eastAsia" w:ascii="方正仿宋_GB2312" w:hAnsi="方正仿宋_GB2312" w:eastAsia="方正仿宋_GB2312" w:cs="方正仿宋_GB2312"/>
          <w:b/>
          <w:bCs/>
          <w:color w:val="auto"/>
          <w:sz w:val="20"/>
          <w:szCs w:val="20"/>
          <w:highlight w:val="none"/>
          <w:u w:val="single"/>
        </w:rPr>
        <w:t xml:space="preserve">  </w:t>
      </w:r>
      <w:r>
        <w:rPr>
          <w:rFonts w:hint="eastAsia" w:ascii="方正仿宋_GB2312" w:hAnsi="方正仿宋_GB2312" w:eastAsia="方正仿宋_GB2312" w:cs="方正仿宋_GB2312"/>
          <w:b/>
          <w:bCs/>
          <w:color w:val="auto"/>
          <w:sz w:val="20"/>
          <w:szCs w:val="20"/>
          <w:highlight w:val="none"/>
        </w:rPr>
        <w:t>人）</w:t>
      </w:r>
      <w:r>
        <w:rPr>
          <w:rFonts w:hint="eastAsia" w:ascii="方正仿宋_GB2312" w:hAnsi="方正仿宋_GB2312" w:eastAsia="方正仿宋_GB2312" w:cs="方正仿宋_GB2312"/>
          <w:color w:val="auto"/>
          <w:sz w:val="20"/>
          <w:szCs w:val="20"/>
          <w:highlight w:val="none"/>
        </w:rPr>
        <w:t>掌握操作使用、维护保养及其他必备知识。甲方要求派遣专业技术人员参与项目实施的，在项目整体实施及质保期内，随时向甲方技术人员讲解技术和实施方案。培训费用已包含在合同总价内。</w:t>
      </w:r>
    </w:p>
    <w:p w14:paraId="78F08CFA">
      <w:pPr>
        <w:keepNext w:val="0"/>
        <w:keepLines w:val="0"/>
        <w:pageBreakBefore w:val="0"/>
        <w:tabs>
          <w:tab w:val="left" w:pos="480"/>
        </w:tabs>
        <w:kinsoku/>
        <w:overflowPunct/>
        <w:topLinePunct w:val="0"/>
        <w:bidi w:val="0"/>
        <w:spacing w:line="360" w:lineRule="auto"/>
        <w:ind w:left="0" w:leftChars="0" w:firstLine="402" w:firstLineChars="200"/>
        <w:textAlignment w:val="auto"/>
        <w:rPr>
          <w:rFonts w:hint="eastAsia" w:ascii="方正仿宋_GB2312" w:hAnsi="方正仿宋_GB2312" w:eastAsia="方正仿宋_GB2312" w:cs="方正仿宋_GB2312"/>
          <w:b/>
          <w:color w:val="auto"/>
          <w:sz w:val="20"/>
          <w:szCs w:val="20"/>
          <w:highlight w:val="none"/>
        </w:rPr>
      </w:pPr>
      <w:r>
        <w:rPr>
          <w:rFonts w:hint="eastAsia" w:ascii="方正仿宋_GB2312" w:hAnsi="方正仿宋_GB2312" w:eastAsia="方正仿宋_GB2312" w:cs="方正仿宋_GB2312"/>
          <w:b/>
          <w:color w:val="auto"/>
          <w:sz w:val="20"/>
          <w:szCs w:val="20"/>
          <w:highlight w:val="none"/>
        </w:rPr>
        <w:t>十、技术与服务</w:t>
      </w:r>
    </w:p>
    <w:p w14:paraId="5F0704D2">
      <w:pPr>
        <w:keepNext w:val="0"/>
        <w:keepLines w:val="0"/>
        <w:pageBreakBefore w:val="0"/>
        <w:tabs>
          <w:tab w:val="left" w:pos="480"/>
        </w:tabs>
        <w:kinsoku/>
        <w:overflowPunct/>
        <w:topLinePunct w:val="0"/>
        <w:bidi w:val="0"/>
        <w:spacing w:line="360" w:lineRule="auto"/>
        <w:ind w:left="0" w:leftChars="0" w:firstLine="200" w:firstLineChars="1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（一）技术资料包括：</w:t>
      </w:r>
    </w:p>
    <w:p w14:paraId="34A790E4">
      <w:pPr>
        <w:keepNext w:val="0"/>
        <w:keepLines w:val="0"/>
        <w:pageBreakBefore w:val="0"/>
        <w:tabs>
          <w:tab w:val="left" w:pos="480"/>
        </w:tabs>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1、货物合格证；</w:t>
      </w:r>
    </w:p>
    <w:p w14:paraId="0815E19A">
      <w:pPr>
        <w:pStyle w:val="14"/>
        <w:keepNext w:val="0"/>
        <w:keepLines w:val="0"/>
        <w:pageBreakBefore w:val="0"/>
        <w:kinsoku/>
        <w:overflowPunct/>
        <w:topLinePunct w:val="0"/>
        <w:bidi w:val="0"/>
        <w:spacing w:before="0" w:after="0" w:line="360" w:lineRule="auto"/>
        <w:ind w:left="0" w:leftChars="0" w:firstLine="561"/>
        <w:textAlignment w:val="auto"/>
        <w:rPr>
          <w:rFonts w:hint="eastAsia" w:ascii="方正仿宋_GB2312" w:hAnsi="方正仿宋_GB2312" w:eastAsia="方正仿宋_GB2312" w:cs="方正仿宋_GB2312"/>
          <w:b w:val="0"/>
          <w:bCs/>
          <w:color w:val="auto"/>
          <w:sz w:val="20"/>
          <w:szCs w:val="20"/>
          <w:highlight w:val="none"/>
        </w:rPr>
      </w:pPr>
      <w:r>
        <w:rPr>
          <w:rFonts w:hint="eastAsia" w:ascii="方正仿宋_GB2312" w:hAnsi="方正仿宋_GB2312" w:eastAsia="方正仿宋_GB2312" w:cs="方正仿宋_GB2312"/>
          <w:b w:val="0"/>
          <w:bCs/>
          <w:color w:val="auto"/>
          <w:sz w:val="20"/>
          <w:szCs w:val="20"/>
          <w:highlight w:val="none"/>
        </w:rPr>
        <w:t>2、货物使用说明书（中文）；</w:t>
      </w:r>
    </w:p>
    <w:p w14:paraId="3B661840">
      <w:pPr>
        <w:pStyle w:val="14"/>
        <w:keepNext w:val="0"/>
        <w:keepLines w:val="0"/>
        <w:pageBreakBefore w:val="0"/>
        <w:kinsoku/>
        <w:overflowPunct/>
        <w:topLinePunct w:val="0"/>
        <w:bidi w:val="0"/>
        <w:spacing w:before="0" w:after="0" w:line="360" w:lineRule="auto"/>
        <w:ind w:left="0" w:leftChars="0" w:firstLine="561"/>
        <w:textAlignment w:val="auto"/>
        <w:rPr>
          <w:rFonts w:hint="eastAsia" w:ascii="方正仿宋_GB2312" w:hAnsi="方正仿宋_GB2312" w:eastAsia="方正仿宋_GB2312" w:cs="方正仿宋_GB2312"/>
          <w:b w:val="0"/>
          <w:bCs/>
          <w:color w:val="auto"/>
          <w:sz w:val="20"/>
          <w:szCs w:val="20"/>
          <w:highlight w:val="none"/>
        </w:rPr>
      </w:pPr>
      <w:r>
        <w:rPr>
          <w:rFonts w:hint="eastAsia" w:ascii="方正仿宋_GB2312" w:hAnsi="方正仿宋_GB2312" w:eastAsia="方正仿宋_GB2312" w:cs="方正仿宋_GB2312"/>
          <w:b w:val="0"/>
          <w:bCs/>
          <w:color w:val="auto"/>
          <w:sz w:val="20"/>
          <w:szCs w:val="20"/>
          <w:highlight w:val="none"/>
        </w:rPr>
        <w:t>3、检验测试报告；</w:t>
      </w:r>
    </w:p>
    <w:p w14:paraId="7B9BEF9D">
      <w:pPr>
        <w:keepNext w:val="0"/>
        <w:keepLines w:val="0"/>
        <w:pageBreakBefore w:val="0"/>
        <w:tabs>
          <w:tab w:val="left" w:pos="480"/>
        </w:tabs>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lang w:val="en-US" w:eastAsia="zh-CN"/>
        </w:rPr>
        <w:t>4</w:t>
      </w:r>
      <w:r>
        <w:rPr>
          <w:rFonts w:hint="eastAsia" w:ascii="方正仿宋_GB2312" w:hAnsi="方正仿宋_GB2312" w:eastAsia="方正仿宋_GB2312" w:cs="方正仿宋_GB2312"/>
          <w:color w:val="auto"/>
          <w:sz w:val="20"/>
          <w:szCs w:val="20"/>
          <w:highlight w:val="none"/>
        </w:rPr>
        <w:t>、其它资料。</w:t>
      </w:r>
      <w:bookmarkStart w:id="0" w:name="_GoBack"/>
      <w:bookmarkEnd w:id="0"/>
    </w:p>
    <w:p w14:paraId="0B6E225C">
      <w:pPr>
        <w:keepNext w:val="0"/>
        <w:keepLines w:val="0"/>
        <w:pageBreakBefore w:val="0"/>
        <w:tabs>
          <w:tab w:val="left" w:pos="480"/>
        </w:tabs>
        <w:kinsoku/>
        <w:overflowPunct/>
        <w:topLinePunct w:val="0"/>
        <w:bidi w:val="0"/>
        <w:spacing w:line="360" w:lineRule="auto"/>
        <w:ind w:left="0" w:leftChars="0" w:firstLine="200" w:firstLineChars="1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（二）服务承诺：以</w:t>
      </w:r>
      <w:r>
        <w:rPr>
          <w:rFonts w:hint="eastAsia" w:ascii="方正仿宋_GB2312" w:hAnsi="方正仿宋_GB2312" w:eastAsia="方正仿宋_GB2312" w:cs="方正仿宋_GB2312"/>
          <w:color w:val="auto"/>
          <w:sz w:val="20"/>
          <w:szCs w:val="20"/>
          <w:highlight w:val="none"/>
          <w:lang w:val="en-US" w:eastAsia="zh-CN"/>
        </w:rPr>
        <w:t>谈判文件、谈判响应</w:t>
      </w:r>
      <w:r>
        <w:rPr>
          <w:rFonts w:hint="eastAsia" w:ascii="方正仿宋_GB2312" w:hAnsi="方正仿宋_GB2312" w:eastAsia="方正仿宋_GB2312" w:cs="方正仿宋_GB2312"/>
          <w:color w:val="auto"/>
          <w:sz w:val="20"/>
          <w:szCs w:val="20"/>
          <w:highlight w:val="none"/>
        </w:rPr>
        <w:t>文件、澄清表（函）、合同和随货物的相关文件为准。</w:t>
      </w:r>
    </w:p>
    <w:p w14:paraId="2AB0D88E">
      <w:pPr>
        <w:keepNext w:val="0"/>
        <w:keepLines w:val="0"/>
        <w:pageBreakBefore w:val="0"/>
        <w:tabs>
          <w:tab w:val="left" w:pos="480"/>
        </w:tabs>
        <w:kinsoku/>
        <w:overflowPunct/>
        <w:topLinePunct w:val="0"/>
        <w:bidi w:val="0"/>
        <w:spacing w:line="360" w:lineRule="auto"/>
        <w:ind w:left="0" w:leftChars="0" w:firstLine="402" w:firstLineChars="200"/>
        <w:textAlignment w:val="auto"/>
        <w:rPr>
          <w:rFonts w:hint="eastAsia" w:ascii="方正仿宋_GB2312" w:hAnsi="方正仿宋_GB2312" w:eastAsia="方正仿宋_GB2312" w:cs="方正仿宋_GB2312"/>
          <w:b/>
          <w:color w:val="auto"/>
          <w:sz w:val="20"/>
          <w:szCs w:val="20"/>
          <w:highlight w:val="none"/>
        </w:rPr>
      </w:pPr>
      <w:r>
        <w:rPr>
          <w:rFonts w:hint="eastAsia" w:ascii="方正仿宋_GB2312" w:hAnsi="方正仿宋_GB2312" w:eastAsia="方正仿宋_GB2312" w:cs="方正仿宋_GB2312"/>
          <w:b/>
          <w:color w:val="auto"/>
          <w:sz w:val="20"/>
          <w:szCs w:val="20"/>
          <w:highlight w:val="none"/>
        </w:rPr>
        <w:t>十一、违约责任</w:t>
      </w:r>
    </w:p>
    <w:p w14:paraId="1A3A3EBE">
      <w:pPr>
        <w:keepNext w:val="0"/>
        <w:keepLines w:val="0"/>
        <w:pageBreakBefore w:val="0"/>
        <w:tabs>
          <w:tab w:val="left" w:pos="480"/>
        </w:tabs>
        <w:kinsoku/>
        <w:overflowPunct/>
        <w:topLinePunct w:val="0"/>
        <w:bidi w:val="0"/>
        <w:spacing w:line="360" w:lineRule="auto"/>
        <w:ind w:left="0" w:leftChars="0" w:firstLine="200" w:firstLineChars="1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（一）按《民法典》《</w:t>
      </w:r>
      <w:r>
        <w:rPr>
          <w:rFonts w:hint="eastAsia" w:ascii="方正仿宋_GB2312" w:hAnsi="方正仿宋_GB2312" w:eastAsia="方正仿宋_GB2312" w:cs="方正仿宋_GB2312"/>
          <w:color w:val="auto"/>
          <w:sz w:val="20"/>
          <w:szCs w:val="20"/>
          <w:highlight w:val="none"/>
          <w:lang w:val="en-US" w:eastAsia="zh-CN"/>
        </w:rPr>
        <w:t>中华人民共和国</w:t>
      </w:r>
      <w:r>
        <w:rPr>
          <w:rFonts w:hint="eastAsia" w:ascii="方正仿宋_GB2312" w:hAnsi="方正仿宋_GB2312" w:eastAsia="方正仿宋_GB2312" w:cs="方正仿宋_GB2312"/>
          <w:color w:val="auto"/>
          <w:sz w:val="20"/>
          <w:szCs w:val="20"/>
          <w:highlight w:val="none"/>
        </w:rPr>
        <w:t>政府采购法》等相关规定和本合同的约定执行。</w:t>
      </w:r>
    </w:p>
    <w:p w14:paraId="4146D852">
      <w:pPr>
        <w:keepNext w:val="0"/>
        <w:keepLines w:val="0"/>
        <w:pageBreakBefore w:val="0"/>
        <w:tabs>
          <w:tab w:val="left" w:pos="480"/>
        </w:tabs>
        <w:kinsoku/>
        <w:overflowPunct/>
        <w:topLinePunct w:val="0"/>
        <w:bidi w:val="0"/>
        <w:spacing w:line="360" w:lineRule="auto"/>
        <w:ind w:left="0" w:leftChars="0" w:firstLine="200" w:firstLineChars="1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二）乙方未按本合同的约定提供货物的，应承担违约责任、赔偿甲方的损失，且甲方有权解除本合同、有权决定是否退换货；若退货的，乙方除了承担以上责任外，还应返还甲方支付的所有款项；若换货的，乙方必须于</w:t>
      </w:r>
      <w:r>
        <w:rPr>
          <w:rFonts w:hint="eastAsia" w:ascii="方正仿宋_GB2312" w:hAnsi="方正仿宋_GB2312" w:eastAsia="方正仿宋_GB2312" w:cs="方正仿宋_GB2312"/>
          <w:color w:val="auto"/>
          <w:sz w:val="20"/>
          <w:szCs w:val="20"/>
          <w:highlight w:val="none"/>
          <w:u w:val="single"/>
        </w:rPr>
        <w:t xml:space="preserve"> 2</w:t>
      </w:r>
      <w:r>
        <w:rPr>
          <w:rFonts w:hint="eastAsia" w:ascii="方正仿宋_GB2312" w:hAnsi="方正仿宋_GB2312" w:eastAsia="方正仿宋_GB2312" w:cs="方正仿宋_GB2312"/>
          <w:color w:val="auto"/>
          <w:sz w:val="20"/>
          <w:szCs w:val="20"/>
          <w:highlight w:val="none"/>
        </w:rPr>
        <w:t>日内无条件更换，换货的所有费用由乙方承担，且乙方应承担违约责任、赔偿甲方的损失。</w:t>
      </w:r>
    </w:p>
    <w:p w14:paraId="2C479CDA">
      <w:pPr>
        <w:keepNext w:val="0"/>
        <w:keepLines w:val="0"/>
        <w:pageBreakBefore w:val="0"/>
        <w:tabs>
          <w:tab w:val="left" w:pos="480"/>
        </w:tabs>
        <w:kinsoku/>
        <w:overflowPunct/>
        <w:topLinePunct w:val="0"/>
        <w:bidi w:val="0"/>
        <w:spacing w:line="360" w:lineRule="auto"/>
        <w:ind w:left="0" w:leftChars="0" w:firstLine="200" w:firstLineChars="1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（三）乙方未按本合同的约定提供服务的，应承担违约责任、赔偿甲方的损失，且甲方有权解除本合同。</w:t>
      </w:r>
    </w:p>
    <w:p w14:paraId="5ED7D4F7">
      <w:pPr>
        <w:keepNext w:val="0"/>
        <w:keepLines w:val="0"/>
        <w:pageBreakBefore w:val="0"/>
        <w:tabs>
          <w:tab w:val="left" w:pos="480"/>
        </w:tabs>
        <w:kinsoku/>
        <w:overflowPunct/>
        <w:topLinePunct w:val="0"/>
        <w:bidi w:val="0"/>
        <w:spacing w:line="360" w:lineRule="auto"/>
        <w:ind w:left="0" w:leftChars="0" w:firstLine="200" w:firstLineChars="1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（四）乙方逾期交货的，每逾期一日，按照合同总金额的1%承担违约责任；逾期交货30天以上的，甲方有权解除本合同，乙方除承担违约责任外，还应赔偿甲方的损失。</w:t>
      </w:r>
    </w:p>
    <w:p w14:paraId="152355D2">
      <w:pPr>
        <w:keepNext w:val="0"/>
        <w:keepLines w:val="0"/>
        <w:pageBreakBefore w:val="0"/>
        <w:tabs>
          <w:tab w:val="left" w:pos="480"/>
        </w:tabs>
        <w:kinsoku/>
        <w:overflowPunct/>
        <w:topLinePunct w:val="0"/>
        <w:bidi w:val="0"/>
        <w:spacing w:line="360" w:lineRule="auto"/>
        <w:ind w:left="0" w:leftChars="0" w:firstLine="200" w:firstLineChars="1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（五）甲方未按照本合同约定支付价款的，甲方应承担违约责任。</w:t>
      </w:r>
    </w:p>
    <w:p w14:paraId="460DEC56">
      <w:pPr>
        <w:keepNext w:val="0"/>
        <w:keepLines w:val="0"/>
        <w:pageBreakBefore w:val="0"/>
        <w:tabs>
          <w:tab w:val="left" w:pos="480"/>
        </w:tabs>
        <w:kinsoku/>
        <w:overflowPunct/>
        <w:topLinePunct w:val="0"/>
        <w:bidi w:val="0"/>
        <w:spacing w:line="360" w:lineRule="auto"/>
        <w:ind w:left="0" w:leftChars="0" w:firstLine="200" w:firstLineChars="1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六）本合同所涉“违约责任”为支付合同总价款30%的违约金；本合同所涉“赔偿甲方的损失”包括但不限于甲方重新采购产生的所有费用、经营损失、甲方维权费用（如诉讼费、保全费、公证费、律师费）等直接损失和间接损失，且甲方的损失至少为本合同总价款的10%。</w:t>
      </w:r>
    </w:p>
    <w:p w14:paraId="468AD34A">
      <w:pPr>
        <w:keepNext w:val="0"/>
        <w:keepLines w:val="0"/>
        <w:pageBreakBefore w:val="0"/>
        <w:tabs>
          <w:tab w:val="left" w:pos="480"/>
        </w:tabs>
        <w:kinsoku/>
        <w:overflowPunct/>
        <w:topLinePunct w:val="0"/>
        <w:bidi w:val="0"/>
        <w:spacing w:line="360" w:lineRule="auto"/>
        <w:ind w:left="0" w:leftChars="0" w:firstLine="200" w:firstLineChars="1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（七）本合同所涉违约金及赔偿甲方的损失，甲方均可直接从</w:t>
      </w:r>
      <w:r>
        <w:rPr>
          <w:rFonts w:hint="eastAsia" w:ascii="方正仿宋_GB2312" w:hAnsi="方正仿宋_GB2312" w:eastAsia="方正仿宋_GB2312" w:cs="方正仿宋_GB2312"/>
          <w:color w:val="auto"/>
          <w:sz w:val="20"/>
          <w:szCs w:val="20"/>
          <w:highlight w:val="none"/>
          <w:lang w:eastAsia="zh-CN"/>
        </w:rPr>
        <w:t>未支付款项</w:t>
      </w:r>
      <w:r>
        <w:rPr>
          <w:rFonts w:hint="eastAsia" w:ascii="方正仿宋_GB2312" w:hAnsi="方正仿宋_GB2312" w:eastAsia="方正仿宋_GB2312" w:cs="方正仿宋_GB2312"/>
          <w:color w:val="auto"/>
          <w:sz w:val="20"/>
          <w:szCs w:val="20"/>
          <w:highlight w:val="none"/>
        </w:rPr>
        <w:t>中扣减。</w:t>
      </w:r>
    </w:p>
    <w:p w14:paraId="40C19E7A">
      <w:pPr>
        <w:keepNext w:val="0"/>
        <w:keepLines w:val="0"/>
        <w:pageBreakBefore w:val="0"/>
        <w:tabs>
          <w:tab w:val="left" w:pos="480"/>
        </w:tabs>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（八）解除合同的，自书面解除通知到达对方即解除。</w:t>
      </w:r>
    </w:p>
    <w:p w14:paraId="2DC3D210">
      <w:pPr>
        <w:pStyle w:val="7"/>
        <w:keepNext w:val="0"/>
        <w:keepLines w:val="0"/>
        <w:pageBreakBefore w:val="0"/>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（九）双方拟定的其他条款。</w:t>
      </w:r>
    </w:p>
    <w:p w14:paraId="69DBBA05">
      <w:pPr>
        <w:keepNext w:val="0"/>
        <w:keepLines w:val="0"/>
        <w:pageBreakBefore w:val="0"/>
        <w:tabs>
          <w:tab w:val="left" w:pos="480"/>
        </w:tabs>
        <w:kinsoku/>
        <w:overflowPunct/>
        <w:topLinePunct w:val="0"/>
        <w:bidi w:val="0"/>
        <w:spacing w:line="360" w:lineRule="auto"/>
        <w:ind w:left="0" w:leftChars="0" w:firstLine="402" w:firstLineChars="200"/>
        <w:textAlignment w:val="auto"/>
        <w:rPr>
          <w:rFonts w:hint="eastAsia" w:ascii="方正仿宋_GB2312" w:hAnsi="方正仿宋_GB2312" w:eastAsia="方正仿宋_GB2312" w:cs="方正仿宋_GB2312"/>
          <w:b/>
          <w:color w:val="auto"/>
          <w:sz w:val="20"/>
          <w:szCs w:val="20"/>
          <w:highlight w:val="none"/>
        </w:rPr>
      </w:pPr>
      <w:r>
        <w:rPr>
          <w:rFonts w:hint="eastAsia" w:ascii="方正仿宋_GB2312" w:hAnsi="方正仿宋_GB2312" w:eastAsia="方正仿宋_GB2312" w:cs="方正仿宋_GB2312"/>
          <w:b/>
          <w:color w:val="auto"/>
          <w:sz w:val="20"/>
          <w:szCs w:val="20"/>
          <w:highlight w:val="none"/>
        </w:rPr>
        <w:t>十二、合同争议解决的方式</w:t>
      </w:r>
    </w:p>
    <w:p w14:paraId="7E265708">
      <w:pPr>
        <w:keepNext w:val="0"/>
        <w:keepLines w:val="0"/>
        <w:pageBreakBefore w:val="0"/>
        <w:tabs>
          <w:tab w:val="left" w:pos="480"/>
        </w:tabs>
        <w:kinsoku/>
        <w:overflowPunct/>
        <w:topLinePunct w:val="0"/>
        <w:bidi w:val="0"/>
        <w:spacing w:line="360" w:lineRule="auto"/>
        <w:ind w:left="0" w:leftChars="0" w:firstLine="42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仿宋_GB2312" w:hAnsi="仿宋_GB2312" w:eastAsia="仿宋_GB2312" w:cs="仿宋_GB2312"/>
        </w:rPr>
        <w:t>本合同在履行过程中发生的争议，由甲、乙双方当事人协商解决，协商不成的，向甲方所在地人民法院起诉。</w:t>
      </w:r>
      <w:r>
        <w:rPr>
          <w:rFonts w:hint="eastAsia" w:ascii="方正仿宋_GB2312" w:hAnsi="方正仿宋_GB2312" w:eastAsia="方正仿宋_GB2312" w:cs="方正仿宋_GB2312"/>
          <w:color w:val="auto"/>
          <w:sz w:val="20"/>
          <w:szCs w:val="20"/>
          <w:highlight w:val="none"/>
        </w:rPr>
        <w:t>。</w:t>
      </w:r>
    </w:p>
    <w:p w14:paraId="58D236B0">
      <w:pPr>
        <w:keepNext w:val="0"/>
        <w:keepLines w:val="0"/>
        <w:pageBreakBefore w:val="0"/>
        <w:kinsoku/>
        <w:overflowPunct/>
        <w:topLinePunct w:val="0"/>
        <w:bidi w:val="0"/>
        <w:spacing w:line="360" w:lineRule="auto"/>
        <w:ind w:left="0" w:leftChars="0" w:firstLine="322" w:firstLineChars="200"/>
        <w:textAlignment w:val="auto"/>
        <w:rPr>
          <w:rFonts w:hint="eastAsia" w:ascii="方正仿宋_GB2312" w:hAnsi="方正仿宋_GB2312" w:eastAsia="方正仿宋_GB2312" w:cs="方正仿宋_GB2312"/>
          <w:b/>
          <w:bCs/>
          <w:color w:val="auto"/>
          <w:spacing w:val="-20"/>
          <w:kern w:val="0"/>
          <w:sz w:val="20"/>
          <w:szCs w:val="20"/>
          <w:highlight w:val="none"/>
        </w:rPr>
      </w:pPr>
      <w:r>
        <w:rPr>
          <w:rFonts w:hint="eastAsia" w:ascii="方正仿宋_GB2312" w:hAnsi="方正仿宋_GB2312" w:eastAsia="方正仿宋_GB2312" w:cs="方正仿宋_GB2312"/>
          <w:b/>
          <w:bCs/>
          <w:color w:val="auto"/>
          <w:spacing w:val="-20"/>
          <w:kern w:val="0"/>
          <w:sz w:val="20"/>
          <w:szCs w:val="20"/>
          <w:highlight w:val="none"/>
        </w:rPr>
        <w:t>十三、合同变更</w:t>
      </w:r>
    </w:p>
    <w:p w14:paraId="0DC706AC">
      <w:pPr>
        <w:keepNext w:val="0"/>
        <w:keepLines w:val="0"/>
        <w:pageBreakBefore w:val="0"/>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本合同生效后，双方均不得擅自变更；确需变更的，双方应协商一致后签订书面变更协议，变更协议与本合同具有同等效力；但若双方就变更事项未达成一致意见的，仍应继续履行本合同，否则视为违约，应承担相应的违约责任。</w:t>
      </w:r>
    </w:p>
    <w:p w14:paraId="522DC612">
      <w:pPr>
        <w:keepNext w:val="0"/>
        <w:keepLines w:val="0"/>
        <w:pageBreakBefore w:val="0"/>
        <w:tabs>
          <w:tab w:val="left" w:pos="480"/>
        </w:tabs>
        <w:kinsoku/>
        <w:overflowPunct/>
        <w:topLinePunct w:val="0"/>
        <w:bidi w:val="0"/>
        <w:spacing w:line="360" w:lineRule="auto"/>
        <w:ind w:left="0" w:leftChars="0" w:firstLine="402" w:firstLineChars="200"/>
        <w:textAlignment w:val="auto"/>
        <w:rPr>
          <w:rFonts w:hint="eastAsia" w:ascii="方正仿宋_GB2312" w:hAnsi="方正仿宋_GB2312" w:eastAsia="方正仿宋_GB2312" w:cs="方正仿宋_GB2312"/>
          <w:b/>
          <w:color w:val="auto"/>
          <w:sz w:val="20"/>
          <w:szCs w:val="20"/>
          <w:highlight w:val="none"/>
        </w:rPr>
      </w:pPr>
      <w:r>
        <w:rPr>
          <w:rFonts w:hint="eastAsia" w:ascii="方正仿宋_GB2312" w:hAnsi="方正仿宋_GB2312" w:eastAsia="方正仿宋_GB2312" w:cs="方正仿宋_GB2312"/>
          <w:b/>
          <w:color w:val="auto"/>
          <w:sz w:val="20"/>
          <w:szCs w:val="20"/>
          <w:highlight w:val="none"/>
        </w:rPr>
        <w:t>十四、合同生效</w:t>
      </w:r>
    </w:p>
    <w:p w14:paraId="61066C6B">
      <w:pPr>
        <w:keepNext w:val="0"/>
        <w:keepLines w:val="0"/>
        <w:pageBreakBefore w:val="0"/>
        <w:tabs>
          <w:tab w:val="left" w:pos="480"/>
        </w:tabs>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（一） 本合同自甲乙双方签字盖章最终日期之日起生效。</w:t>
      </w:r>
    </w:p>
    <w:p w14:paraId="44BFEFA8">
      <w:pPr>
        <w:keepNext w:val="0"/>
        <w:keepLines w:val="0"/>
        <w:pageBreakBefore w:val="0"/>
        <w:tabs>
          <w:tab w:val="left" w:pos="480"/>
        </w:tabs>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（二）本合同一式陆份，甲方执伍份，乙方执壹份，具有同等效力</w:t>
      </w:r>
    </w:p>
    <w:p w14:paraId="06BC5613">
      <w:pPr>
        <w:keepNext w:val="0"/>
        <w:keepLines w:val="0"/>
        <w:pageBreakBefore w:val="0"/>
        <w:tabs>
          <w:tab w:val="left" w:pos="480"/>
        </w:tabs>
        <w:kinsoku/>
        <w:overflowPunct/>
        <w:topLinePunct w:val="0"/>
        <w:bidi w:val="0"/>
        <w:spacing w:line="360" w:lineRule="auto"/>
        <w:ind w:left="0" w:leftChars="0" w:firstLine="402" w:firstLineChars="200"/>
        <w:textAlignment w:val="auto"/>
        <w:rPr>
          <w:rFonts w:hint="eastAsia" w:ascii="方正仿宋_GB2312" w:hAnsi="方正仿宋_GB2312" w:eastAsia="方正仿宋_GB2312" w:cs="方正仿宋_GB2312"/>
          <w:b/>
          <w:color w:val="auto"/>
          <w:sz w:val="20"/>
          <w:szCs w:val="20"/>
          <w:highlight w:val="none"/>
        </w:rPr>
      </w:pPr>
      <w:r>
        <w:rPr>
          <w:rFonts w:hint="eastAsia" w:ascii="方正仿宋_GB2312" w:hAnsi="方正仿宋_GB2312" w:eastAsia="方正仿宋_GB2312" w:cs="方正仿宋_GB2312"/>
          <w:b/>
          <w:color w:val="auto"/>
          <w:sz w:val="20"/>
          <w:szCs w:val="20"/>
          <w:highlight w:val="none"/>
        </w:rPr>
        <w:t>十五、其他事项</w:t>
      </w:r>
    </w:p>
    <w:p w14:paraId="5F937A4F">
      <w:pPr>
        <w:keepNext w:val="0"/>
        <w:keepLines w:val="0"/>
        <w:pageBreakBefore w:val="0"/>
        <w:tabs>
          <w:tab w:val="left" w:pos="480"/>
        </w:tabs>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（一）西安市财政局政府采购管理处随时检查本合同的履行情况，对采购内容、标准进行调查核实，并对发现的问题进行处理。</w:t>
      </w:r>
    </w:p>
    <w:p w14:paraId="0FFFE4AD">
      <w:pPr>
        <w:keepNext w:val="0"/>
        <w:keepLines w:val="0"/>
        <w:pageBreakBefore w:val="0"/>
        <w:tabs>
          <w:tab w:val="left" w:pos="480"/>
        </w:tabs>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（二）</w:t>
      </w:r>
      <w:r>
        <w:rPr>
          <w:rFonts w:hint="eastAsia" w:ascii="方正仿宋_GB2312" w:hAnsi="方正仿宋_GB2312" w:eastAsia="方正仿宋_GB2312" w:cs="方正仿宋_GB2312"/>
          <w:color w:val="auto"/>
          <w:sz w:val="20"/>
          <w:szCs w:val="20"/>
          <w:highlight w:val="none"/>
          <w:lang w:val="en-US" w:eastAsia="zh-CN"/>
        </w:rPr>
        <w:t>谈判</w:t>
      </w:r>
      <w:r>
        <w:rPr>
          <w:rFonts w:hint="eastAsia" w:ascii="方正仿宋_GB2312" w:hAnsi="方正仿宋_GB2312" w:eastAsia="方正仿宋_GB2312" w:cs="方正仿宋_GB2312"/>
          <w:color w:val="auto"/>
          <w:sz w:val="20"/>
          <w:szCs w:val="20"/>
          <w:highlight w:val="none"/>
        </w:rPr>
        <w:t>文件、</w:t>
      </w:r>
      <w:r>
        <w:rPr>
          <w:rFonts w:hint="eastAsia" w:ascii="方正仿宋_GB2312" w:hAnsi="方正仿宋_GB2312" w:eastAsia="方正仿宋_GB2312" w:cs="方正仿宋_GB2312"/>
          <w:color w:val="auto"/>
          <w:sz w:val="20"/>
          <w:szCs w:val="20"/>
          <w:highlight w:val="none"/>
          <w:lang w:val="en-US" w:eastAsia="zh-CN"/>
        </w:rPr>
        <w:t>谈判</w:t>
      </w:r>
      <w:r>
        <w:rPr>
          <w:rFonts w:hint="eastAsia" w:ascii="方正仿宋_GB2312" w:hAnsi="方正仿宋_GB2312" w:eastAsia="方正仿宋_GB2312" w:cs="方正仿宋_GB2312"/>
          <w:color w:val="auto"/>
          <w:sz w:val="20"/>
          <w:szCs w:val="20"/>
          <w:highlight w:val="none"/>
        </w:rPr>
        <w:t>响应文件、澄清表（函）、成交通知书、合同附件均成为本合同不可分割的部分。</w:t>
      </w:r>
    </w:p>
    <w:p w14:paraId="4D93E351">
      <w:pPr>
        <w:keepNext w:val="0"/>
        <w:keepLines w:val="0"/>
        <w:pageBreakBefore w:val="0"/>
        <w:tabs>
          <w:tab w:val="left" w:pos="480"/>
        </w:tabs>
        <w:kinsoku/>
        <w:overflowPunct/>
        <w:topLinePunct w:val="0"/>
        <w:bidi w:val="0"/>
        <w:spacing w:line="360" w:lineRule="auto"/>
        <w:ind w:left="0" w:leftChars="0"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（三）本合同未尽事宜，由甲、乙双方协商一致后签订补充协议，补充协议与本合同具有同等法律效力。</w:t>
      </w:r>
    </w:p>
    <w:p w14:paraId="013C758C">
      <w:pPr>
        <w:pStyle w:val="7"/>
        <w:rPr>
          <w:rFonts w:hint="eastAsia" w:ascii="方正仿宋_GB2312" w:hAnsi="方正仿宋_GB2312" w:eastAsia="方正仿宋_GB2312" w:cs="方正仿宋_GB2312"/>
          <w:color w:val="auto"/>
          <w:sz w:val="20"/>
          <w:szCs w:val="20"/>
          <w:highlight w:val="none"/>
        </w:rPr>
      </w:pPr>
    </w:p>
    <w:p w14:paraId="269E2C5E">
      <w:pPr>
        <w:pStyle w:val="7"/>
        <w:rPr>
          <w:rFonts w:hint="eastAsia" w:ascii="方正仿宋_GB2312" w:hAnsi="方正仿宋_GB2312" w:eastAsia="方正仿宋_GB2312" w:cs="方正仿宋_GB2312"/>
          <w:color w:val="auto"/>
          <w:sz w:val="20"/>
          <w:szCs w:val="20"/>
          <w:highlight w:val="none"/>
        </w:rPr>
      </w:pPr>
    </w:p>
    <w:tbl>
      <w:tblPr>
        <w:tblStyle w:val="9"/>
        <w:tblW w:w="8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8"/>
        <w:gridCol w:w="4252"/>
      </w:tblGrid>
      <w:tr w14:paraId="4F225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4368" w:type="dxa"/>
            <w:tcBorders>
              <w:top w:val="single" w:color="auto" w:sz="4" w:space="0"/>
              <w:left w:val="single" w:color="auto" w:sz="4" w:space="0"/>
              <w:bottom w:val="single" w:color="auto" w:sz="4" w:space="0"/>
              <w:right w:val="single" w:color="auto" w:sz="4" w:space="0"/>
            </w:tcBorders>
          </w:tcPr>
          <w:p w14:paraId="19743C46">
            <w:pPr>
              <w:autoSpaceDE w:val="0"/>
              <w:autoSpaceDN w:val="0"/>
              <w:adjustRightInd w:val="0"/>
              <w:spacing w:line="360" w:lineRule="auto"/>
              <w:jc w:val="center"/>
              <w:rPr>
                <w:rFonts w:hint="eastAsia" w:ascii="方正仿宋_GB2312" w:hAnsi="方正仿宋_GB2312" w:eastAsia="方正仿宋_GB2312" w:cs="方正仿宋_GB2312"/>
                <w:color w:val="auto"/>
                <w:spacing w:val="-20"/>
                <w:kern w:val="0"/>
                <w:sz w:val="20"/>
                <w:szCs w:val="20"/>
                <w:highlight w:val="none"/>
              </w:rPr>
            </w:pPr>
            <w:r>
              <w:rPr>
                <w:rFonts w:hint="eastAsia" w:ascii="方正仿宋_GB2312" w:hAnsi="方正仿宋_GB2312" w:eastAsia="方正仿宋_GB2312" w:cs="方正仿宋_GB2312"/>
                <w:color w:val="auto"/>
                <w:spacing w:val="-20"/>
                <w:kern w:val="0"/>
                <w:sz w:val="20"/>
                <w:szCs w:val="20"/>
                <w:highlight w:val="none"/>
              </w:rPr>
              <w:t>甲  方</w:t>
            </w:r>
          </w:p>
        </w:tc>
        <w:tc>
          <w:tcPr>
            <w:tcW w:w="4252" w:type="dxa"/>
            <w:tcBorders>
              <w:top w:val="single" w:color="auto" w:sz="4" w:space="0"/>
              <w:left w:val="nil"/>
              <w:bottom w:val="single" w:color="auto" w:sz="4" w:space="0"/>
              <w:right w:val="single" w:color="auto" w:sz="4" w:space="0"/>
            </w:tcBorders>
          </w:tcPr>
          <w:p w14:paraId="7A2C0254">
            <w:pPr>
              <w:autoSpaceDE w:val="0"/>
              <w:autoSpaceDN w:val="0"/>
              <w:adjustRightInd w:val="0"/>
              <w:spacing w:line="360" w:lineRule="auto"/>
              <w:jc w:val="center"/>
              <w:rPr>
                <w:rFonts w:hint="eastAsia" w:ascii="方正仿宋_GB2312" w:hAnsi="方正仿宋_GB2312" w:eastAsia="方正仿宋_GB2312" w:cs="方正仿宋_GB2312"/>
                <w:color w:val="auto"/>
                <w:spacing w:val="-20"/>
                <w:kern w:val="0"/>
                <w:sz w:val="20"/>
                <w:szCs w:val="20"/>
                <w:highlight w:val="none"/>
              </w:rPr>
            </w:pPr>
            <w:r>
              <w:rPr>
                <w:rFonts w:hint="eastAsia" w:ascii="方正仿宋_GB2312" w:hAnsi="方正仿宋_GB2312" w:eastAsia="方正仿宋_GB2312" w:cs="方正仿宋_GB2312"/>
                <w:color w:val="auto"/>
                <w:spacing w:val="-20"/>
                <w:kern w:val="0"/>
                <w:sz w:val="20"/>
                <w:szCs w:val="20"/>
                <w:highlight w:val="none"/>
              </w:rPr>
              <w:t>乙  方</w:t>
            </w:r>
          </w:p>
        </w:tc>
      </w:tr>
      <w:tr w14:paraId="1FD3D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trPr>
        <w:tc>
          <w:tcPr>
            <w:tcW w:w="4368" w:type="dxa"/>
            <w:tcBorders>
              <w:top w:val="single" w:color="auto" w:sz="4" w:space="0"/>
              <w:left w:val="single" w:color="auto" w:sz="4" w:space="0"/>
              <w:bottom w:val="single" w:color="auto" w:sz="4" w:space="0"/>
              <w:right w:val="single" w:color="auto" w:sz="4" w:space="0"/>
            </w:tcBorders>
            <w:vAlign w:val="center"/>
          </w:tcPr>
          <w:p w14:paraId="49C63D74">
            <w:pPr>
              <w:autoSpaceDE w:val="0"/>
              <w:autoSpaceDN w:val="0"/>
              <w:adjustRightInd w:val="0"/>
              <w:spacing w:line="360" w:lineRule="auto"/>
              <w:ind w:firstLine="1520" w:firstLineChars="950"/>
              <w:jc w:val="both"/>
              <w:rPr>
                <w:rFonts w:hint="eastAsia" w:ascii="方正仿宋_GB2312" w:hAnsi="方正仿宋_GB2312" w:eastAsia="方正仿宋_GB2312" w:cs="方正仿宋_GB2312"/>
                <w:color w:val="auto"/>
                <w:spacing w:val="-20"/>
                <w:kern w:val="0"/>
                <w:sz w:val="20"/>
                <w:szCs w:val="20"/>
                <w:highlight w:val="none"/>
                <w:lang w:val="en-US" w:eastAsia="zh-CN"/>
              </w:rPr>
            </w:pPr>
            <w:r>
              <w:rPr>
                <w:rFonts w:hint="eastAsia" w:ascii="方正仿宋_GB2312" w:hAnsi="方正仿宋_GB2312" w:eastAsia="方正仿宋_GB2312" w:cs="方正仿宋_GB2312"/>
                <w:color w:val="auto"/>
                <w:spacing w:val="-20"/>
                <w:kern w:val="0"/>
                <w:sz w:val="20"/>
                <w:szCs w:val="20"/>
                <w:highlight w:val="none"/>
                <w:lang w:val="en-US" w:eastAsia="zh-CN"/>
              </w:rPr>
              <w:t>陕西省西安师范附属小学</w:t>
            </w:r>
          </w:p>
          <w:p w14:paraId="72A7C6EF">
            <w:pPr>
              <w:autoSpaceDE w:val="0"/>
              <w:autoSpaceDN w:val="0"/>
              <w:adjustRightInd w:val="0"/>
              <w:spacing w:line="360" w:lineRule="auto"/>
              <w:ind w:firstLine="1120" w:firstLineChars="700"/>
              <w:jc w:val="left"/>
              <w:rPr>
                <w:rFonts w:hint="eastAsia" w:ascii="方正仿宋_GB2312" w:hAnsi="方正仿宋_GB2312" w:eastAsia="方正仿宋_GB2312" w:cs="方正仿宋_GB2312"/>
                <w:color w:val="auto"/>
                <w:spacing w:val="-20"/>
                <w:kern w:val="0"/>
                <w:sz w:val="20"/>
                <w:szCs w:val="20"/>
                <w:highlight w:val="none"/>
              </w:rPr>
            </w:pPr>
            <w:r>
              <w:rPr>
                <w:rFonts w:hint="eastAsia" w:ascii="方正仿宋_GB2312" w:hAnsi="方正仿宋_GB2312" w:eastAsia="方正仿宋_GB2312" w:cs="方正仿宋_GB2312"/>
                <w:color w:val="auto"/>
                <w:spacing w:val="-20"/>
                <w:kern w:val="0"/>
                <w:sz w:val="20"/>
                <w:szCs w:val="20"/>
                <w:highlight w:val="none"/>
              </w:rPr>
              <w:t>（盖章）</w:t>
            </w:r>
          </w:p>
        </w:tc>
        <w:tc>
          <w:tcPr>
            <w:tcW w:w="4252" w:type="dxa"/>
            <w:tcBorders>
              <w:top w:val="single" w:color="auto" w:sz="4" w:space="0"/>
              <w:left w:val="nil"/>
              <w:bottom w:val="single" w:color="auto" w:sz="4" w:space="0"/>
              <w:right w:val="single" w:color="auto" w:sz="4" w:space="0"/>
            </w:tcBorders>
            <w:vAlign w:val="center"/>
          </w:tcPr>
          <w:p w14:paraId="327D0AD7">
            <w:pPr>
              <w:autoSpaceDE w:val="0"/>
              <w:autoSpaceDN w:val="0"/>
              <w:adjustRightInd w:val="0"/>
              <w:spacing w:line="400" w:lineRule="exact"/>
              <w:jc w:val="center"/>
              <w:rPr>
                <w:rFonts w:hint="eastAsia" w:ascii="方正仿宋_GB2312" w:hAnsi="方正仿宋_GB2312" w:eastAsia="方正仿宋_GB2312" w:cs="方正仿宋_GB2312"/>
                <w:color w:val="auto"/>
                <w:spacing w:val="-20"/>
                <w:kern w:val="0"/>
                <w:sz w:val="20"/>
                <w:szCs w:val="20"/>
                <w:highlight w:val="none"/>
              </w:rPr>
            </w:pPr>
            <w:r>
              <w:rPr>
                <w:rFonts w:hint="eastAsia" w:ascii="方正仿宋_GB2312" w:hAnsi="方正仿宋_GB2312" w:eastAsia="方正仿宋_GB2312" w:cs="方正仿宋_GB2312"/>
                <w:color w:val="auto"/>
                <w:spacing w:val="-20"/>
                <w:kern w:val="0"/>
                <w:sz w:val="20"/>
                <w:szCs w:val="20"/>
                <w:highlight w:val="none"/>
              </w:rPr>
              <w:t>成交供应商全称</w:t>
            </w:r>
          </w:p>
          <w:p w14:paraId="12C22C8B">
            <w:pPr>
              <w:autoSpaceDE w:val="0"/>
              <w:autoSpaceDN w:val="0"/>
              <w:adjustRightInd w:val="0"/>
              <w:spacing w:line="400" w:lineRule="exact"/>
              <w:ind w:firstLine="1120" w:firstLineChars="700"/>
              <w:jc w:val="left"/>
              <w:rPr>
                <w:rFonts w:hint="eastAsia" w:ascii="方正仿宋_GB2312" w:hAnsi="方正仿宋_GB2312" w:eastAsia="方正仿宋_GB2312" w:cs="方正仿宋_GB2312"/>
                <w:color w:val="auto"/>
                <w:spacing w:val="-20"/>
                <w:kern w:val="0"/>
                <w:sz w:val="20"/>
                <w:szCs w:val="20"/>
                <w:highlight w:val="none"/>
              </w:rPr>
            </w:pPr>
            <w:r>
              <w:rPr>
                <w:rFonts w:hint="eastAsia" w:ascii="方正仿宋_GB2312" w:hAnsi="方正仿宋_GB2312" w:eastAsia="方正仿宋_GB2312" w:cs="方正仿宋_GB2312"/>
                <w:color w:val="auto"/>
                <w:spacing w:val="-20"/>
                <w:kern w:val="0"/>
                <w:sz w:val="20"/>
                <w:szCs w:val="20"/>
                <w:highlight w:val="none"/>
              </w:rPr>
              <w:t>（盖章）</w:t>
            </w:r>
          </w:p>
        </w:tc>
      </w:tr>
      <w:tr w14:paraId="6C442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4368" w:type="dxa"/>
            <w:tcBorders>
              <w:top w:val="single" w:color="auto" w:sz="4" w:space="0"/>
              <w:left w:val="single" w:color="auto" w:sz="4" w:space="0"/>
              <w:bottom w:val="single" w:color="auto" w:sz="4" w:space="0"/>
              <w:right w:val="single" w:color="auto" w:sz="4" w:space="0"/>
            </w:tcBorders>
          </w:tcPr>
          <w:p w14:paraId="0A342587">
            <w:pPr>
              <w:autoSpaceDE w:val="0"/>
              <w:autoSpaceDN w:val="0"/>
              <w:adjustRightInd w:val="0"/>
              <w:spacing w:line="600" w:lineRule="exact"/>
              <w:jc w:val="left"/>
              <w:rPr>
                <w:rFonts w:hint="eastAsia" w:ascii="方正仿宋_GB2312" w:hAnsi="方正仿宋_GB2312" w:eastAsia="方正仿宋_GB2312" w:cs="方正仿宋_GB2312"/>
                <w:color w:val="auto"/>
                <w:spacing w:val="-20"/>
                <w:kern w:val="0"/>
                <w:sz w:val="20"/>
                <w:szCs w:val="20"/>
                <w:highlight w:val="none"/>
              </w:rPr>
            </w:pPr>
            <w:r>
              <w:rPr>
                <w:rFonts w:hint="eastAsia" w:ascii="方正仿宋_GB2312" w:hAnsi="方正仿宋_GB2312" w:eastAsia="方正仿宋_GB2312" w:cs="方正仿宋_GB2312"/>
                <w:color w:val="auto"/>
                <w:spacing w:val="-20"/>
                <w:kern w:val="0"/>
                <w:sz w:val="20"/>
                <w:szCs w:val="20"/>
                <w:highlight w:val="none"/>
              </w:rPr>
              <w:t xml:space="preserve">地址： </w:t>
            </w:r>
          </w:p>
        </w:tc>
        <w:tc>
          <w:tcPr>
            <w:tcW w:w="4252" w:type="dxa"/>
            <w:tcBorders>
              <w:top w:val="single" w:color="auto" w:sz="4" w:space="0"/>
              <w:left w:val="nil"/>
              <w:bottom w:val="single" w:color="auto" w:sz="4" w:space="0"/>
              <w:right w:val="single" w:color="auto" w:sz="4" w:space="0"/>
            </w:tcBorders>
          </w:tcPr>
          <w:p w14:paraId="254CC4ED">
            <w:pPr>
              <w:autoSpaceDE w:val="0"/>
              <w:autoSpaceDN w:val="0"/>
              <w:adjustRightInd w:val="0"/>
              <w:spacing w:line="600" w:lineRule="exact"/>
              <w:jc w:val="left"/>
              <w:rPr>
                <w:rFonts w:hint="eastAsia" w:ascii="方正仿宋_GB2312" w:hAnsi="方正仿宋_GB2312" w:eastAsia="方正仿宋_GB2312" w:cs="方正仿宋_GB2312"/>
                <w:color w:val="auto"/>
                <w:spacing w:val="-20"/>
                <w:kern w:val="0"/>
                <w:sz w:val="20"/>
                <w:szCs w:val="20"/>
                <w:highlight w:val="none"/>
              </w:rPr>
            </w:pPr>
            <w:r>
              <w:rPr>
                <w:rFonts w:hint="eastAsia" w:ascii="方正仿宋_GB2312" w:hAnsi="方正仿宋_GB2312" w:eastAsia="方正仿宋_GB2312" w:cs="方正仿宋_GB2312"/>
                <w:color w:val="auto"/>
                <w:spacing w:val="-20"/>
                <w:kern w:val="0"/>
                <w:sz w:val="20"/>
                <w:szCs w:val="20"/>
                <w:highlight w:val="none"/>
              </w:rPr>
              <w:t>地址：</w:t>
            </w:r>
          </w:p>
        </w:tc>
      </w:tr>
      <w:tr w14:paraId="477A1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4368" w:type="dxa"/>
            <w:tcBorders>
              <w:top w:val="single" w:color="auto" w:sz="4" w:space="0"/>
              <w:left w:val="single" w:color="auto" w:sz="4" w:space="0"/>
              <w:bottom w:val="single" w:color="auto" w:sz="4" w:space="0"/>
              <w:right w:val="single" w:color="auto" w:sz="4" w:space="0"/>
            </w:tcBorders>
          </w:tcPr>
          <w:p w14:paraId="6F36A177">
            <w:pPr>
              <w:autoSpaceDE w:val="0"/>
              <w:autoSpaceDN w:val="0"/>
              <w:adjustRightInd w:val="0"/>
              <w:spacing w:line="600" w:lineRule="exact"/>
              <w:jc w:val="left"/>
              <w:rPr>
                <w:rFonts w:hint="eastAsia" w:ascii="方正仿宋_GB2312" w:hAnsi="方正仿宋_GB2312" w:eastAsia="方正仿宋_GB2312" w:cs="方正仿宋_GB2312"/>
                <w:color w:val="auto"/>
                <w:spacing w:val="-20"/>
                <w:kern w:val="0"/>
                <w:sz w:val="20"/>
                <w:szCs w:val="20"/>
                <w:highlight w:val="none"/>
              </w:rPr>
            </w:pPr>
            <w:r>
              <w:rPr>
                <w:rFonts w:hint="eastAsia" w:ascii="方正仿宋_GB2312" w:hAnsi="方正仿宋_GB2312" w:eastAsia="方正仿宋_GB2312" w:cs="方正仿宋_GB2312"/>
                <w:color w:val="auto"/>
                <w:spacing w:val="-20"/>
                <w:kern w:val="0"/>
                <w:sz w:val="20"/>
                <w:szCs w:val="20"/>
                <w:highlight w:val="none"/>
              </w:rPr>
              <w:t>邮编：</w:t>
            </w:r>
          </w:p>
        </w:tc>
        <w:tc>
          <w:tcPr>
            <w:tcW w:w="4252" w:type="dxa"/>
            <w:tcBorders>
              <w:top w:val="single" w:color="auto" w:sz="4" w:space="0"/>
              <w:left w:val="nil"/>
              <w:bottom w:val="single" w:color="auto" w:sz="4" w:space="0"/>
              <w:right w:val="single" w:color="auto" w:sz="4" w:space="0"/>
            </w:tcBorders>
          </w:tcPr>
          <w:p w14:paraId="1D288017">
            <w:pPr>
              <w:autoSpaceDE w:val="0"/>
              <w:autoSpaceDN w:val="0"/>
              <w:adjustRightInd w:val="0"/>
              <w:spacing w:line="600" w:lineRule="exact"/>
              <w:jc w:val="left"/>
              <w:rPr>
                <w:rFonts w:hint="eastAsia" w:ascii="方正仿宋_GB2312" w:hAnsi="方正仿宋_GB2312" w:eastAsia="方正仿宋_GB2312" w:cs="方正仿宋_GB2312"/>
                <w:color w:val="auto"/>
                <w:spacing w:val="-20"/>
                <w:kern w:val="0"/>
                <w:sz w:val="20"/>
                <w:szCs w:val="20"/>
                <w:highlight w:val="none"/>
              </w:rPr>
            </w:pPr>
            <w:r>
              <w:rPr>
                <w:rFonts w:hint="eastAsia" w:ascii="方正仿宋_GB2312" w:hAnsi="方正仿宋_GB2312" w:eastAsia="方正仿宋_GB2312" w:cs="方正仿宋_GB2312"/>
                <w:color w:val="auto"/>
                <w:spacing w:val="-20"/>
                <w:kern w:val="0"/>
                <w:sz w:val="20"/>
                <w:szCs w:val="20"/>
                <w:highlight w:val="none"/>
              </w:rPr>
              <w:t>邮编：</w:t>
            </w:r>
          </w:p>
        </w:tc>
      </w:tr>
      <w:tr w14:paraId="5A44B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4368" w:type="dxa"/>
            <w:tcBorders>
              <w:top w:val="single" w:color="auto" w:sz="4" w:space="0"/>
              <w:left w:val="single" w:color="auto" w:sz="4" w:space="0"/>
              <w:bottom w:val="single" w:color="auto" w:sz="4" w:space="0"/>
              <w:right w:val="single" w:color="auto" w:sz="4" w:space="0"/>
            </w:tcBorders>
          </w:tcPr>
          <w:p w14:paraId="42D6C34A">
            <w:pPr>
              <w:autoSpaceDE w:val="0"/>
              <w:autoSpaceDN w:val="0"/>
              <w:adjustRightInd w:val="0"/>
              <w:spacing w:line="600" w:lineRule="exact"/>
              <w:jc w:val="left"/>
              <w:rPr>
                <w:rFonts w:hint="eastAsia" w:ascii="方正仿宋_GB2312" w:hAnsi="方正仿宋_GB2312" w:eastAsia="方正仿宋_GB2312" w:cs="方正仿宋_GB2312"/>
                <w:color w:val="auto"/>
                <w:spacing w:val="-20"/>
                <w:kern w:val="0"/>
                <w:sz w:val="20"/>
                <w:szCs w:val="20"/>
                <w:highlight w:val="none"/>
              </w:rPr>
            </w:pPr>
            <w:r>
              <w:rPr>
                <w:rFonts w:hint="eastAsia" w:ascii="方正仿宋_GB2312" w:hAnsi="方正仿宋_GB2312" w:eastAsia="方正仿宋_GB2312" w:cs="方正仿宋_GB2312"/>
                <w:color w:val="auto"/>
                <w:spacing w:val="-20"/>
                <w:kern w:val="0"/>
                <w:sz w:val="20"/>
                <w:szCs w:val="20"/>
                <w:highlight w:val="none"/>
              </w:rPr>
              <w:t xml:space="preserve">承办人：（签字） </w:t>
            </w:r>
          </w:p>
        </w:tc>
        <w:tc>
          <w:tcPr>
            <w:tcW w:w="4252" w:type="dxa"/>
            <w:tcBorders>
              <w:top w:val="single" w:color="auto" w:sz="4" w:space="0"/>
              <w:left w:val="nil"/>
              <w:bottom w:val="single" w:color="auto" w:sz="4" w:space="0"/>
              <w:right w:val="single" w:color="auto" w:sz="4" w:space="0"/>
            </w:tcBorders>
          </w:tcPr>
          <w:p w14:paraId="17CF64EB">
            <w:pPr>
              <w:autoSpaceDE w:val="0"/>
              <w:autoSpaceDN w:val="0"/>
              <w:adjustRightInd w:val="0"/>
              <w:spacing w:line="600" w:lineRule="exact"/>
              <w:jc w:val="left"/>
              <w:rPr>
                <w:rFonts w:hint="eastAsia" w:ascii="方正仿宋_GB2312" w:hAnsi="方正仿宋_GB2312" w:eastAsia="方正仿宋_GB2312" w:cs="方正仿宋_GB2312"/>
                <w:color w:val="auto"/>
                <w:spacing w:val="-20"/>
                <w:kern w:val="0"/>
                <w:sz w:val="20"/>
                <w:szCs w:val="20"/>
                <w:highlight w:val="none"/>
              </w:rPr>
            </w:pPr>
            <w:r>
              <w:rPr>
                <w:rFonts w:hint="eastAsia" w:ascii="方正仿宋_GB2312" w:hAnsi="方正仿宋_GB2312" w:eastAsia="方正仿宋_GB2312" w:cs="方正仿宋_GB2312"/>
                <w:color w:val="auto"/>
                <w:spacing w:val="-20"/>
                <w:kern w:val="0"/>
                <w:sz w:val="20"/>
                <w:szCs w:val="20"/>
                <w:highlight w:val="none"/>
              </w:rPr>
              <w:t>被授权代表：（签字）</w:t>
            </w:r>
          </w:p>
        </w:tc>
      </w:tr>
      <w:tr w14:paraId="1CB0D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368" w:type="dxa"/>
            <w:tcBorders>
              <w:top w:val="single" w:color="auto" w:sz="4" w:space="0"/>
              <w:left w:val="single" w:color="auto" w:sz="4" w:space="0"/>
              <w:bottom w:val="single" w:color="auto" w:sz="4" w:space="0"/>
              <w:right w:val="single" w:color="auto" w:sz="4" w:space="0"/>
            </w:tcBorders>
          </w:tcPr>
          <w:p w14:paraId="7F4F866D">
            <w:pPr>
              <w:autoSpaceDE w:val="0"/>
              <w:autoSpaceDN w:val="0"/>
              <w:adjustRightInd w:val="0"/>
              <w:spacing w:line="600" w:lineRule="exact"/>
              <w:jc w:val="left"/>
              <w:rPr>
                <w:rFonts w:hint="eastAsia" w:ascii="方正仿宋_GB2312" w:hAnsi="方正仿宋_GB2312" w:eastAsia="方正仿宋_GB2312" w:cs="方正仿宋_GB2312"/>
                <w:color w:val="auto"/>
                <w:spacing w:val="-20"/>
                <w:kern w:val="0"/>
                <w:sz w:val="20"/>
                <w:szCs w:val="20"/>
                <w:highlight w:val="none"/>
              </w:rPr>
            </w:pPr>
            <w:r>
              <w:rPr>
                <w:rFonts w:hint="eastAsia" w:ascii="方正仿宋_GB2312" w:hAnsi="方正仿宋_GB2312" w:eastAsia="方正仿宋_GB2312" w:cs="方正仿宋_GB2312"/>
                <w:color w:val="auto"/>
                <w:spacing w:val="-20"/>
                <w:kern w:val="0"/>
                <w:sz w:val="20"/>
                <w:szCs w:val="20"/>
                <w:highlight w:val="none"/>
              </w:rPr>
              <w:t>法定代表人或委托代理人</w:t>
            </w:r>
          </w:p>
          <w:p w14:paraId="7B267BF9">
            <w:pPr>
              <w:autoSpaceDE w:val="0"/>
              <w:autoSpaceDN w:val="0"/>
              <w:adjustRightInd w:val="0"/>
              <w:spacing w:line="600" w:lineRule="exact"/>
              <w:jc w:val="left"/>
              <w:rPr>
                <w:rFonts w:hint="eastAsia" w:ascii="方正仿宋_GB2312" w:hAnsi="方正仿宋_GB2312" w:eastAsia="方正仿宋_GB2312" w:cs="方正仿宋_GB2312"/>
                <w:color w:val="auto"/>
                <w:spacing w:val="-20"/>
                <w:kern w:val="0"/>
                <w:sz w:val="20"/>
                <w:szCs w:val="20"/>
                <w:highlight w:val="none"/>
              </w:rPr>
            </w:pPr>
            <w:r>
              <w:rPr>
                <w:rFonts w:hint="eastAsia" w:ascii="方正仿宋_GB2312" w:hAnsi="方正仿宋_GB2312" w:eastAsia="方正仿宋_GB2312" w:cs="方正仿宋_GB2312"/>
                <w:color w:val="auto"/>
                <w:spacing w:val="-20"/>
                <w:kern w:val="0"/>
                <w:sz w:val="20"/>
                <w:szCs w:val="20"/>
                <w:highlight w:val="none"/>
              </w:rPr>
              <w:t>（主管院长）：（签字）</w:t>
            </w:r>
          </w:p>
        </w:tc>
        <w:tc>
          <w:tcPr>
            <w:tcW w:w="4252" w:type="dxa"/>
            <w:tcBorders>
              <w:top w:val="single" w:color="auto" w:sz="4" w:space="0"/>
              <w:left w:val="nil"/>
              <w:bottom w:val="single" w:color="auto" w:sz="4" w:space="0"/>
              <w:right w:val="single" w:color="auto" w:sz="4" w:space="0"/>
            </w:tcBorders>
          </w:tcPr>
          <w:p w14:paraId="54656CE1">
            <w:pPr>
              <w:autoSpaceDE w:val="0"/>
              <w:autoSpaceDN w:val="0"/>
              <w:adjustRightInd w:val="0"/>
              <w:spacing w:line="600" w:lineRule="exact"/>
              <w:jc w:val="left"/>
              <w:rPr>
                <w:rFonts w:hint="eastAsia" w:ascii="方正仿宋_GB2312" w:hAnsi="方正仿宋_GB2312" w:eastAsia="方正仿宋_GB2312" w:cs="方正仿宋_GB2312"/>
                <w:color w:val="auto"/>
                <w:spacing w:val="-20"/>
                <w:kern w:val="0"/>
                <w:sz w:val="20"/>
                <w:szCs w:val="20"/>
                <w:highlight w:val="none"/>
              </w:rPr>
            </w:pPr>
            <w:r>
              <w:rPr>
                <w:rFonts w:hint="eastAsia" w:ascii="方正仿宋_GB2312" w:hAnsi="方正仿宋_GB2312" w:eastAsia="方正仿宋_GB2312" w:cs="方正仿宋_GB2312"/>
                <w:color w:val="auto"/>
                <w:spacing w:val="-20"/>
                <w:kern w:val="0"/>
                <w:sz w:val="20"/>
                <w:szCs w:val="20"/>
                <w:highlight w:val="none"/>
              </w:rPr>
              <w:t>法定代表人：（签字）</w:t>
            </w:r>
          </w:p>
        </w:tc>
      </w:tr>
      <w:tr w14:paraId="42BAF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368" w:type="dxa"/>
            <w:tcBorders>
              <w:top w:val="single" w:color="auto" w:sz="4" w:space="0"/>
              <w:left w:val="single" w:color="auto" w:sz="4" w:space="0"/>
              <w:bottom w:val="single" w:color="auto" w:sz="4" w:space="0"/>
              <w:right w:val="single" w:color="auto" w:sz="4" w:space="0"/>
            </w:tcBorders>
          </w:tcPr>
          <w:p w14:paraId="0D307728">
            <w:pPr>
              <w:autoSpaceDE w:val="0"/>
              <w:autoSpaceDN w:val="0"/>
              <w:adjustRightInd w:val="0"/>
              <w:spacing w:line="600" w:lineRule="exact"/>
              <w:jc w:val="left"/>
              <w:rPr>
                <w:rFonts w:hint="eastAsia" w:ascii="方正仿宋_GB2312" w:hAnsi="方正仿宋_GB2312" w:eastAsia="方正仿宋_GB2312" w:cs="方正仿宋_GB2312"/>
                <w:color w:val="auto"/>
                <w:spacing w:val="-20"/>
                <w:kern w:val="0"/>
                <w:sz w:val="20"/>
                <w:szCs w:val="20"/>
                <w:highlight w:val="none"/>
              </w:rPr>
            </w:pPr>
            <w:r>
              <w:rPr>
                <w:rFonts w:hint="eastAsia" w:ascii="方正仿宋_GB2312" w:hAnsi="方正仿宋_GB2312" w:eastAsia="方正仿宋_GB2312" w:cs="方正仿宋_GB2312"/>
                <w:color w:val="auto"/>
                <w:spacing w:val="-20"/>
                <w:kern w:val="0"/>
                <w:sz w:val="20"/>
                <w:szCs w:val="20"/>
                <w:highlight w:val="none"/>
              </w:rPr>
              <w:t>电话：</w:t>
            </w:r>
          </w:p>
        </w:tc>
        <w:tc>
          <w:tcPr>
            <w:tcW w:w="4252" w:type="dxa"/>
            <w:tcBorders>
              <w:top w:val="single" w:color="auto" w:sz="4" w:space="0"/>
              <w:left w:val="nil"/>
              <w:bottom w:val="single" w:color="auto" w:sz="4" w:space="0"/>
              <w:right w:val="single" w:color="auto" w:sz="4" w:space="0"/>
            </w:tcBorders>
          </w:tcPr>
          <w:p w14:paraId="3A58D5A5">
            <w:pPr>
              <w:autoSpaceDE w:val="0"/>
              <w:autoSpaceDN w:val="0"/>
              <w:adjustRightInd w:val="0"/>
              <w:spacing w:line="600" w:lineRule="exact"/>
              <w:jc w:val="left"/>
              <w:rPr>
                <w:rFonts w:hint="eastAsia" w:ascii="方正仿宋_GB2312" w:hAnsi="方正仿宋_GB2312" w:eastAsia="方正仿宋_GB2312" w:cs="方正仿宋_GB2312"/>
                <w:color w:val="auto"/>
                <w:spacing w:val="-20"/>
                <w:kern w:val="0"/>
                <w:sz w:val="20"/>
                <w:szCs w:val="20"/>
                <w:highlight w:val="none"/>
              </w:rPr>
            </w:pPr>
            <w:r>
              <w:rPr>
                <w:rFonts w:hint="eastAsia" w:ascii="方正仿宋_GB2312" w:hAnsi="方正仿宋_GB2312" w:eastAsia="方正仿宋_GB2312" w:cs="方正仿宋_GB2312"/>
                <w:color w:val="auto"/>
                <w:spacing w:val="-20"/>
                <w:kern w:val="0"/>
                <w:sz w:val="20"/>
                <w:szCs w:val="20"/>
                <w:highlight w:val="none"/>
              </w:rPr>
              <w:t>电话：</w:t>
            </w:r>
          </w:p>
        </w:tc>
      </w:tr>
      <w:tr w14:paraId="1809C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4368" w:type="dxa"/>
            <w:tcBorders>
              <w:top w:val="single" w:color="auto" w:sz="4" w:space="0"/>
              <w:left w:val="single" w:color="auto" w:sz="4" w:space="0"/>
              <w:bottom w:val="single" w:color="auto" w:sz="4" w:space="0"/>
              <w:right w:val="single" w:color="auto" w:sz="4" w:space="0"/>
            </w:tcBorders>
          </w:tcPr>
          <w:p w14:paraId="1D96549A">
            <w:pPr>
              <w:autoSpaceDE w:val="0"/>
              <w:autoSpaceDN w:val="0"/>
              <w:adjustRightInd w:val="0"/>
              <w:spacing w:line="600" w:lineRule="exact"/>
              <w:jc w:val="left"/>
              <w:rPr>
                <w:rFonts w:hint="eastAsia" w:ascii="方正仿宋_GB2312" w:hAnsi="方正仿宋_GB2312" w:eastAsia="方正仿宋_GB2312" w:cs="方正仿宋_GB2312"/>
                <w:color w:val="auto"/>
                <w:spacing w:val="-20"/>
                <w:kern w:val="0"/>
                <w:sz w:val="20"/>
                <w:szCs w:val="20"/>
                <w:highlight w:val="none"/>
              </w:rPr>
            </w:pPr>
            <w:r>
              <w:rPr>
                <w:rFonts w:hint="eastAsia" w:ascii="方正仿宋_GB2312" w:hAnsi="方正仿宋_GB2312" w:eastAsia="方正仿宋_GB2312" w:cs="方正仿宋_GB2312"/>
                <w:color w:val="auto"/>
                <w:spacing w:val="-20"/>
                <w:kern w:val="0"/>
                <w:sz w:val="20"/>
                <w:szCs w:val="20"/>
                <w:highlight w:val="none"/>
              </w:rPr>
              <w:t>开户银行：</w:t>
            </w:r>
          </w:p>
        </w:tc>
        <w:tc>
          <w:tcPr>
            <w:tcW w:w="4252" w:type="dxa"/>
            <w:tcBorders>
              <w:top w:val="single" w:color="auto" w:sz="4" w:space="0"/>
              <w:left w:val="nil"/>
              <w:bottom w:val="single" w:color="auto" w:sz="4" w:space="0"/>
              <w:right w:val="single" w:color="auto" w:sz="4" w:space="0"/>
            </w:tcBorders>
          </w:tcPr>
          <w:p w14:paraId="202CB938">
            <w:pPr>
              <w:autoSpaceDE w:val="0"/>
              <w:autoSpaceDN w:val="0"/>
              <w:adjustRightInd w:val="0"/>
              <w:spacing w:line="600" w:lineRule="exact"/>
              <w:jc w:val="left"/>
              <w:rPr>
                <w:rFonts w:hint="eastAsia" w:ascii="方正仿宋_GB2312" w:hAnsi="方正仿宋_GB2312" w:eastAsia="方正仿宋_GB2312" w:cs="方正仿宋_GB2312"/>
                <w:color w:val="auto"/>
                <w:spacing w:val="-20"/>
                <w:kern w:val="0"/>
                <w:sz w:val="20"/>
                <w:szCs w:val="20"/>
                <w:highlight w:val="none"/>
              </w:rPr>
            </w:pPr>
            <w:r>
              <w:rPr>
                <w:rFonts w:hint="eastAsia" w:ascii="方正仿宋_GB2312" w:hAnsi="方正仿宋_GB2312" w:eastAsia="方正仿宋_GB2312" w:cs="方正仿宋_GB2312"/>
                <w:color w:val="auto"/>
                <w:spacing w:val="-20"/>
                <w:kern w:val="0"/>
                <w:sz w:val="20"/>
                <w:szCs w:val="20"/>
                <w:highlight w:val="none"/>
              </w:rPr>
              <w:t>开户银行：</w:t>
            </w:r>
          </w:p>
        </w:tc>
      </w:tr>
      <w:tr w14:paraId="39DB1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368" w:type="dxa"/>
            <w:tcBorders>
              <w:top w:val="single" w:color="auto" w:sz="4" w:space="0"/>
              <w:left w:val="single" w:color="auto" w:sz="4" w:space="0"/>
              <w:bottom w:val="single" w:color="auto" w:sz="4" w:space="0"/>
              <w:right w:val="single" w:color="auto" w:sz="4" w:space="0"/>
            </w:tcBorders>
          </w:tcPr>
          <w:p w14:paraId="5FA8EF12">
            <w:pPr>
              <w:autoSpaceDE w:val="0"/>
              <w:autoSpaceDN w:val="0"/>
              <w:adjustRightInd w:val="0"/>
              <w:spacing w:line="600" w:lineRule="exact"/>
              <w:jc w:val="left"/>
              <w:rPr>
                <w:rFonts w:hint="eastAsia" w:ascii="方正仿宋_GB2312" w:hAnsi="方正仿宋_GB2312" w:eastAsia="方正仿宋_GB2312" w:cs="方正仿宋_GB2312"/>
                <w:color w:val="auto"/>
                <w:spacing w:val="-20"/>
                <w:kern w:val="0"/>
                <w:sz w:val="20"/>
                <w:szCs w:val="20"/>
                <w:highlight w:val="none"/>
              </w:rPr>
            </w:pPr>
            <w:r>
              <w:rPr>
                <w:rFonts w:hint="eastAsia" w:ascii="方正仿宋_GB2312" w:hAnsi="方正仿宋_GB2312" w:eastAsia="方正仿宋_GB2312" w:cs="方正仿宋_GB2312"/>
                <w:color w:val="auto"/>
                <w:spacing w:val="-20"/>
                <w:kern w:val="0"/>
                <w:sz w:val="20"/>
                <w:szCs w:val="20"/>
                <w:highlight w:val="none"/>
              </w:rPr>
              <w:t>帐号：</w:t>
            </w:r>
          </w:p>
        </w:tc>
        <w:tc>
          <w:tcPr>
            <w:tcW w:w="4252" w:type="dxa"/>
            <w:tcBorders>
              <w:top w:val="single" w:color="auto" w:sz="4" w:space="0"/>
              <w:left w:val="nil"/>
              <w:bottom w:val="single" w:color="auto" w:sz="4" w:space="0"/>
              <w:right w:val="single" w:color="auto" w:sz="4" w:space="0"/>
            </w:tcBorders>
          </w:tcPr>
          <w:p w14:paraId="5C0CECA0">
            <w:pPr>
              <w:autoSpaceDE w:val="0"/>
              <w:autoSpaceDN w:val="0"/>
              <w:adjustRightInd w:val="0"/>
              <w:spacing w:line="600" w:lineRule="exact"/>
              <w:jc w:val="left"/>
              <w:rPr>
                <w:rFonts w:hint="eastAsia" w:ascii="方正仿宋_GB2312" w:hAnsi="方正仿宋_GB2312" w:eastAsia="方正仿宋_GB2312" w:cs="方正仿宋_GB2312"/>
                <w:color w:val="auto"/>
                <w:spacing w:val="-20"/>
                <w:kern w:val="0"/>
                <w:sz w:val="20"/>
                <w:szCs w:val="20"/>
                <w:highlight w:val="none"/>
              </w:rPr>
            </w:pPr>
            <w:r>
              <w:rPr>
                <w:rFonts w:hint="eastAsia" w:ascii="方正仿宋_GB2312" w:hAnsi="方正仿宋_GB2312" w:eastAsia="方正仿宋_GB2312" w:cs="方正仿宋_GB2312"/>
                <w:color w:val="auto"/>
                <w:spacing w:val="-20"/>
                <w:kern w:val="0"/>
                <w:sz w:val="20"/>
                <w:szCs w:val="20"/>
                <w:highlight w:val="none"/>
              </w:rPr>
              <w:t>帐号：</w:t>
            </w:r>
          </w:p>
        </w:tc>
      </w:tr>
      <w:tr w14:paraId="3C4C1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368" w:type="dxa"/>
            <w:tcBorders>
              <w:top w:val="single" w:color="auto" w:sz="4" w:space="0"/>
              <w:left w:val="single" w:color="auto" w:sz="4" w:space="0"/>
              <w:bottom w:val="single" w:color="auto" w:sz="4" w:space="0"/>
              <w:right w:val="single" w:color="auto" w:sz="4" w:space="0"/>
            </w:tcBorders>
          </w:tcPr>
          <w:p w14:paraId="13FF9780">
            <w:pPr>
              <w:autoSpaceDE w:val="0"/>
              <w:autoSpaceDN w:val="0"/>
              <w:adjustRightInd w:val="0"/>
              <w:spacing w:line="600" w:lineRule="exact"/>
              <w:jc w:val="left"/>
              <w:rPr>
                <w:rFonts w:hint="eastAsia" w:ascii="方正仿宋_GB2312" w:hAnsi="方正仿宋_GB2312" w:eastAsia="方正仿宋_GB2312" w:cs="方正仿宋_GB2312"/>
                <w:color w:val="auto"/>
                <w:spacing w:val="-20"/>
                <w:kern w:val="0"/>
                <w:sz w:val="20"/>
                <w:szCs w:val="20"/>
                <w:highlight w:val="none"/>
              </w:rPr>
            </w:pPr>
            <w:r>
              <w:rPr>
                <w:rFonts w:hint="eastAsia" w:ascii="方正仿宋_GB2312" w:hAnsi="方正仿宋_GB2312" w:eastAsia="方正仿宋_GB2312" w:cs="方正仿宋_GB2312"/>
                <w:color w:val="auto"/>
                <w:spacing w:val="-20"/>
                <w:kern w:val="0"/>
                <w:sz w:val="20"/>
                <w:szCs w:val="20"/>
                <w:highlight w:val="none"/>
              </w:rPr>
              <w:t>日期：   年   月   日</w:t>
            </w:r>
          </w:p>
        </w:tc>
        <w:tc>
          <w:tcPr>
            <w:tcW w:w="4252" w:type="dxa"/>
            <w:tcBorders>
              <w:top w:val="single" w:color="auto" w:sz="4" w:space="0"/>
              <w:left w:val="nil"/>
              <w:bottom w:val="single" w:color="auto" w:sz="4" w:space="0"/>
              <w:right w:val="single" w:color="auto" w:sz="4" w:space="0"/>
            </w:tcBorders>
          </w:tcPr>
          <w:p w14:paraId="0B57304D">
            <w:pPr>
              <w:autoSpaceDE w:val="0"/>
              <w:autoSpaceDN w:val="0"/>
              <w:adjustRightInd w:val="0"/>
              <w:spacing w:line="600" w:lineRule="exact"/>
              <w:jc w:val="left"/>
              <w:rPr>
                <w:rFonts w:hint="eastAsia" w:ascii="方正仿宋_GB2312" w:hAnsi="方正仿宋_GB2312" w:eastAsia="方正仿宋_GB2312" w:cs="方正仿宋_GB2312"/>
                <w:color w:val="auto"/>
                <w:spacing w:val="-20"/>
                <w:kern w:val="0"/>
                <w:sz w:val="20"/>
                <w:szCs w:val="20"/>
                <w:highlight w:val="none"/>
              </w:rPr>
            </w:pPr>
            <w:r>
              <w:rPr>
                <w:rFonts w:hint="eastAsia" w:ascii="方正仿宋_GB2312" w:hAnsi="方正仿宋_GB2312" w:eastAsia="方正仿宋_GB2312" w:cs="方正仿宋_GB2312"/>
                <w:color w:val="auto"/>
                <w:spacing w:val="-20"/>
                <w:kern w:val="0"/>
                <w:sz w:val="20"/>
                <w:szCs w:val="20"/>
                <w:highlight w:val="none"/>
              </w:rPr>
              <w:t>日期：   年   月   日</w:t>
            </w:r>
          </w:p>
        </w:tc>
      </w:tr>
    </w:tbl>
    <w:p w14:paraId="5A487FD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1" w:fontKey="{82E4DCA7-852F-47B8-A49B-75787663B47D}"/>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方正仿宋_GB2312">
    <w:panose1 w:val="02000000000000000000"/>
    <w:charset w:val="86"/>
    <w:family w:val="auto"/>
    <w:pitch w:val="default"/>
    <w:sig w:usb0="A00002BF" w:usb1="184F6CFA" w:usb2="00000012" w:usb3="00000000" w:csb0="00040001" w:csb1="00000000"/>
    <w:embedRegular r:id="rId2" w:fontKey="{86A1EDFD-CF3A-4F5B-A6B7-A0AFFFBE88E8}"/>
  </w:font>
  <w:font w:name="仿宋_GB2312">
    <w:altName w:val="仿宋"/>
    <w:panose1 w:val="00000000000000000000"/>
    <w:charset w:val="00"/>
    <w:family w:val="auto"/>
    <w:pitch w:val="default"/>
    <w:sig w:usb0="00000000" w:usb1="00000000" w:usb2="00000000" w:usb3="00000000" w:csb0="00000000" w:csb1="00000000"/>
    <w:embedRegular r:id="rId3" w:fontKey="{6DE0D159-1A69-4888-BCE4-CA024D29C0F1}"/>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B01361"/>
    <w:rsid w:val="0DDA1988"/>
    <w:rsid w:val="12B13F47"/>
    <w:rsid w:val="169F1079"/>
    <w:rsid w:val="18CE5C46"/>
    <w:rsid w:val="1F625EE4"/>
    <w:rsid w:val="200D1749"/>
    <w:rsid w:val="22DE29C3"/>
    <w:rsid w:val="28EB472D"/>
    <w:rsid w:val="2C216592"/>
    <w:rsid w:val="30197C97"/>
    <w:rsid w:val="39DE7F87"/>
    <w:rsid w:val="3A43428E"/>
    <w:rsid w:val="3ACA7416"/>
    <w:rsid w:val="41A43864"/>
    <w:rsid w:val="41B07D3E"/>
    <w:rsid w:val="45927E77"/>
    <w:rsid w:val="4C1E2465"/>
    <w:rsid w:val="4EAB1796"/>
    <w:rsid w:val="576A7048"/>
    <w:rsid w:val="632919C3"/>
    <w:rsid w:val="686914C7"/>
    <w:rsid w:val="700D7DC6"/>
    <w:rsid w:val="70C251BD"/>
    <w:rsid w:val="7BA43E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39"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3"/>
    <w:next w:val="1"/>
    <w:link w:val="11"/>
    <w:qFormat/>
    <w:uiPriority w:val="0"/>
    <w:pPr>
      <w:autoSpaceDE w:val="0"/>
      <w:autoSpaceDN w:val="0"/>
      <w:ind w:left="1"/>
      <w:jc w:val="center"/>
      <w:outlineLvl w:val="0"/>
    </w:pPr>
    <w:rPr>
      <w:rFonts w:ascii="宋体" w:hAnsi="宋体" w:eastAsia="宋体" w:cs="宋体"/>
      <w:bCs/>
      <w:kern w:val="2"/>
      <w:sz w:val="44"/>
      <w:szCs w:val="44"/>
      <w:lang w:val="zh-CN" w:bidi="zh-CN"/>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Title"/>
    <w:basedOn w:val="1"/>
    <w:qFormat/>
    <w:uiPriority w:val="0"/>
    <w:pPr>
      <w:spacing w:before="240" w:beforeLines="0" w:beforeAutospacing="0" w:after="60" w:afterLines="0" w:afterAutospacing="0"/>
      <w:jc w:val="center"/>
      <w:outlineLvl w:val="0"/>
    </w:pPr>
    <w:rPr>
      <w:rFonts w:ascii="Arial" w:hAnsi="Arial"/>
      <w:sz w:val="32"/>
    </w:rPr>
  </w:style>
  <w:style w:type="paragraph" w:styleId="4">
    <w:name w:val="Body Text"/>
    <w:basedOn w:val="1"/>
    <w:next w:val="1"/>
    <w:qFormat/>
    <w:uiPriority w:val="1"/>
    <w:pPr>
      <w:autoSpaceDE w:val="0"/>
      <w:autoSpaceDN w:val="0"/>
      <w:jc w:val="left"/>
    </w:pPr>
    <w:rPr>
      <w:rFonts w:ascii="宋体" w:hAnsi="宋体" w:cs="宋体"/>
      <w:kern w:val="0"/>
      <w:lang w:val="zh-CN" w:bidi="zh-CN"/>
    </w:rPr>
  </w:style>
  <w:style w:type="paragraph" w:styleId="5">
    <w:name w:val="Plain Text"/>
    <w:basedOn w:val="1"/>
    <w:qFormat/>
    <w:uiPriority w:val="99"/>
    <w:pPr>
      <w:spacing w:line="324" w:lineRule="auto"/>
    </w:pPr>
    <w:rPr>
      <w:rFonts w:ascii="宋体" w:hAnsi="Courier New" w:eastAsia="仿宋"/>
      <w:sz w:val="32"/>
      <w:szCs w:val="21"/>
    </w:rPr>
  </w:style>
  <w:style w:type="paragraph" w:styleId="6">
    <w:name w:val="toc 8"/>
    <w:basedOn w:val="1"/>
    <w:next w:val="1"/>
    <w:qFormat/>
    <w:uiPriority w:val="39"/>
    <w:pPr>
      <w:ind w:left="2940" w:leftChars="1400"/>
    </w:pPr>
  </w:style>
  <w:style w:type="paragraph" w:styleId="7">
    <w:name w:val="footer"/>
    <w:basedOn w:val="1"/>
    <w:next w:val="6"/>
    <w:qFormat/>
    <w:uiPriority w:val="0"/>
    <w:pPr>
      <w:tabs>
        <w:tab w:val="center" w:pos="4153"/>
        <w:tab w:val="right" w:pos="8306"/>
      </w:tabs>
      <w:snapToGrid w:val="0"/>
      <w:jc w:val="left"/>
    </w:pPr>
    <w:rPr>
      <w:sz w:val="18"/>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1">
    <w:name w:val="标题 1 Char"/>
    <w:link w:val="2"/>
    <w:qFormat/>
    <w:uiPriority w:val="99"/>
    <w:rPr>
      <w:rFonts w:ascii="宋体" w:hAnsi="宋体" w:eastAsia="宋体" w:cs="宋体"/>
      <w:b/>
      <w:bCs/>
      <w:kern w:val="2"/>
      <w:sz w:val="32"/>
      <w:szCs w:val="44"/>
      <w:lang w:val="zh-CN" w:bidi="zh-CN"/>
    </w:rPr>
  </w:style>
  <w:style w:type="paragraph" w:customStyle="1" w:styleId="12">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3">
    <w:name w:val="Normal_38"/>
    <w:autoRedefine/>
    <w:qFormat/>
    <w:uiPriority w:val="0"/>
    <w:pPr>
      <w:spacing w:before="120" w:after="240"/>
      <w:jc w:val="both"/>
    </w:pPr>
    <w:rPr>
      <w:rFonts w:ascii="Calibri" w:hAnsi="Calibri" w:eastAsia="Calibri" w:cs="Times New Roman"/>
      <w:sz w:val="22"/>
      <w:szCs w:val="22"/>
      <w:lang w:val="ru-RU" w:eastAsia="en-US" w:bidi="ar-SA"/>
    </w:rPr>
  </w:style>
  <w:style w:type="paragraph" w:customStyle="1" w:styleId="14">
    <w:name w:val="※小标题 1"/>
    <w:basedOn w:val="1"/>
    <w:next w:val="1"/>
    <w:autoRedefine/>
    <w:qFormat/>
    <w:uiPriority w:val="0"/>
    <w:pPr>
      <w:widowControl/>
      <w:wordWrap w:val="0"/>
      <w:spacing w:before="20" w:after="20" w:line="400" w:lineRule="exact"/>
      <w:ind w:firstLine="200" w:firstLineChars="200"/>
      <w:jc w:val="left"/>
      <w:outlineLvl w:val="4"/>
    </w:pPr>
    <w:rPr>
      <w:rFonts w:ascii="Calibri Light" w:hAnsi="Calibri Light" w:eastAsia="华文仿宋"/>
      <w:b/>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4756</Words>
  <Characters>4789</Characters>
  <Lines>0</Lines>
  <Paragraphs>0</Paragraphs>
  <TotalTime>0</TotalTime>
  <ScaleCrop>false</ScaleCrop>
  <LinksUpToDate>false</LinksUpToDate>
  <CharactersWithSpaces>4907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2024-10-15T00:12:00Z</dcterms:created>
  <dc:creator>Administrator</dc:creator>
  <cp:lastModifiedBy>喵喵</cp:lastModifiedBy>
  <dcterms:modified xsi:type="dcterms:W3CDTF">2026-06-11T09:02:36Z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2D9FB94CF3CE46ADA4C9854899D9F3DF_12</vt:lpwstr>
  </property>
  <property fmtid="{D5CDD505-2E9C-101B-9397-08002B2CF9AE}" pid="4" name="KSOTemplateDocerSaveRecord">
    <vt:lpwstr>eyJoZGlkIjoiZWY3MmViN2RkNWJiYzBlMWViOGVjZGIwZjMxYjY0NDQiLCJ1c2VySWQiOiI1MDUwNjE3NTMifQ==</vt:lpwstr>
  </property>
</Properties>
</file>