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版本号：ZBZB-2026-294720260623001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委托开展尼日利亚和肯尼亚经贸活动场地和设备租赁及相关服务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ZBZB-2026-2947</w:t>
      </w:r>
      <w:r>
        <w:br/>
      </w:r>
      <w:r>
        <w:br/>
      </w:r>
      <w:r>
        <w:br/>
      </w:r>
    </w:p>
    <w:p>
      <w:pPr>
        <w:pStyle w:val="null3"/>
        <w:jc w:val="center"/>
        <w:outlineLvl w:val="2"/>
      </w:pPr>
      <w:r>
        <w:rPr>
          <w:rFonts w:ascii="仿宋_GB2312" w:hAnsi="仿宋_GB2312" w:cs="仿宋_GB2312" w:eastAsia="仿宋_GB2312"/>
          <w:sz w:val="28"/>
          <w:b/>
        </w:rPr>
        <w:t>陕西省商务厅机关</w:t>
      </w:r>
    </w:p>
    <w:p>
      <w:pPr>
        <w:pStyle w:val="null3"/>
        <w:jc w:val="center"/>
        <w:outlineLvl w:val="2"/>
      </w:pPr>
      <w:r>
        <w:rPr>
          <w:rFonts w:ascii="仿宋_GB2312" w:hAnsi="仿宋_GB2312" w:cs="仿宋_GB2312" w:eastAsia="仿宋_GB2312"/>
          <w:sz w:val="28"/>
          <w:b/>
        </w:rPr>
        <w:t>陕西正邦招标有限责任公司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陕西正邦招标有限责任公司</w:t>
      </w:r>
      <w:r>
        <w:rPr>
          <w:rFonts w:ascii="仿宋_GB2312" w:hAnsi="仿宋_GB2312" w:cs="仿宋_GB2312" w:eastAsia="仿宋_GB2312"/>
        </w:rPr>
        <w:t>（以下简称“代理机构”）受</w:t>
      </w:r>
      <w:r>
        <w:rPr>
          <w:rFonts w:ascii="仿宋_GB2312" w:hAnsi="仿宋_GB2312" w:cs="仿宋_GB2312" w:eastAsia="仿宋_GB2312"/>
        </w:rPr>
        <w:t>陕西省商务厅机关</w:t>
      </w:r>
      <w:r>
        <w:rPr>
          <w:rFonts w:ascii="仿宋_GB2312" w:hAnsi="仿宋_GB2312" w:cs="仿宋_GB2312" w:eastAsia="仿宋_GB2312"/>
        </w:rPr>
        <w:t>委托，拟对</w:t>
      </w:r>
      <w:r>
        <w:rPr>
          <w:rFonts w:ascii="仿宋_GB2312" w:hAnsi="仿宋_GB2312" w:cs="仿宋_GB2312" w:eastAsia="仿宋_GB2312"/>
        </w:rPr>
        <w:t>委托开展尼日利亚和肯尼亚经贸活动场地和设备租赁及相关服务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ZBZB-2026-2947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委托开展尼日利亚和肯尼亚经贸活动场地和设备租赁及相关服务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按照委托开展尼日利亚和肯尼亚经贸活动场地和设备租赁及相关服务相关要求，在规定条件下完成服务。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采购包1（经贸活动场地和设备租赁及相关服务）：属于专门面向中小企业采购。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w:t>
      </w:r>
    </w:p>
    <w:p>
      <w:pPr>
        <w:pStyle w:val="null3"/>
      </w:pPr>
      <w:r>
        <w:rPr>
          <w:rFonts w:ascii="仿宋_GB2312" w:hAnsi="仿宋_GB2312" w:cs="仿宋_GB2312" w:eastAsia="仿宋_GB2312"/>
        </w:rPr>
        <w:t>2、授权委托：供应商应授权合法的人员参加投标全过程，其中法定代表人/负责人直接投标，须提交法定代表人/负责人身份证明书和身份证复印件。法定代表人/负责人授权代表参加投标的，须出具法定代表人/负责人授权书及授权代表身份证复印件；</w:t>
      </w:r>
    </w:p>
    <w:p>
      <w:pPr>
        <w:pStyle w:val="null3"/>
      </w:pPr>
      <w:r>
        <w:rPr>
          <w:rFonts w:ascii="仿宋_GB2312" w:hAnsi="仿宋_GB2312" w:cs="仿宋_GB2312" w:eastAsia="仿宋_GB2312"/>
        </w:rPr>
        <w:t>3、财务状况：提供2024或2025年度经审计的完整财务审计报告，或其开标前六个月内基本存款账户开户银行出具的资信证明；</w:t>
      </w:r>
    </w:p>
    <w:p>
      <w:pPr>
        <w:pStyle w:val="null3"/>
      </w:pPr>
      <w:r>
        <w:rPr>
          <w:rFonts w:ascii="仿宋_GB2312" w:hAnsi="仿宋_GB2312" w:cs="仿宋_GB2312" w:eastAsia="仿宋_GB2312"/>
        </w:rPr>
        <w:t>4、社会保障资金缴纳证明：提供2025年9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w:t>
      </w:r>
    </w:p>
    <w:p>
      <w:pPr>
        <w:pStyle w:val="null3"/>
      </w:pPr>
      <w:r>
        <w:rPr>
          <w:rFonts w:ascii="仿宋_GB2312" w:hAnsi="仿宋_GB2312" w:cs="仿宋_GB2312" w:eastAsia="仿宋_GB2312"/>
        </w:rPr>
        <w:t>5、税收缴纳证明 ：提供2025年9月1日至投标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w:t>
      </w:r>
    </w:p>
    <w:p>
      <w:pPr>
        <w:pStyle w:val="null3"/>
      </w:pPr>
      <w:r>
        <w:rPr>
          <w:rFonts w:ascii="仿宋_GB2312" w:hAnsi="仿宋_GB2312" w:cs="仿宋_GB2312" w:eastAsia="仿宋_GB2312"/>
        </w:rPr>
        <w:t>6、书面声明（信用记录）：提供《供应商信用记录书面声明函》。经查，投标人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7、承诺书：提供具有履行合同所必需的设备和专业技术能力的承诺书。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陕西省商务厅机关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029-63913878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陕西正邦招标有限责任公司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陕西省西安市雁塔区朱雀大街南段69号长丰园三区5号楼9层9006室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029-85578186转838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采购包1：208,600.00元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开户名称：陕西正邦招标有限责任公司</w:t>
            </w:r>
          </w:p>
          <w:p>
            <w:pPr>
              <w:pStyle w:val="null3"/>
            </w:pPr>
            <w:r>
              <w:rPr>
                <w:rFonts w:ascii="仿宋_GB2312" w:hAnsi="仿宋_GB2312" w:cs="仿宋_GB2312" w:eastAsia="仿宋_GB2312"/>
              </w:rPr>
              <w:t>开户银行：平安银行西安分行营业部/平安银行西安分行</w:t>
            </w:r>
          </w:p>
          <w:p>
            <w:pPr>
              <w:pStyle w:val="null3"/>
            </w:pPr>
            <w:r>
              <w:rPr>
                <w:rFonts w:ascii="仿宋_GB2312" w:hAnsi="仿宋_GB2312" w:cs="仿宋_GB2312" w:eastAsia="仿宋_GB2312"/>
              </w:rPr>
              <w:t>银行账号：30205380002110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发改价格【2011】534号文规定，经协商由成交供应商向采购代理机构支付招标代理服务费（包含“招标代理费、会务费（如有）”），如本项目各包服务费不足6000.00元则供应商按6000.00元支付服务费。 缴交渠道： 开户名称：陕西正邦招标有限责任公司 开户银行：平安银行西安分行营业部/平安银行西安分行 银行账号：30205380002110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陕西省商务厅机关</w:t>
      </w:r>
      <w:r>
        <w:rPr>
          <w:rFonts w:ascii="仿宋_GB2312" w:hAnsi="仿宋_GB2312" w:cs="仿宋_GB2312" w:eastAsia="仿宋_GB2312"/>
        </w:rPr>
        <w:t>和</w:t>
      </w:r>
      <w:r>
        <w:rPr>
          <w:rFonts w:ascii="仿宋_GB2312" w:hAnsi="仿宋_GB2312" w:cs="仿宋_GB2312" w:eastAsia="仿宋_GB2312"/>
        </w:rPr>
        <w:t>陕西正邦招标有限责任公司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陕西省商务厅机关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陕西正邦招标有限责任公司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陕西省商务厅机关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陕西正邦招标有限责任公司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联系电话：029-85578186转838</w:t>
      </w:r>
    </w:p>
    <w:p>
      <w:pPr>
        <w:pStyle w:val="null3"/>
      </w:pPr>
      <w:r>
        <w:rPr>
          <w:rFonts w:ascii="仿宋_GB2312" w:hAnsi="仿宋_GB2312" w:cs="仿宋_GB2312" w:eastAsia="仿宋_GB2312"/>
        </w:rPr>
        <w:t>地址：西安市雁塔区朱雀大街南段69号长丰园三区5号楼9层9006室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委托开展尼日利亚和肯尼亚经贸活动场地和设备租赁及相关服务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208,600.00</w:t>
      </w:r>
    </w:p>
    <w:p>
      <w:pPr>
        <w:pStyle w:val="null3"/>
      </w:pPr>
      <w:r>
        <w:rPr>
          <w:rFonts w:ascii="仿宋_GB2312" w:hAnsi="仿宋_GB2312" w:cs="仿宋_GB2312" w:eastAsia="仿宋_GB2312"/>
        </w:rPr>
        <w:t>采购包最高限价（元）: 208,600.00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场地和设备租赁及相关服务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208,600.00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标的名称：场地和设备租赁及相关服务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一、采购内容：</w:t>
            </w:r>
          </w:p>
          <w:tbl>
            <w:tblPr>
              <w:tblInd w:type="dxa" w:w="225"/>
              <w:tblBorders>
                <w:top w:val="none" w:color="000000" w:sz="4"/>
                <w:left w:val="none" w:color="000000" w:sz="4"/>
                <w:bottom w:val="none" w:color="000000" w:sz="4"/>
                <w:right w:val="none" w:color="000000" w:sz="4"/>
                <w:insideH w:val="none"/>
                <w:insideV w:val="none"/>
              </w:tblBorders>
            </w:tblPr>
            <w:tblGrid>
              <w:gridCol w:w="228"/>
              <w:gridCol w:w="451"/>
              <w:gridCol w:w="504"/>
              <w:gridCol w:w="808"/>
              <w:gridCol w:w="562"/>
            </w:tblGrid>
            <w:tr>
              <w:tc>
                <w:tcPr>
                  <w:tcW w:type="dxa" w:w="2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序号</w:t>
                  </w:r>
                </w:p>
              </w:tc>
              <w:tc>
                <w:tcPr>
                  <w:tcW w:type="dxa" w:w="45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地点</w:t>
                  </w:r>
                </w:p>
              </w:tc>
              <w:tc>
                <w:tcPr>
                  <w:tcW w:type="dxa" w:w="50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举办日期</w:t>
                  </w:r>
                </w:p>
              </w:tc>
              <w:tc>
                <w:tcPr>
                  <w:tcW w:type="dxa" w:w="80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活动范围</w:t>
                  </w:r>
                </w:p>
              </w:tc>
              <w:tc>
                <w:tcPr>
                  <w:tcW w:type="dxa" w:w="56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采购预算</w:t>
                  </w:r>
                </w:p>
                <w:p>
                  <w:pPr>
                    <w:pStyle w:val="null3"/>
                    <w:jc w:val="center"/>
                  </w:pPr>
                  <w:r>
                    <w:rPr>
                      <w:rFonts w:ascii="仿宋_GB2312" w:hAnsi="仿宋_GB2312" w:cs="仿宋_GB2312" w:eastAsia="仿宋_GB2312"/>
                      <w:sz w:val="20"/>
                    </w:rPr>
                    <w:t>（万元）</w:t>
                  </w: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4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尼日利亚</w:t>
                  </w:r>
                  <w:r>
                    <w:rPr>
                      <w:rFonts w:ascii="仿宋_GB2312" w:hAnsi="仿宋_GB2312" w:cs="仿宋_GB2312" w:eastAsia="仿宋_GB2312"/>
                      <w:sz w:val="20"/>
                    </w:rPr>
                    <w:t>、</w:t>
                  </w:r>
                  <w:r>
                    <w:rPr>
                      <w:rFonts w:ascii="仿宋_GB2312" w:hAnsi="仿宋_GB2312" w:cs="仿宋_GB2312" w:eastAsia="仿宋_GB2312"/>
                      <w:sz w:val="20"/>
                    </w:rPr>
                    <w:t>肯尼亚</w:t>
                  </w:r>
                </w:p>
              </w:tc>
              <w:tc>
                <w:tcPr>
                  <w:tcW w:type="dxa" w:w="5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2026年</w:t>
                  </w:r>
                  <w:r>
                    <w:rPr>
                      <w:rFonts w:ascii="仿宋_GB2312" w:hAnsi="仿宋_GB2312" w:cs="仿宋_GB2312" w:eastAsia="仿宋_GB2312"/>
                      <w:sz w:val="20"/>
                    </w:rPr>
                    <w:t>7</w:t>
                  </w:r>
                  <w:r>
                    <w:rPr>
                      <w:rFonts w:ascii="仿宋_GB2312" w:hAnsi="仿宋_GB2312" w:cs="仿宋_GB2312" w:eastAsia="仿宋_GB2312"/>
                      <w:sz w:val="20"/>
                    </w:rPr>
                    <w:t>月</w:t>
                  </w:r>
                </w:p>
              </w:tc>
              <w:tc>
                <w:tcPr>
                  <w:tcW w:type="dxa" w:w="8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陕西经贸代表团在</w:t>
                  </w:r>
                  <w:r>
                    <w:rPr>
                      <w:rFonts w:ascii="仿宋_GB2312" w:hAnsi="仿宋_GB2312" w:cs="仿宋_GB2312" w:eastAsia="仿宋_GB2312"/>
                      <w:sz w:val="20"/>
                    </w:rPr>
                    <w:t>尼日利亚</w:t>
                  </w:r>
                  <w:r>
                    <w:rPr>
                      <w:rFonts w:ascii="仿宋_GB2312" w:hAnsi="仿宋_GB2312" w:cs="仿宋_GB2312" w:eastAsia="仿宋_GB2312"/>
                      <w:sz w:val="20"/>
                    </w:rPr>
                    <w:t>、</w:t>
                  </w:r>
                  <w:r>
                    <w:rPr>
                      <w:rFonts w:ascii="仿宋_GB2312" w:hAnsi="仿宋_GB2312" w:cs="仿宋_GB2312" w:eastAsia="仿宋_GB2312"/>
                      <w:sz w:val="20"/>
                    </w:rPr>
                    <w:t>肯尼亚</w:t>
                  </w:r>
                  <w:r>
                    <w:rPr>
                      <w:rFonts w:ascii="仿宋_GB2312" w:hAnsi="仿宋_GB2312" w:cs="仿宋_GB2312" w:eastAsia="仿宋_GB2312"/>
                      <w:sz w:val="20"/>
                    </w:rPr>
                    <w:t>出访日程安排；在</w:t>
                  </w:r>
                  <w:r>
                    <w:rPr>
                      <w:rFonts w:ascii="仿宋_GB2312" w:hAnsi="仿宋_GB2312" w:cs="仿宋_GB2312" w:eastAsia="仿宋_GB2312"/>
                      <w:sz w:val="20"/>
                    </w:rPr>
                    <w:t>尼日利亚阿布贾</w:t>
                  </w:r>
                  <w:r>
                    <w:rPr>
                      <w:rFonts w:ascii="仿宋_GB2312" w:hAnsi="仿宋_GB2312" w:cs="仿宋_GB2312" w:eastAsia="仿宋_GB2312"/>
                      <w:sz w:val="20"/>
                    </w:rPr>
                    <w:t>、</w:t>
                  </w:r>
                  <w:r>
                    <w:rPr>
                      <w:rFonts w:ascii="仿宋_GB2312" w:hAnsi="仿宋_GB2312" w:cs="仿宋_GB2312" w:eastAsia="仿宋_GB2312"/>
                      <w:sz w:val="20"/>
                    </w:rPr>
                    <w:t>肯尼亚内罗毕</w:t>
                  </w:r>
                  <w:r>
                    <w:rPr>
                      <w:rFonts w:ascii="仿宋_GB2312" w:hAnsi="仿宋_GB2312" w:cs="仿宋_GB2312" w:eastAsia="仿宋_GB2312"/>
                      <w:sz w:val="20"/>
                    </w:rPr>
                    <w:t>举办经贸促进交流活动</w:t>
                  </w:r>
                </w:p>
              </w:tc>
              <w:tc>
                <w:tcPr>
                  <w:tcW w:type="dxa" w:w="5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86</w:t>
                  </w:r>
                  <w:r>
                    <w:rPr>
                      <w:rFonts w:ascii="仿宋_GB2312" w:hAnsi="仿宋_GB2312" w:cs="仿宋_GB2312" w:eastAsia="仿宋_GB2312"/>
                      <w:sz w:val="20"/>
                    </w:rPr>
                    <w:t>万元</w:t>
                  </w:r>
                </w:p>
              </w:tc>
            </w:tr>
          </w:tbl>
          <w:p>
            <w:pPr>
              <w:pStyle w:val="null3"/>
            </w:pPr>
            <w:r>
              <w:rPr>
                <w:rFonts w:ascii="仿宋_GB2312" w:hAnsi="仿宋_GB2312" w:cs="仿宋_GB2312" w:eastAsia="仿宋_GB2312"/>
                <w:sz w:val="20"/>
              </w:rPr>
              <w:t>二、承办单位工作内容及要求</w:t>
            </w:r>
          </w:p>
          <w:p>
            <w:pPr>
              <w:pStyle w:val="null3"/>
            </w:pPr>
            <w:r>
              <w:rPr>
                <w:rFonts w:ascii="仿宋_GB2312" w:hAnsi="仿宋_GB2312" w:cs="仿宋_GB2312" w:eastAsia="仿宋_GB2312"/>
                <w:sz w:val="20"/>
              </w:rPr>
              <w:t>（一）工作要求：</w:t>
            </w:r>
          </w:p>
          <w:p>
            <w:pPr>
              <w:pStyle w:val="null3"/>
            </w:pPr>
            <w:r>
              <w:rPr>
                <w:rFonts w:ascii="仿宋_GB2312" w:hAnsi="仿宋_GB2312" w:cs="仿宋_GB2312" w:eastAsia="仿宋_GB2312"/>
                <w:sz w:val="20"/>
              </w:rPr>
              <w:t>1.完成会前培训、会期服务、会议总结和费用核销等全流程工作；</w:t>
            </w:r>
          </w:p>
          <w:p>
            <w:pPr>
              <w:pStyle w:val="null3"/>
            </w:pPr>
            <w:r>
              <w:rPr>
                <w:rFonts w:ascii="仿宋_GB2312" w:hAnsi="仿宋_GB2312" w:cs="仿宋_GB2312" w:eastAsia="仿宋_GB2312"/>
                <w:sz w:val="20"/>
              </w:rPr>
              <w:t>2.完成经贸活动组织、资源对接及会期服务、落地执行、费用核销等全流程工作。</w:t>
            </w:r>
          </w:p>
          <w:p>
            <w:pPr>
              <w:pStyle w:val="null3"/>
            </w:pPr>
            <w:r>
              <w:rPr>
                <w:rFonts w:ascii="仿宋_GB2312" w:hAnsi="仿宋_GB2312" w:cs="仿宋_GB2312" w:eastAsia="仿宋_GB2312"/>
                <w:sz w:val="20"/>
              </w:rPr>
              <w:t>（二）工作内容：</w:t>
            </w:r>
          </w:p>
          <w:p>
            <w:pPr>
              <w:pStyle w:val="null3"/>
            </w:pPr>
            <w:r>
              <w:rPr>
                <w:rFonts w:ascii="仿宋_GB2312" w:hAnsi="仿宋_GB2312" w:cs="仿宋_GB2312" w:eastAsia="仿宋_GB2312"/>
                <w:sz w:val="20"/>
              </w:rPr>
              <w:t>1、负责陕西经贸代表团有关商务礼仪、出境纪律等方面内容的会前培训，负责组织陕西经贸代表团按时参加会议，协助完成会期服务，承办单位必须不少于1人全程参与会议的组织；</w:t>
            </w:r>
          </w:p>
          <w:p>
            <w:pPr>
              <w:pStyle w:val="null3"/>
            </w:pPr>
            <w:r>
              <w:rPr>
                <w:rFonts w:ascii="仿宋_GB2312" w:hAnsi="仿宋_GB2312" w:cs="仿宋_GB2312" w:eastAsia="仿宋_GB2312"/>
                <w:sz w:val="20"/>
              </w:rPr>
              <w:t>2、负责与陕西经贸代表团保持沟通为会议活动遇到的问题（包括但不限于语言翻译、紧急情况的处置等）；</w:t>
            </w:r>
          </w:p>
          <w:p>
            <w:pPr>
              <w:pStyle w:val="null3"/>
            </w:pPr>
            <w:r>
              <w:rPr>
                <w:rFonts w:ascii="仿宋_GB2312" w:hAnsi="仿宋_GB2312" w:cs="仿宋_GB2312" w:eastAsia="仿宋_GB2312"/>
                <w:sz w:val="20"/>
              </w:rPr>
              <w:t>3、负责陕西经贸代表团在境外期间的安全工作；</w:t>
            </w:r>
          </w:p>
          <w:p>
            <w:pPr>
              <w:pStyle w:val="null3"/>
            </w:pPr>
            <w:r>
              <w:rPr>
                <w:rFonts w:ascii="仿宋_GB2312" w:hAnsi="仿宋_GB2312" w:cs="仿宋_GB2312" w:eastAsia="仿宋_GB2312"/>
                <w:sz w:val="20"/>
              </w:rPr>
              <w:t>4、负责在会议开始前按照省商务厅文件规定格式提交方案，会议费预算；</w:t>
            </w:r>
          </w:p>
          <w:p>
            <w:pPr>
              <w:pStyle w:val="null3"/>
            </w:pPr>
            <w:r>
              <w:rPr>
                <w:rFonts w:ascii="仿宋_GB2312" w:hAnsi="仿宋_GB2312" w:cs="仿宋_GB2312" w:eastAsia="仿宋_GB2312"/>
                <w:sz w:val="20"/>
              </w:rPr>
              <w:t>5、负责在结束后30日内，将会议执行情况、会议总结等上报省商务厅，并按照商务厅有关要求提交经费核销相关资料；</w:t>
            </w:r>
          </w:p>
          <w:p>
            <w:pPr>
              <w:pStyle w:val="null3"/>
            </w:pPr>
            <w:r>
              <w:rPr>
                <w:rFonts w:ascii="仿宋_GB2312" w:hAnsi="仿宋_GB2312" w:cs="仿宋_GB2312" w:eastAsia="仿宋_GB2312"/>
                <w:sz w:val="20"/>
              </w:rPr>
              <w:t>6、负责做好陕西经贸代表团组织开展经贸活动的配合工作，负责有关经贸活动的场地费用、设备租赁、邀请嘉宾等，包括团组出访资料制作，团组行程安排，拜访活动安排等领域的对接洽谈和座谈交流活动。负责协助在</w:t>
            </w:r>
            <w:r>
              <w:rPr>
                <w:rFonts w:ascii="仿宋_GB2312" w:hAnsi="仿宋_GB2312" w:cs="仿宋_GB2312" w:eastAsia="仿宋_GB2312"/>
                <w:sz w:val="20"/>
              </w:rPr>
              <w:t>尼日利亚阿布贾</w:t>
            </w:r>
            <w:r>
              <w:rPr>
                <w:rFonts w:ascii="仿宋_GB2312" w:hAnsi="仿宋_GB2312" w:cs="仿宋_GB2312" w:eastAsia="仿宋_GB2312"/>
                <w:sz w:val="20"/>
              </w:rPr>
              <w:t>、</w:t>
            </w:r>
            <w:r>
              <w:rPr>
                <w:rFonts w:ascii="仿宋_GB2312" w:hAnsi="仿宋_GB2312" w:cs="仿宋_GB2312" w:eastAsia="仿宋_GB2312"/>
                <w:sz w:val="20"/>
              </w:rPr>
              <w:t>肯尼亚内罗毕</w:t>
            </w:r>
            <w:r>
              <w:rPr>
                <w:rFonts w:ascii="仿宋_GB2312" w:hAnsi="仿宋_GB2312" w:cs="仿宋_GB2312" w:eastAsia="仿宋_GB2312"/>
                <w:sz w:val="20"/>
              </w:rPr>
              <w:t>举办中国（陕西）</w:t>
            </w:r>
            <w:r>
              <w:rPr>
                <w:rFonts w:ascii="仿宋_GB2312" w:hAnsi="仿宋_GB2312" w:cs="仿宋_GB2312" w:eastAsia="仿宋_GB2312"/>
                <w:sz w:val="20"/>
              </w:rPr>
              <w:t>—</w:t>
            </w:r>
            <w:r>
              <w:rPr>
                <w:rFonts w:ascii="仿宋_GB2312" w:hAnsi="仿宋_GB2312" w:cs="仿宋_GB2312" w:eastAsia="仿宋_GB2312"/>
                <w:sz w:val="20"/>
              </w:rPr>
              <w:t>尼日利亚阿布贾</w:t>
            </w:r>
            <w:r>
              <w:rPr>
                <w:rFonts w:ascii="仿宋_GB2312" w:hAnsi="仿宋_GB2312" w:cs="仿宋_GB2312" w:eastAsia="仿宋_GB2312"/>
                <w:sz w:val="20"/>
              </w:rPr>
              <w:t>（规模约</w:t>
            </w:r>
            <w:r>
              <w:rPr>
                <w:rFonts w:ascii="仿宋_GB2312" w:hAnsi="仿宋_GB2312" w:cs="仿宋_GB2312" w:eastAsia="仿宋_GB2312"/>
                <w:sz w:val="20"/>
              </w:rPr>
              <w:t>6</w:t>
            </w:r>
            <w:r>
              <w:rPr>
                <w:rFonts w:ascii="仿宋_GB2312" w:hAnsi="仿宋_GB2312" w:cs="仿宋_GB2312" w:eastAsia="仿宋_GB2312"/>
                <w:sz w:val="20"/>
              </w:rPr>
              <w:t>0人）、</w:t>
            </w:r>
            <w:r>
              <w:rPr>
                <w:rFonts w:ascii="仿宋_GB2312" w:hAnsi="仿宋_GB2312" w:cs="仿宋_GB2312" w:eastAsia="仿宋_GB2312"/>
                <w:sz w:val="20"/>
              </w:rPr>
              <w:t>肯尼亚内罗毕</w:t>
            </w:r>
            <w:r>
              <w:rPr>
                <w:rFonts w:ascii="仿宋_GB2312" w:hAnsi="仿宋_GB2312" w:cs="仿宋_GB2312" w:eastAsia="仿宋_GB2312"/>
                <w:sz w:val="20"/>
              </w:rPr>
              <w:t>经贸合作恳谈会（规模约</w:t>
            </w:r>
            <w:r>
              <w:rPr>
                <w:rFonts w:ascii="仿宋_GB2312" w:hAnsi="仿宋_GB2312" w:cs="仿宋_GB2312" w:eastAsia="仿宋_GB2312"/>
                <w:sz w:val="20"/>
              </w:rPr>
              <w:t>6</w:t>
            </w:r>
            <w:r>
              <w:rPr>
                <w:rFonts w:ascii="仿宋_GB2312" w:hAnsi="仿宋_GB2312" w:cs="仿宋_GB2312" w:eastAsia="仿宋_GB2312"/>
                <w:sz w:val="20"/>
              </w:rPr>
              <w:t>0人）。</w:t>
            </w:r>
          </w:p>
          <w:p>
            <w:pPr>
              <w:pStyle w:val="null3"/>
            </w:pPr>
            <w:r>
              <w:rPr>
                <w:rFonts w:ascii="仿宋_GB2312" w:hAnsi="仿宋_GB2312" w:cs="仿宋_GB2312" w:eastAsia="仿宋_GB2312"/>
                <w:sz w:val="20"/>
              </w:rPr>
              <w:t>7、承接项目的单位需要积极配合、执行、协调各项约定的工作，及时与陕西经贸代表团进行反馈对接，做好各项保障工作。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自合同签订之日起10个工作日内完成全部工作。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进度款，合同履行结束并验收合格后一次性付清，达到付款条件起15个工作日内，支付合同总金额的100.0%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解决办法：1．在执行本合同中发生的或与本合同有关的争端，双方应通过友好协商解决，经协商在_10_天内不能达成协议时，则采取方式解决争议： （1）向甲方所在地有管辖权的人民法院提起诉讼； （2）向西安仲裁委员会按其仲裁规则申请仲裁。 2．在仲裁期间，本合同应继续履行。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 xml:space="preserve"> 1.供应商缴纳保证金时请备注：项目编号后四位+保证金。 2.（1）为保证项目存档使用供应商须提交纸质响应文件正本壹份、副本贰份。（2）纸质响应文件正、副本分别胶装递交，递交截止时间：开标后2个工作日之内，递交地址：西安市雁塔区朱雀大街南段69号长丰园三区5号楼9层9006室。（3）若电子响应文件与纸质响应文件不一致的，以电子响应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响应招标并参加投标的合法注册的企业法人、事业法人或其他组织。企业法人应提供合法有效的标识有统一社会信用代码的营业执照；事业法人应提供事业单位法人证书；其他组织应提供合法登记证明文件；</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供应商应授权合法的人员参加投标全过程，其中法定代表人/负责人直接投标，须提交法定代表人/负责人身份证明书和身份证复印件。法定代表人/负责人授权代表参加投标的，须出具法定代表人/负责人授权书及授权代表身份证复印件；</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提供2024或2025年度经审计的完整财务审计报告，或其开标前六个月内基本存款账户开户银行出具的资信证明；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9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9月1日至投标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书面声明（信用记录）</w:t>
            </w:r>
          </w:p>
        </w:tc>
        <w:tc>
          <w:tcPr>
            <w:tcW w:type="dxa" w:w="3322"/>
          </w:tcPr>
          <w:p>
            <w:pPr>
              <w:pStyle w:val="null3"/>
            </w:pPr>
            <w:r>
              <w:rPr>
                <w:rFonts w:ascii="仿宋_GB2312" w:hAnsi="仿宋_GB2312" w:cs="仿宋_GB2312" w:eastAsia="仿宋_GB2312"/>
              </w:rPr>
              <w:t>提供《供应商信用记录书面声明函》。经查，投标人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供应商名称字章</w:t>
            </w:r>
          </w:p>
        </w:tc>
        <w:tc>
          <w:tcPr>
            <w:tcW w:type="dxa" w:w="3322"/>
          </w:tcPr>
          <w:p>
            <w:pPr>
              <w:pStyle w:val="null3"/>
            </w:pPr>
            <w:r>
              <w:rPr>
                <w:rFonts w:ascii="仿宋_GB2312" w:hAnsi="仿宋_GB2312" w:cs="仿宋_GB2312" w:eastAsia="仿宋_GB2312"/>
              </w:rPr>
              <w:t>供应商名称字章是否一致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磋商响应文件的签字盖章</w:t>
            </w:r>
          </w:p>
        </w:tc>
        <w:tc>
          <w:tcPr>
            <w:tcW w:type="dxa" w:w="3322"/>
          </w:tcPr>
          <w:p>
            <w:pPr>
              <w:pStyle w:val="null3"/>
            </w:pPr>
            <w:r>
              <w:rPr>
                <w:rFonts w:ascii="仿宋_GB2312" w:hAnsi="仿宋_GB2312" w:cs="仿宋_GB2312" w:eastAsia="仿宋_GB2312"/>
              </w:rPr>
              <w:t>磋商响应文件的签字盖章是否按照磋商文件要求进行的</w:t>
            </w:r>
          </w:p>
        </w:tc>
        <w:tc>
          <w:tcPr>
            <w:tcW w:type="dxa" w:w="1661"/>
          </w:tcPr>
          <w:p>
            <w:pPr>
              <w:pStyle w:val="null3"/>
            </w:pPr>
            <w:r>
              <w:rPr>
                <w:rFonts w:ascii="仿宋_GB2312" w:hAnsi="仿宋_GB2312" w:cs="仿宋_GB2312" w:eastAsia="仿宋_GB2312"/>
              </w:rPr>
              <w:t>响应文件封面 中小企业声明函 商务应答表 供应商应提交的相关资格证明材料 服务内容及服务要求应答表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磋商有效期是否满足磋商最低要求90天的</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磋商报价有效性</w:t>
            </w:r>
          </w:p>
        </w:tc>
        <w:tc>
          <w:tcPr>
            <w:tcW w:type="dxa" w:w="3322"/>
          </w:tcPr>
          <w:p>
            <w:pPr>
              <w:pStyle w:val="null3"/>
            </w:pPr>
            <w:r>
              <w:rPr>
                <w:rFonts w:ascii="仿宋_GB2312" w:hAnsi="仿宋_GB2312" w:cs="仿宋_GB2312" w:eastAsia="仿宋_GB2312"/>
              </w:rPr>
              <w:t>磋商报价是否唯一有效的或磋商报价是否超过采购预算</w:t>
            </w:r>
          </w:p>
        </w:tc>
        <w:tc>
          <w:tcPr>
            <w:tcW w:type="dxa" w:w="1661"/>
          </w:tcPr>
          <w:p>
            <w:pPr>
              <w:pStyle w:val="null3"/>
            </w:pPr>
            <w:r>
              <w:rPr>
                <w:rFonts w:ascii="仿宋_GB2312" w:hAnsi="仿宋_GB2312" w:cs="仿宋_GB2312" w:eastAsia="仿宋_GB2312"/>
              </w:rPr>
              <w:t>响应文件封面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项目理解及重难点分析</w:t>
            </w:r>
          </w:p>
        </w:tc>
        <w:tc>
          <w:tcPr>
            <w:tcW w:type="dxa" w:w="2492"/>
          </w:tcPr>
          <w:p>
            <w:pPr>
              <w:pStyle w:val="null3"/>
            </w:pPr>
            <w:r>
              <w:rPr>
                <w:rFonts w:ascii="仿宋_GB2312" w:hAnsi="仿宋_GB2312" w:cs="仿宋_GB2312" w:eastAsia="仿宋_GB2312"/>
              </w:rPr>
              <w:t>针对本项目提供对项目理解及重难点分析，包括但不限于①项目背景、内容及意义的理解；②项目重点难点分析及应对措施。 评审标准：方案各部分内容全面详细、阐述条理清晰详尽、符合本项目采购需求，能保障本项目实施得4.5分；评审内容每缺一项扣2.5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供服务方案，包括但不限于①会议策划方案；②工作流程节点梳理、工作制度；③场地搭建、会场布置、会场设备和物料道具的布置；④会议现场人流动线的规划方案；⑤展会期间的运营维护、秩序维护、后勤保障及医疗救援等方案；⑥会议现场的管理方案；⑦与采购人及各单位间沟通、协调方案。 评审标准：方案各部分内容全面详细、阐述条理清晰详尽、符合本项目采购需求，能保障本项目实施得14分；评审内容每缺一项扣2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会务邀请嘉宾及会议翻译方案</w:t>
            </w:r>
          </w:p>
        </w:tc>
        <w:tc>
          <w:tcPr>
            <w:tcW w:type="dxa" w:w="2492"/>
          </w:tcPr>
          <w:p>
            <w:pPr>
              <w:pStyle w:val="null3"/>
            </w:pPr>
            <w:r>
              <w:rPr>
                <w:rFonts w:ascii="仿宋_GB2312" w:hAnsi="仿宋_GB2312" w:cs="仿宋_GB2312" w:eastAsia="仿宋_GB2312"/>
              </w:rPr>
              <w:t>针对本项目提供会务邀请嘉宾及会议翻译方案，包括但不限于①企业，国别机构，行业专家，新闻媒体等嘉宾的邀请;②会议成果展示;③会议翻译等相关服务。 评审标准：方案各部分内容全面详细、阐述条理清晰详尽、符合本项目采购需求，能保障本项目实施得9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针对本项目提供服务质量保障措施，包括但不限于①服务质量承诺；②展会会期接待方案；③会期各项保障措施；④进度计划安排；⑤进度保障措施。 评审标准：方案各部分内容全面详细、阐述条理清晰详尽、符合本项目采购需求，能保障本项目实施得15分；评审内容每缺一项扣3分，扣完为止。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安全保障措施及应急预案</w:t>
            </w:r>
          </w:p>
        </w:tc>
        <w:tc>
          <w:tcPr>
            <w:tcW w:type="dxa" w:w="2492"/>
          </w:tcPr>
          <w:p>
            <w:pPr>
              <w:pStyle w:val="null3"/>
            </w:pPr>
            <w:r>
              <w:rPr>
                <w:rFonts w:ascii="仿宋_GB2312" w:hAnsi="仿宋_GB2312" w:cs="仿宋_GB2312" w:eastAsia="仿宋_GB2312"/>
              </w:rPr>
              <w:t>针对本项目提供安全保障措施及应急预案，包括但不限于①安全管理制度；②安保计划；③安保设备配备方案；④紧急医疗救援；⑤应对突发事件的处理措施。 评审标准：方案各部分内容全面详细、阐述条理清晰详尽、符合本项目采购需求，能保障本项目实施得15分；评审内容每缺一项扣3分，扣完为止。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拟派人员配备</w:t>
            </w:r>
          </w:p>
        </w:tc>
        <w:tc>
          <w:tcPr>
            <w:tcW w:type="dxa" w:w="2492"/>
          </w:tcPr>
          <w:p>
            <w:pPr>
              <w:pStyle w:val="null3"/>
            </w:pPr>
            <w:r>
              <w:rPr>
                <w:rFonts w:ascii="仿宋_GB2312" w:hAnsi="仿宋_GB2312" w:cs="仿宋_GB2312" w:eastAsia="仿宋_GB2312"/>
              </w:rPr>
              <w:t>针对本项目采购需求，拟派服务团队组织架构清晰，至少包含人员名单及岗位信息。提供拟派人员名单≥5人得5分，每增加一人得1分，最高的10分。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后期服务方案</w:t>
            </w:r>
          </w:p>
        </w:tc>
        <w:tc>
          <w:tcPr>
            <w:tcW w:type="dxa" w:w="2492"/>
          </w:tcPr>
          <w:p>
            <w:pPr>
              <w:pStyle w:val="null3"/>
            </w:pPr>
            <w:r>
              <w:rPr>
                <w:rFonts w:ascii="仿宋_GB2312" w:hAnsi="仿宋_GB2312" w:cs="仿宋_GB2312" w:eastAsia="仿宋_GB2312"/>
              </w:rPr>
              <w:t>针对本项目提供后期服务方案，包括但不限于①后期服务承诺及会议后期宣传；②全过程资料的收集、整理及移交。 评审标准：方案各部分内容全面详细、阐述条理清晰详尽、符合本项目采购需求，能保障本项目实施得8分；评审内容每缺一项扣4分，每有一处缺陷扣2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供应商提供（2023年6月至今）类似项目业绩，每提供 1 个得 2分，最高得 10分；业绩证明（以合同或中标通知书为准，须在文件中附合同的扫描件加盖单位公章。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