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版本号：ZX2026-03-22(二次)20260508001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童鞋等19种产品质量监督抽查项目(二次)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ZX2026-03-22(二次)</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童鞋等19种产品质量监督抽查项目(二次)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ZX2026-03-22(二次)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童鞋等19种产品质量监督抽查项目(二次)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本次采购为老视成镜等5种产品质量监督抽查。具体内容详见招标文件第三章。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1、法定代表人授权委托书：法定代表人参加投标的，须提供法定代表人身份证扫描件；法定代表人授权本单位他人参加投标的，须提供法定代表人授权委托书。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3、检验检测机构资质认定证书：提供投标人有效的检验检测机构资质认定证书（CMA）。</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马演 曹婷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采购包1保证金金额：9,032.24元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代理服务费收费标准：参照国家计委计价格[2002]1980号及发改办价格[2003]857号通知规定的标准按预算计取，由中标供应商支付代理服务费。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联系电话：029-88110800转8033（邮箱号：1053910307@qq.com）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本次采购为老视成镜等5种产品质量监督抽查。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499,000.00</w:t>
      </w:r>
    </w:p>
    <w:p>
      <w:pPr>
        <w:pStyle w:val="null3"/>
      </w:pPr>
      <w:r>
        <w:rPr>
          <w:rFonts w:ascii="仿宋_GB2312" w:hAnsi="仿宋_GB2312" w:cs="仿宋_GB2312" w:eastAsia="仿宋_GB2312"/>
        </w:rPr>
        <w:t>采购包最高限价（元）: 499,000.00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老视成镜等5种产品质量监督抽查</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499,000.00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标的名称：老视成镜等5种产品质量监督抽查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一、抽查内容及要求</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vMerge w:val="restart"/>
                </w:tcPr>
                <w:p>
                  <w:pPr>
                    <w:pStyle w:val="null3"/>
                  </w:pPr>
                  <w:r>
                    <w:rPr>
                      <w:rFonts w:ascii="仿宋_GB2312" w:hAnsi="仿宋_GB2312" w:cs="仿宋_GB2312" w:eastAsia="仿宋_GB2312"/>
                    </w:rPr>
                    <w:t>序号</w:t>
                  </w:r>
                </w:p>
              </w:tc>
              <w:tc>
                <w:tcPr>
                  <w:tcW w:type="dxa" w:w="319"/>
                  <w:vMerge w:val="restart"/>
                </w:tcPr>
                <w:p>
                  <w:pPr>
                    <w:pStyle w:val="null3"/>
                  </w:pPr>
                  <w:r>
                    <w:br/>
                  </w:r>
                  <w:r>
                    <w:rPr>
                      <w:rFonts w:ascii="仿宋_GB2312" w:hAnsi="仿宋_GB2312" w:cs="仿宋_GB2312" w:eastAsia="仿宋_GB2312"/>
                    </w:rPr>
                    <w:t xml:space="preserve"> 产品名称</w:t>
                  </w:r>
                </w:p>
              </w:tc>
              <w:tc>
                <w:tcPr>
                  <w:tcW w:type="dxa" w:w="319"/>
                  <w:vMerge w:val="restart"/>
                </w:tcPr>
                <w:p>
                  <w:pPr>
                    <w:pStyle w:val="null3"/>
                  </w:pPr>
                  <w:r>
                    <w:rPr>
                      <w:rFonts w:ascii="仿宋_GB2312" w:hAnsi="仿宋_GB2312" w:cs="仿宋_GB2312" w:eastAsia="仿宋_GB2312"/>
                    </w:rPr>
                    <w:t>购样</w:t>
                  </w:r>
                  <w:r>
                    <w:br/>
                  </w:r>
                  <w:r>
                    <w:rPr>
                      <w:rFonts w:ascii="仿宋_GB2312" w:hAnsi="仿宋_GB2312" w:cs="仿宋_GB2312" w:eastAsia="仿宋_GB2312"/>
                    </w:rPr>
                    <w:t xml:space="preserve"> 单批次价格</w:t>
                  </w:r>
                  <w:r>
                    <w:br/>
                  </w:r>
                  <w:r>
                    <w:rPr>
                      <w:rFonts w:ascii="仿宋_GB2312" w:hAnsi="仿宋_GB2312" w:cs="仿宋_GB2312" w:eastAsia="仿宋_GB2312"/>
                    </w:rPr>
                    <w:t xml:space="preserve"> （万元/批次）</w:t>
                  </w:r>
                </w:p>
              </w:tc>
              <w:tc>
                <w:tcPr>
                  <w:tcW w:type="dxa" w:w="638"/>
                  <w:gridSpan w:val="2"/>
                </w:tcPr>
                <w:p>
                  <w:pPr>
                    <w:pStyle w:val="null3"/>
                  </w:pPr>
                  <w:r>
                    <w:rPr>
                      <w:rFonts w:ascii="仿宋_GB2312" w:hAnsi="仿宋_GB2312" w:cs="仿宋_GB2312" w:eastAsia="仿宋_GB2312"/>
                    </w:rPr>
                    <w:t>定价招标，增加总批次数</w:t>
                  </w:r>
                </w:p>
              </w:tc>
              <w:tc>
                <w:tcPr>
                  <w:tcW w:type="dxa" w:w="319"/>
                  <w:vMerge w:val="restart"/>
                </w:tcPr>
                <w:p>
                  <w:pPr>
                    <w:pStyle w:val="null3"/>
                  </w:pPr>
                  <w:r>
                    <w:rPr>
                      <w:rFonts w:ascii="仿宋_GB2312" w:hAnsi="仿宋_GB2312" w:cs="仿宋_GB2312" w:eastAsia="仿宋_GB2312"/>
                    </w:rPr>
                    <w:t>批次递增，购样费用相应累加</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总抽检费</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执行标准及检验项目</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总批次数</w:t>
                  </w:r>
                </w:p>
              </w:tc>
              <w:tc>
                <w:tcPr>
                  <w:tcW w:type="dxa" w:w="319"/>
                  <w:vMerge w:val="restart"/>
                </w:tcPr>
                <w:p>
                  <w:pPr>
                    <w:pStyle w:val="null3"/>
                  </w:pPr>
                  <w:r>
                    <w:rPr>
                      <w:rFonts w:ascii="仿宋_GB2312" w:hAnsi="仿宋_GB2312" w:cs="仿宋_GB2312" w:eastAsia="仿宋_GB2312"/>
                    </w:rPr>
                    <w:t>其中网抽批次数</w:t>
                  </w:r>
                </w:p>
              </w:tc>
              <w:tc>
                <w:tcPr>
                  <w:tcW w:type="dxa" w:w="319"/>
                  <w:vMerge/>
                </w:tcPr>
                <w:p/>
              </w:tc>
              <w:tc>
                <w:tcPr>
                  <w:tcW w:type="dxa" w:w="319"/>
                  <w:vMerge/>
                </w:tcPr>
                <w:p/>
              </w:tc>
              <w:tc>
                <w:tcPr>
                  <w:tcW w:type="dxa" w:w="319"/>
                  <w:vMerge/>
                </w:tcPr>
                <w:p/>
              </w:tc>
            </w:tr>
            <w:tr>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r>
            <w:tr>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老视成镜</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1.5</w:t>
                  </w:r>
                </w:p>
              </w:tc>
              <w:tc>
                <w:tcPr>
                  <w:tcW w:type="dxa" w:w="319"/>
                  <w:vMerge w:val="restart"/>
                </w:tcPr>
                <w:p>
                  <w:pPr>
                    <w:pStyle w:val="null3"/>
                  </w:pPr>
                  <w:r>
                    <w:rPr>
                      <w:rFonts w:ascii="仿宋_GB2312" w:hAnsi="仿宋_GB2312" w:cs="仿宋_GB2312" w:eastAsia="仿宋_GB2312"/>
                    </w:rPr>
                    <w:t>49.9</w:t>
                  </w:r>
                </w:p>
              </w:tc>
              <w:tc>
                <w:tcPr>
                  <w:tcW w:type="dxa" w:w="319"/>
                </w:tcPr>
                <w:p>
                  <w:pPr>
                    <w:pStyle w:val="null3"/>
                  </w:pPr>
                  <w:r>
                    <w:rPr>
                      <w:rFonts w:ascii="仿宋_GB2312" w:hAnsi="仿宋_GB2312" w:cs="仿宋_GB2312" w:eastAsia="仿宋_GB2312"/>
                    </w:rPr>
                    <w:t>GB 13511.1—2011 配装眼镜  第1部分：单光和多焦点；GB/T 13511.3—2019 配装眼镜  第3部分：单光老视成镜：标志、镜片顶焦度、球镜顶焦度偏差、柱镜顶焦度偏差、光透射比、光学中心水平偏差、光学中心单侧水平偏差、光学中心垂直互差、两镜片顶焦度互差、装配质量</w:t>
                  </w:r>
                  <w:r>
                    <w:br/>
                  </w:r>
                  <w:r>
                    <w:rPr>
                      <w:rFonts w:ascii="仿宋_GB2312" w:hAnsi="仿宋_GB2312" w:cs="仿宋_GB2312" w:eastAsia="仿宋_GB2312"/>
                    </w:rPr>
                    <w:t xml:space="preserve"> 注1：标志的检验项目为GB 13511.1—2011中7.1 c），GB/T 13511.3—2019 中6.1 b）、6.2 b）；2：镜片顶焦度需检测两主子午面。</w:t>
                  </w:r>
                </w:p>
              </w:tc>
            </w:tr>
            <w:tr>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老人折叠拐杖椅</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35</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1.8</w:t>
                  </w:r>
                </w:p>
              </w:tc>
              <w:tc>
                <w:tcPr>
                  <w:tcW w:type="dxa" w:w="319"/>
                  <w:vMerge/>
                </w:tcPr>
                <w:p/>
              </w:tc>
              <w:tc>
                <w:tcPr>
                  <w:tcW w:type="dxa" w:w="319"/>
                </w:tcPr>
                <w:p>
                  <w:pPr>
                    <w:pStyle w:val="null3"/>
                  </w:pPr>
                  <w:r>
                    <w:rPr>
                      <w:rFonts w:ascii="仿宋_GB2312" w:hAnsi="仿宋_GB2312" w:cs="仿宋_GB2312" w:eastAsia="仿宋_GB2312"/>
                    </w:rPr>
                    <w:t>GB/T19545.5-2021：功能、手柄套、腿和支脚、调节与装配要求、折叠机构、跌落实验</w:t>
                  </w:r>
                </w:p>
              </w:tc>
            </w:tr>
            <w:tr>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座便椅</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2</w:t>
                  </w:r>
                </w:p>
              </w:tc>
              <w:tc>
                <w:tcPr>
                  <w:tcW w:type="dxa" w:w="319"/>
                  <w:vMerge/>
                </w:tcPr>
                <w:p/>
              </w:tc>
              <w:tc>
                <w:tcPr>
                  <w:tcW w:type="dxa" w:w="319"/>
                </w:tcPr>
                <w:p>
                  <w:pPr>
                    <w:pStyle w:val="null3"/>
                  </w:pPr>
                  <w:r>
                    <w:rPr>
                      <w:rFonts w:ascii="仿宋_GB2312" w:hAnsi="仿宋_GB2312" w:cs="仿宋_GB2312" w:eastAsia="仿宋_GB2312"/>
                    </w:rPr>
                    <w:t>GB/T24434-2009；GB/T 24434-2025：外观要求、坐便椅静载荷试验、坐便椅扶手静载荷试验、搁脚板静载荷试验、便盆静载荷试验、便盆容量要求</w:t>
                  </w:r>
                </w:p>
              </w:tc>
            </w:tr>
            <w:tr>
              <w:tc>
                <w:tcPr>
                  <w:tcW w:type="dxa" w:w="319"/>
                </w:tcPr>
                <w:p>
                  <w:pPr>
                    <w:pStyle w:val="null3"/>
                  </w:pPr>
                  <w:r>
                    <w:rPr>
                      <w:rFonts w:ascii="仿宋_GB2312" w:hAnsi="仿宋_GB2312" w:cs="仿宋_GB2312" w:eastAsia="仿宋_GB2312"/>
                    </w:rPr>
                    <w:t>4</w:t>
                  </w:r>
                </w:p>
              </w:tc>
              <w:tc>
                <w:tcPr>
                  <w:tcW w:type="dxa" w:w="319"/>
                </w:tcPr>
                <w:p>
                  <w:pPr>
                    <w:pStyle w:val="null3"/>
                  </w:pPr>
                  <w:r>
                    <w:rPr>
                      <w:rFonts w:ascii="仿宋_GB2312" w:hAnsi="仿宋_GB2312" w:cs="仿宋_GB2312" w:eastAsia="仿宋_GB2312"/>
                    </w:rPr>
                    <w:t>老年手机</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35</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1.8</w:t>
                  </w:r>
                </w:p>
              </w:tc>
              <w:tc>
                <w:tcPr>
                  <w:tcW w:type="dxa" w:w="319"/>
                  <w:vMerge/>
                </w:tcPr>
                <w:p/>
              </w:tc>
              <w:tc>
                <w:tcPr>
                  <w:tcW w:type="dxa" w:w="319"/>
                </w:tcPr>
                <w:p>
                  <w:pPr>
                    <w:pStyle w:val="null3"/>
                  </w:pPr>
                  <w:r>
                    <w:rPr>
                      <w:rFonts w:ascii="仿宋_GB2312" w:hAnsi="仿宋_GB2312" w:cs="仿宋_GB2312" w:eastAsia="仿宋_GB2312"/>
                    </w:rPr>
                    <w:t>GB4943.1-2022：导体的固定、直接插入电网电源输出插座的设备、直接安装导电金属零部件的热塑性零部件、电气间隙、爬电距离、抗电强度试验（湿热处理后）、热灼伤（接触温度限值）</w:t>
                  </w:r>
                </w:p>
              </w:tc>
            </w:tr>
            <w:tr>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手动轮椅车</w:t>
                  </w:r>
                </w:p>
              </w:tc>
              <w:tc>
                <w:tcPr>
                  <w:tcW w:type="dxa" w:w="319"/>
                </w:tcPr>
                <w:p>
                  <w:pPr>
                    <w:pStyle w:val="null3"/>
                  </w:pPr>
                  <w:r>
                    <w:rPr>
                      <w:rFonts w:ascii="仿宋_GB2312" w:hAnsi="仿宋_GB2312" w:cs="仿宋_GB2312" w:eastAsia="仿宋_GB2312"/>
                    </w:rPr>
                    <w:t>0.09</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3.6</w:t>
                  </w:r>
                </w:p>
              </w:tc>
              <w:tc>
                <w:tcPr>
                  <w:tcW w:type="dxa" w:w="319"/>
                  <w:vMerge/>
                </w:tcPr>
                <w:p/>
              </w:tc>
              <w:tc>
                <w:tcPr>
                  <w:tcW w:type="dxa" w:w="319"/>
                </w:tcPr>
                <w:p>
                  <w:pPr>
                    <w:pStyle w:val="null3"/>
                  </w:pPr>
                  <w:r>
                    <w:rPr>
                      <w:rFonts w:ascii="仿宋_GB2312" w:hAnsi="仿宋_GB2312" w:cs="仿宋_GB2312" w:eastAsia="仿宋_GB2312"/>
                    </w:rPr>
                    <w:t>GB/Z13800-2021：表面质量、装配质量、外形尺寸、质量、驻坡性能、行驶制动距离</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本项目补充说明：</w:t>
            </w:r>
          </w:p>
          <w:p>
            <w:pPr>
              <w:pStyle w:val="null3"/>
            </w:pPr>
            <w:r>
              <w:rPr>
                <w:rFonts w:ascii="仿宋_GB2312" w:hAnsi="仿宋_GB2312" w:cs="仿宋_GB2312" w:eastAsia="仿宋_GB2312"/>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pPr>
            <w:r>
              <w:rPr>
                <w:rFonts w:ascii="仿宋_GB2312" w:hAnsi="仿宋_GB2312" w:cs="仿宋_GB2312" w:eastAsia="仿宋_GB2312"/>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中标人应按照《产品质量法》《产品质量监督抽查管理暂行办法》（总局令第18号）等要求开展工作。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2.为落实中小企业扶持政策，因电子化制式限制，本项目支付约定以此为准： 2.1若中标单位为大型企业： 付款条件说明：合同签订后 ，达到付款条件起 30 日内，支付合同总金额的 85.00%。 付款条件说明： 服务期结束且验收合格后 ，达到付款条件起 30 日内，支付合同总金额的 15.00%。 2.2若中标单位为中小企业： 付款条件说明：合同签订后 ，达到付款条件起 10日内，支付合同总金额的 85.00%。 付款条件说明： 服务期结束且验收合格后 ，达到付款条件起 10日内，支付合同总金额的 15.00%。 3.本项目为定价招标，现对各投标人报价进行统一规定： 老视成镜等5种产品质量监督抽查：系统开标一览表及标的清单报价填写： 单价为9980.00元；投标总报价为499000.00元； 请各投标人按照上述报价规定进行报价，否则按无效投标处理。 各投标人根据自身情况另行响应拟投批次数量。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法定代表人参加投标的，须提供法定代表人身份证扫描件；法定代表人授权本单位他人参加投标的，须提供法定代表人授权委托书。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提供投标人有效的检验检测机构资质认定证书（CMA）。</w:t>
            </w:r>
          </w:p>
        </w:tc>
        <w:tc>
          <w:tcPr>
            <w:tcW w:type="dxa" w:w="1661"/>
          </w:tcPr>
          <w:p>
            <w:pPr>
              <w:pStyle w:val="null3"/>
            </w:pPr>
            <w:r>
              <w:rPr>
                <w:rFonts w:ascii="仿宋_GB2312" w:hAnsi="仿宋_GB2312" w:cs="仿宋_GB2312" w:eastAsia="仿宋_GB2312"/>
              </w:rPr>
              <w:t>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本项目不涉及。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满足本招标文件中3.3商务要求中服务期限、服务地点和3.5其他要求中的支付约定的要求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中小企业声明函 残疾人福利性单位声明函 4服务响应偏离表.docx 3承诺书.docx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注： 1、Pmax：所有有效投标人提交的该品目最终抽检批次中的最高值。 Pn：第n个供应商的该品目最终抽检批次。 2、计算分数时四舍五入取小数点后两位。 3、抽检批次依据投标人抽检批次响应表中的拟投批次数进行评审。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5抽检批次.docx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计算时四舍五入，保留整数），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 注：抽样检验周期指的是投标人该包所有品目抽样周期与检验周期的合计的平均值，抽检周期按有效工作日计算。例如，该包有3个品目，抽样检验周期=抽检周期（品目Ａ+品目Ｂ+品目Ｃ）/3,四舍五入到个位数。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6抽样检验周期.docx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机构内部工作部署方案包括：工作流程与操作规范；档案资料管理制度；样品保管制度等内容。 满足项目实施需求，无瑕疵，计6分； 每存在一处瑕疵扣1分； 存在6处及以上瑕疵或未提供，不计分。 注：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的定义同此处。） （2）抽检服务方案，8分 抽检服务方案包括：抽样工作的具体内容及组织安排；样品接收及核查机制；检验工作的具体内容及要求。 满足项目实施需求，无瑕疵，计8分； 每存在一处瑕疵扣1分； 存在8处及以上瑕疵或未提供，不计分。 （3）后期工作方案，6分 后期工作方案包括：配合异议处理及复检的工作内容和安排；检验结果的处理、保密工作、检验结果数据追溯的实施。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1.取得《中国合格评定国家认可委员会实验室认可证书》（CNAS）提供有效的认可证书复印件，并附官网查询截图（https://www.cnas.org.cn/）得3分。 2.提供检验项目比对表。具备所投产品的全部检验检测能力，供应商提供CMA资质及附表，对相应检验项目、检验依据做好明显标记。具备所投包含产品所有全部检验检测能力的，得10分，有缺项的，按品目计算每涉及一品目产品扣3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8能力建设.docx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一、根据供应商拟投入本项目的人员数量及相关行业职称水平赋分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①劳动合同或参保证明材料（2025年1月1日至今任意一个月的本单位的社保缴纳证明）、②职称证书或10年（含）以上产品检验证明材料等相关证明材料；抽样人员需提供劳动合同或参保证明材料（2025年1月1日至今任意一个月的本单位的社保缴纳证明）） 二、提供人员职称证书证书和任用证明等证明材料。 项目负责人，3分 该包产品的抽检工作项目负责人（同时负责该产品中标后服务），具有10年（含）以上检验工作经历和副高级及以上职称，得3分；具有10年（含）以上检验工作经历或副高级及以上职称，得2分；否则得0分。 （项目负责人需提供①劳动合同或参保证明材料（2025年1月1日至今任意一个月的本单位的社保缴纳证明）、②职称证书、③10年（含）以上检验工作经历证明材料）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9人员配备数量.docx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10项目实验室场所和设备配置.docx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一、产业总体情况及质量现状分析方案，6分 产业总体情况及质量现状分析材料（方案中需要对全国及陕西产业分布情况、产业现状、产品的质量现状、应用前景和发展趋势进行分析）： 满足项目实施需求，无瑕疵，计6分； 每存在一处瑕疵扣1分； 存在6处及以上瑕疵或未提供，不计分。 二、应急保障，4分 重点难点分析及应对措施，应急预案和紧急事件处置措施（涉及因素：人员、时间、距离、地域市场熟悉度）：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11产品质量分析及应急保障.docx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12服务责任承诺.docx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提供１个品目产品的描述的得1分，最多得4分。 二、供应商提供2024年1月至今类似抽检品目业绩（以完整合同（协议）或委托书复印件加盖公章及签订时间为准。每提供1份得2分，最多8分；未提供相关内容，得0分。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13业务能力与业绩状况.docx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详见附件：7项目服务方案.docx</w:t>
      </w:r>
    </w:p>
    <w:p>
      <w:pPr>
        <w:pStyle w:val="null3"/>
        <w:ind w:firstLine="960"/>
      </w:pPr>
      <w:r>
        <w:rPr>
          <w:rFonts w:ascii="仿宋_GB2312" w:hAnsi="仿宋_GB2312" w:cs="仿宋_GB2312" w:eastAsia="仿宋_GB2312"/>
        </w:rPr>
        <w:t>详见附件：8能力建设.docx</w:t>
      </w:r>
    </w:p>
    <w:p>
      <w:pPr>
        <w:pStyle w:val="null3"/>
        <w:ind w:firstLine="960"/>
      </w:pPr>
      <w:r>
        <w:rPr>
          <w:rFonts w:ascii="仿宋_GB2312" w:hAnsi="仿宋_GB2312" w:cs="仿宋_GB2312" w:eastAsia="仿宋_GB2312"/>
        </w:rPr>
        <w:t>详见附件：9人员配备数量.docx</w:t>
      </w:r>
    </w:p>
    <w:p>
      <w:pPr>
        <w:pStyle w:val="null3"/>
        <w:ind w:firstLine="960"/>
      </w:pPr>
      <w:r>
        <w:rPr>
          <w:rFonts w:ascii="仿宋_GB2312" w:hAnsi="仿宋_GB2312" w:cs="仿宋_GB2312" w:eastAsia="仿宋_GB2312"/>
        </w:rPr>
        <w:t>详见附件：10项目实验室场所和设备配置.docx</w:t>
      </w:r>
    </w:p>
    <w:p>
      <w:pPr>
        <w:pStyle w:val="null3"/>
        <w:ind w:firstLine="960"/>
      </w:pPr>
      <w:r>
        <w:rPr>
          <w:rFonts w:ascii="仿宋_GB2312" w:hAnsi="仿宋_GB2312" w:cs="仿宋_GB2312" w:eastAsia="仿宋_GB2312"/>
        </w:rPr>
        <w:t>详见附件：11产品质量分析及应急保障.docx</w:t>
      </w:r>
    </w:p>
    <w:p>
      <w:pPr>
        <w:pStyle w:val="null3"/>
        <w:ind w:firstLine="960"/>
      </w:pPr>
      <w:r>
        <w:rPr>
          <w:rFonts w:ascii="仿宋_GB2312" w:hAnsi="仿宋_GB2312" w:cs="仿宋_GB2312" w:eastAsia="仿宋_GB2312"/>
        </w:rPr>
        <w:t>详见附件：12服务责任承诺.docx</w:t>
      </w:r>
    </w:p>
    <w:p>
      <w:pPr>
        <w:pStyle w:val="null3"/>
        <w:ind w:firstLine="960"/>
      </w:pPr>
      <w:r>
        <w:rPr>
          <w:rFonts w:ascii="仿宋_GB2312" w:hAnsi="仿宋_GB2312" w:cs="仿宋_GB2312" w:eastAsia="仿宋_GB2312"/>
        </w:rPr>
        <w:t>详见附件：13业务能力与业绩状况.docx</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详见附件：5抽检批次.docx</w:t>
      </w:r>
    </w:p>
    <w:p>
      <w:pPr>
        <w:pStyle w:val="null3"/>
        <w:ind w:firstLine="960"/>
      </w:pPr>
      <w:r>
        <w:rPr>
          <w:rFonts w:ascii="仿宋_GB2312" w:hAnsi="仿宋_GB2312" w:cs="仿宋_GB2312" w:eastAsia="仿宋_GB2312"/>
        </w:rPr>
        <w:t>详见附件：6抽样检验周期.docx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