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1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2F76E4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840A758">
            <w:pPr>
              <w:pStyle w:val="16"/>
            </w:pPr>
            <w:r>
              <w:rPr>
                <w:rFonts w:ascii="仿宋_GB2312" w:hAnsi="仿宋_GB2312" w:eastAsia="仿宋_GB2312" w:cs="仿宋_GB2312"/>
              </w:rPr>
              <w:t xml:space="preserve"> 序号</w:t>
            </w:r>
          </w:p>
        </w:tc>
        <w:tc>
          <w:tcPr>
            <w:tcW w:w="2769" w:type="dxa"/>
          </w:tcPr>
          <w:p w14:paraId="26D01FB7">
            <w:pPr>
              <w:pStyle w:val="16"/>
            </w:pPr>
            <w:r>
              <w:rPr>
                <w:rFonts w:ascii="仿宋_GB2312" w:hAnsi="仿宋_GB2312" w:eastAsia="仿宋_GB2312" w:cs="仿宋_GB2312"/>
              </w:rPr>
              <w:t xml:space="preserve"> 参数性质</w:t>
            </w:r>
          </w:p>
        </w:tc>
        <w:tc>
          <w:tcPr>
            <w:tcW w:w="2769" w:type="dxa"/>
          </w:tcPr>
          <w:p w14:paraId="593353D7">
            <w:pPr>
              <w:pStyle w:val="16"/>
            </w:pPr>
            <w:r>
              <w:rPr>
                <w:rFonts w:ascii="仿宋_GB2312" w:hAnsi="仿宋_GB2312" w:eastAsia="仿宋_GB2312" w:cs="仿宋_GB2312"/>
              </w:rPr>
              <w:t xml:space="preserve"> 技术参数与性能指标</w:t>
            </w:r>
          </w:p>
        </w:tc>
      </w:tr>
      <w:tr w14:paraId="1A80A1B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C77BD2C">
            <w:pPr>
              <w:pStyle w:val="16"/>
            </w:pPr>
            <w:r>
              <w:rPr>
                <w:rFonts w:ascii="仿宋_GB2312" w:hAnsi="仿宋_GB2312" w:eastAsia="仿宋_GB2312" w:cs="仿宋_GB2312"/>
              </w:rPr>
              <w:t>1</w:t>
            </w:r>
          </w:p>
        </w:tc>
        <w:tc>
          <w:tcPr>
            <w:tcW w:w="2769" w:type="dxa"/>
          </w:tcPr>
          <w:p w14:paraId="7F93C9C7"/>
        </w:tc>
        <w:tc>
          <w:tcPr>
            <w:tcW w:w="2769" w:type="dxa"/>
          </w:tcPr>
          <w:p w14:paraId="2DDA99F8">
            <w:pPr>
              <w:pStyle w:val="16"/>
              <w:jc w:val="both"/>
            </w:pPr>
            <w:r>
              <w:rPr>
                <w:rFonts w:ascii="仿宋_GB2312" w:hAnsi="仿宋_GB2312" w:eastAsia="仿宋_GB2312" w:cs="仿宋_GB2312"/>
                <w:b/>
                <w:sz w:val="21"/>
              </w:rPr>
              <w:t>1.服务范围：</w:t>
            </w:r>
            <w:r>
              <w:rPr>
                <w:rFonts w:ascii="仿宋_GB2312" w:hAnsi="仿宋_GB2312" w:eastAsia="仿宋_GB2312" w:cs="仿宋_GB2312"/>
                <w:sz w:val="21"/>
              </w:rPr>
              <w:t>西安医学院未央校区污水处理站整体运营</w:t>
            </w:r>
          </w:p>
          <w:p w14:paraId="631E26B4">
            <w:pPr>
              <w:pStyle w:val="16"/>
              <w:jc w:val="both"/>
            </w:pPr>
            <w:r>
              <w:rPr>
                <w:rFonts w:ascii="仿宋_GB2312" w:hAnsi="仿宋_GB2312" w:eastAsia="仿宋_GB2312" w:cs="仿宋_GB2312"/>
                <w:b/>
                <w:sz w:val="21"/>
              </w:rPr>
              <w:t>2.服务要求：</w:t>
            </w:r>
          </w:p>
          <w:p w14:paraId="1CA1AECE">
            <w:pPr>
              <w:pStyle w:val="16"/>
              <w:jc w:val="left"/>
            </w:pPr>
            <w:r>
              <w:rPr>
                <w:rFonts w:ascii="仿宋_GB2312" w:hAnsi="仿宋_GB2312" w:eastAsia="仿宋_GB2312" w:cs="仿宋_GB2312"/>
                <w:b/>
                <w:sz w:val="21"/>
              </w:rPr>
              <w:t>（1）服务内容</w:t>
            </w:r>
            <w:r>
              <w:rPr>
                <w:rFonts w:ascii="仿宋_GB2312" w:hAnsi="仿宋_GB2312" w:eastAsia="仿宋_GB2312" w:cs="仿宋_GB2312"/>
                <w:sz w:val="21"/>
              </w:rPr>
              <w:t>备设施的日常运行、维修、维护保养；工作人员配备；排放水水质达标</w:t>
            </w:r>
            <w:r>
              <w:rPr>
                <w:rFonts w:ascii="仿宋_GB2312" w:hAnsi="仿宋_GB2312" w:eastAsia="仿宋_GB2312" w:cs="仿宋_GB2312"/>
                <w:b/>
                <w:sz w:val="21"/>
              </w:rPr>
              <w:t>：</w:t>
            </w:r>
            <w:r>
              <w:rPr>
                <w:rFonts w:ascii="仿宋_GB2312" w:hAnsi="仿宋_GB2312" w:eastAsia="仿宋_GB2312" w:cs="仿宋_GB2312"/>
                <w:sz w:val="21"/>
              </w:rPr>
              <w:t>污水处理站及污水提升站日常运行工作；设排放；回用水水质达标回用；每月向采购人提供一次水质检测报告（检测报告需加盖具备检测资质的第三方单位的检测专用章和供应商公章）；脱水后污泥的处置；假期后的细菌活性恢复或培菌；保障中水供应，确保污水站安全，污水站内物业保洁及绿化等工作。</w:t>
            </w:r>
          </w:p>
          <w:p w14:paraId="0989EEDB">
            <w:pPr>
              <w:pStyle w:val="16"/>
              <w:jc w:val="both"/>
            </w:pPr>
            <w:r>
              <w:rPr>
                <w:rFonts w:ascii="仿宋_GB2312" w:hAnsi="仿宋_GB2312" w:eastAsia="仿宋_GB2312" w:cs="仿宋_GB2312"/>
                <w:b/>
                <w:sz w:val="21"/>
              </w:rPr>
              <w:t>（2）达标排放：</w:t>
            </w:r>
            <w:r>
              <w:rPr>
                <w:rFonts w:ascii="仿宋_GB2312" w:hAnsi="仿宋_GB2312" w:eastAsia="仿宋_GB2312" w:cs="仿宋_GB2312"/>
                <w:sz w:val="21"/>
              </w:rPr>
              <w:t>污水处理站 2010 年建成使用，主要设备及构筑物见附录。设计污水处理量3000m</w:t>
            </w:r>
            <w:r>
              <w:rPr>
                <w:rFonts w:ascii="仿宋_GB2312" w:hAnsi="仿宋_GB2312" w:eastAsia="仿宋_GB2312" w:cs="仿宋_GB2312"/>
                <w:sz w:val="21"/>
                <w:vertAlign w:val="superscript"/>
              </w:rPr>
              <w:t>3</w:t>
            </w:r>
            <w:r>
              <w:rPr>
                <w:rFonts w:ascii="仿宋_GB2312" w:hAnsi="仿宋_GB2312" w:eastAsia="仿宋_GB2312" w:cs="仿宋_GB2312"/>
                <w:sz w:val="21"/>
              </w:rPr>
              <w:t>/d。运行期间污水处理量1500m</w:t>
            </w:r>
            <w:r>
              <w:rPr>
                <w:rFonts w:ascii="仿宋_GB2312" w:hAnsi="仿宋_GB2312" w:eastAsia="仿宋_GB2312" w:cs="仿宋_GB2312"/>
                <w:sz w:val="21"/>
                <w:vertAlign w:val="superscript"/>
              </w:rPr>
              <w:t>3</w:t>
            </w:r>
            <w:r>
              <w:rPr>
                <w:rFonts w:ascii="仿宋_GB2312" w:hAnsi="仿宋_GB2312" w:eastAsia="仿宋_GB2312" w:cs="仿宋_GB2312"/>
                <w:sz w:val="21"/>
              </w:rPr>
              <w:t>/d，处理后外排出水水质达到《污水综合排放标准》（GB8978-1996）一级排放标准、《污水排入城镇下水道水质标准》（GB/T31962-2015）C级标准及《医疗机构水污染物排放标准》（GB18466-2005）中表2排放标准限值。</w:t>
            </w:r>
          </w:p>
          <w:p w14:paraId="53E652B4">
            <w:pPr>
              <w:pStyle w:val="16"/>
              <w:jc w:val="both"/>
            </w:pPr>
            <w:r>
              <w:rPr>
                <w:rFonts w:ascii="仿宋_GB2312" w:hAnsi="仿宋_GB2312" w:eastAsia="仿宋_GB2312" w:cs="仿宋_GB2312"/>
                <w:sz w:val="21"/>
              </w:rPr>
              <w:t>回用水量为1500m</w:t>
            </w:r>
            <w:r>
              <w:rPr>
                <w:rFonts w:ascii="仿宋_GB2312" w:hAnsi="仿宋_GB2312" w:eastAsia="仿宋_GB2312" w:cs="仿宋_GB2312"/>
                <w:sz w:val="21"/>
                <w:vertAlign w:val="superscript"/>
              </w:rPr>
              <w:t>3</w:t>
            </w:r>
            <w:r>
              <w:rPr>
                <w:rFonts w:ascii="仿宋_GB2312" w:hAnsi="仿宋_GB2312" w:eastAsia="仿宋_GB2312" w:cs="仿宋_GB2312"/>
                <w:sz w:val="21"/>
              </w:rPr>
              <w:t>/d，回用水水质达到《城市污水再生利用城市杂用水水质标准》（GB/T18920-2020）中规定的绿化及道路喷洒用水水质指标。</w:t>
            </w:r>
          </w:p>
          <w:p w14:paraId="378CA6B9">
            <w:pPr>
              <w:pStyle w:val="16"/>
              <w:jc w:val="both"/>
            </w:pPr>
            <w:r>
              <w:rPr>
                <w:rFonts w:ascii="仿宋_GB2312" w:hAnsi="仿宋_GB2312" w:eastAsia="仿宋_GB2312" w:cs="仿宋_GB2312"/>
                <w:b/>
                <w:sz w:val="21"/>
              </w:rPr>
              <w:t>（3）水质化验自检：</w:t>
            </w:r>
          </w:p>
          <w:p w14:paraId="779FDDC3">
            <w:pPr>
              <w:pStyle w:val="16"/>
              <w:jc w:val="both"/>
            </w:pPr>
            <w:r>
              <w:rPr>
                <w:rFonts w:ascii="仿宋_GB2312" w:hAnsi="仿宋_GB2312" w:eastAsia="仿宋_GB2312" w:cs="仿宋_GB2312"/>
                <w:sz w:val="21"/>
              </w:rPr>
              <w:t>1）日常自检监测指标：出水生化需氧量（BOD</w:t>
            </w:r>
            <w:r>
              <w:rPr>
                <w:rFonts w:ascii="仿宋_GB2312" w:hAnsi="仿宋_GB2312" w:eastAsia="仿宋_GB2312" w:cs="仿宋_GB2312"/>
                <w:sz w:val="21"/>
                <w:vertAlign w:val="subscript"/>
              </w:rPr>
              <w:t>5</w:t>
            </w:r>
            <w:r>
              <w:rPr>
                <w:rFonts w:ascii="仿宋_GB2312" w:hAnsi="仿宋_GB2312" w:eastAsia="仿宋_GB2312" w:cs="仿宋_GB2312"/>
                <w:sz w:val="21"/>
              </w:rPr>
              <w:t>）、化学需氧量（COD</w:t>
            </w:r>
            <w:r>
              <w:rPr>
                <w:rFonts w:ascii="仿宋_GB2312" w:hAnsi="仿宋_GB2312" w:eastAsia="仿宋_GB2312" w:cs="仿宋_GB2312"/>
                <w:sz w:val="21"/>
                <w:vertAlign w:val="subscript"/>
              </w:rPr>
              <w:t>Cr</w:t>
            </w:r>
            <w:r>
              <w:rPr>
                <w:rFonts w:ascii="仿宋_GB2312" w:hAnsi="仿宋_GB2312" w:eastAsia="仿宋_GB2312" w:cs="仿宋_GB2312"/>
                <w:sz w:val="21"/>
              </w:rPr>
              <w:t>）、悬浮物（SS）、溶解性总固体、氨氮（NH</w:t>
            </w:r>
            <w:r>
              <w:rPr>
                <w:rFonts w:ascii="仿宋_GB2312" w:hAnsi="仿宋_GB2312" w:eastAsia="仿宋_GB2312" w:cs="仿宋_GB2312"/>
                <w:sz w:val="21"/>
                <w:vertAlign w:val="subscript"/>
              </w:rPr>
              <w:t>3</w:t>
            </w:r>
            <w:r>
              <w:rPr>
                <w:rFonts w:ascii="仿宋_GB2312" w:hAnsi="仿宋_GB2312" w:eastAsia="仿宋_GB2312" w:cs="仿宋_GB2312"/>
                <w:sz w:val="21"/>
              </w:rPr>
              <w:t>-N）、总磷、PH 值、动植物油、粪大肠菌群。（具体按实际约定执行）；</w:t>
            </w:r>
          </w:p>
          <w:p w14:paraId="7112DBD1">
            <w:pPr>
              <w:pStyle w:val="16"/>
              <w:jc w:val="both"/>
            </w:pPr>
            <w:r>
              <w:rPr>
                <w:rFonts w:ascii="仿宋_GB2312" w:hAnsi="仿宋_GB2312" w:eastAsia="仿宋_GB2312" w:cs="仿宋_GB2312"/>
                <w:sz w:val="21"/>
              </w:rPr>
              <w:t>2）自检频率：不少于每月 1 次；</w:t>
            </w:r>
          </w:p>
          <w:p w14:paraId="67F6974A">
            <w:pPr>
              <w:pStyle w:val="16"/>
              <w:jc w:val="both"/>
            </w:pPr>
            <w:r>
              <w:rPr>
                <w:rFonts w:ascii="仿宋_GB2312" w:hAnsi="仿宋_GB2312" w:eastAsia="仿宋_GB2312" w:cs="仿宋_GB2312"/>
                <w:sz w:val="21"/>
              </w:rPr>
              <w:t>3）自检要求：由具有检测资质（CMA）的第三方现场采样进行，所有检测报告需加盖具备检测资质的第三方单位的检测专用章和公章）。</w:t>
            </w:r>
          </w:p>
          <w:p w14:paraId="0FAEE5FD">
            <w:pPr>
              <w:pStyle w:val="16"/>
              <w:jc w:val="both"/>
            </w:pPr>
            <w:r>
              <w:rPr>
                <w:rFonts w:ascii="仿宋_GB2312" w:hAnsi="仿宋_GB2312" w:eastAsia="仿宋_GB2312" w:cs="仿宋_GB2312"/>
                <w:b/>
                <w:sz w:val="21"/>
              </w:rPr>
              <w:t>（4）污泥处理：</w:t>
            </w:r>
          </w:p>
          <w:p w14:paraId="4471C464">
            <w:pPr>
              <w:pStyle w:val="16"/>
              <w:jc w:val="both"/>
            </w:pPr>
            <w:r>
              <w:rPr>
                <w:rFonts w:ascii="仿宋_GB2312" w:hAnsi="仿宋_GB2312" w:eastAsia="仿宋_GB2312" w:cs="仿宋_GB2312"/>
                <w:sz w:val="21"/>
              </w:rPr>
              <w:t>1）污泥：指在污水处理过程中产生的泥类物质；</w:t>
            </w:r>
          </w:p>
          <w:p w14:paraId="7931104E">
            <w:pPr>
              <w:pStyle w:val="16"/>
              <w:jc w:val="both"/>
            </w:pPr>
            <w:r>
              <w:rPr>
                <w:rFonts w:ascii="仿宋_GB2312" w:hAnsi="仿宋_GB2312" w:eastAsia="仿宋_GB2312" w:cs="仿宋_GB2312"/>
                <w:sz w:val="21"/>
              </w:rPr>
              <w:t>2）处置要求：产生的污泥须及时外运处理，外运处置需委托具有相关危（固）废处置资质单位进行处理，并提供转运单。</w:t>
            </w:r>
          </w:p>
          <w:p w14:paraId="2F7B4B3C">
            <w:pPr>
              <w:pStyle w:val="16"/>
              <w:jc w:val="both"/>
            </w:pPr>
            <w:r>
              <w:rPr>
                <w:rFonts w:ascii="仿宋_GB2312" w:hAnsi="仿宋_GB2312" w:eastAsia="仿宋_GB2312" w:cs="仿宋_GB2312"/>
                <w:b/>
                <w:sz w:val="21"/>
              </w:rPr>
              <w:t>（5）管理内容</w:t>
            </w:r>
          </w:p>
          <w:p w14:paraId="09B732DE">
            <w:pPr>
              <w:pStyle w:val="16"/>
              <w:jc w:val="both"/>
            </w:pPr>
            <w:r>
              <w:rPr>
                <w:rFonts w:ascii="仿宋_GB2312" w:hAnsi="仿宋_GB2312" w:eastAsia="仿宋_GB2312" w:cs="仿宋_GB2312"/>
                <w:sz w:val="21"/>
              </w:rPr>
              <w:t>1）负责西安医学院污水站的系统日常运行、管理、维护、维修、检测等工作，并符合国家相关标准，因设施设备老化故障无法继续使用需更新相关设施设备，并承担相关费用；</w:t>
            </w:r>
          </w:p>
          <w:p w14:paraId="1E239895">
            <w:pPr>
              <w:pStyle w:val="16"/>
              <w:jc w:val="both"/>
            </w:pPr>
            <w:r>
              <w:rPr>
                <w:rFonts w:ascii="仿宋_GB2312" w:hAnsi="仿宋_GB2312" w:eastAsia="仿宋_GB2312" w:cs="仿宋_GB2312"/>
                <w:sz w:val="21"/>
              </w:rPr>
              <w:t>2）协助校方到相关管理部门办理审批工作、相关网上排污信息平台的填报工作；</w:t>
            </w:r>
          </w:p>
          <w:p w14:paraId="2BA90211">
            <w:pPr>
              <w:pStyle w:val="16"/>
              <w:jc w:val="both"/>
            </w:pPr>
            <w:r>
              <w:rPr>
                <w:rFonts w:ascii="仿宋_GB2312" w:hAnsi="仿宋_GB2312" w:eastAsia="仿宋_GB2312" w:cs="仿宋_GB2312"/>
                <w:sz w:val="21"/>
              </w:rPr>
              <w:t>3）负责污水站原料搬运、储存、使用中的安全及设备的运行操作安全；</w:t>
            </w:r>
          </w:p>
          <w:p w14:paraId="0CD8E492">
            <w:pPr>
              <w:pStyle w:val="16"/>
              <w:jc w:val="both"/>
            </w:pPr>
            <w:r>
              <w:rPr>
                <w:rFonts w:ascii="仿宋_GB2312" w:hAnsi="仿宋_GB2312" w:eastAsia="仿宋_GB2312" w:cs="仿宋_GB2312"/>
                <w:sz w:val="21"/>
              </w:rPr>
              <w:t>4）污泥及栅渣的清理处理；</w:t>
            </w:r>
          </w:p>
          <w:p w14:paraId="043F5889">
            <w:pPr>
              <w:pStyle w:val="16"/>
              <w:jc w:val="both"/>
            </w:pPr>
            <w:r>
              <w:rPr>
                <w:rFonts w:ascii="仿宋_GB2312" w:hAnsi="仿宋_GB2312" w:eastAsia="仿宋_GB2312" w:cs="仿宋_GB2312"/>
                <w:sz w:val="21"/>
              </w:rPr>
              <w:t>5）站内安全管理工作；</w:t>
            </w:r>
          </w:p>
          <w:p w14:paraId="56C8824C">
            <w:pPr>
              <w:pStyle w:val="16"/>
              <w:jc w:val="both"/>
            </w:pPr>
            <w:r>
              <w:rPr>
                <w:rFonts w:ascii="仿宋_GB2312" w:hAnsi="仿宋_GB2312" w:eastAsia="仿宋_GB2312" w:cs="仿宋_GB2312"/>
                <w:sz w:val="21"/>
              </w:rPr>
              <w:t>6）爱护站内构筑物，人为造成损坏需修复；</w:t>
            </w:r>
          </w:p>
          <w:p w14:paraId="3D87FF45">
            <w:pPr>
              <w:pStyle w:val="16"/>
              <w:jc w:val="both"/>
            </w:pPr>
            <w:r>
              <w:rPr>
                <w:rFonts w:ascii="仿宋_GB2312" w:hAnsi="仿宋_GB2312" w:eastAsia="仿宋_GB2312" w:cs="仿宋_GB2312"/>
                <w:sz w:val="21"/>
              </w:rPr>
              <w:t>7）承担污水处理站参观人员的讲解及解说工作。</w:t>
            </w:r>
          </w:p>
          <w:p w14:paraId="59D945A2">
            <w:pPr>
              <w:pStyle w:val="16"/>
              <w:jc w:val="both"/>
            </w:pPr>
            <w:r>
              <w:rPr>
                <w:rFonts w:ascii="仿宋_GB2312" w:hAnsi="仿宋_GB2312" w:eastAsia="仿宋_GB2312" w:cs="仿宋_GB2312"/>
                <w:sz w:val="21"/>
              </w:rPr>
              <w:t>8）管道定期更换</w:t>
            </w:r>
          </w:p>
          <w:p w14:paraId="27F707E8">
            <w:pPr>
              <w:pStyle w:val="16"/>
              <w:jc w:val="both"/>
            </w:pPr>
            <w:r>
              <w:rPr>
                <w:rFonts w:ascii="仿宋_GB2312" w:hAnsi="仿宋_GB2312" w:eastAsia="仿宋_GB2312" w:cs="仿宋_GB2312"/>
                <w:sz w:val="21"/>
              </w:rPr>
              <w:t>为确保生化系统安全稳定运行运营单位须按照以下要求对CASS 反应池内池底曝气系统优化更新，具体要求如下：每个运维合同期内更换 2 格（含管道支架，站内共 4 格），现有池底管道为国标工业级 UPVC 管，承压等级≥PN10，原则上管径、支架、微孔曝气器更新需与原设计参数一致，如有先进工艺，在满足生化系统运行要求的情况下亦可采用，应由运营单位承担改变工艺所造成的一切后果。</w:t>
            </w:r>
          </w:p>
          <w:p w14:paraId="6BA10D09">
            <w:pPr>
              <w:pStyle w:val="16"/>
              <w:jc w:val="both"/>
            </w:pPr>
            <w:r>
              <w:rPr>
                <w:rFonts w:ascii="仿宋_GB2312" w:hAnsi="仿宋_GB2312" w:eastAsia="仿宋_GB2312" w:cs="仿宋_GB2312"/>
                <w:sz w:val="21"/>
              </w:rPr>
              <w:t>9）遇国家、行业标准规范修订更新，一律执行最新版本，由供应商承担可能产生的风险。</w:t>
            </w:r>
          </w:p>
          <w:p w14:paraId="1AA9588D">
            <w:pPr>
              <w:pStyle w:val="16"/>
              <w:jc w:val="both"/>
            </w:pPr>
            <w:r>
              <w:rPr>
                <w:rFonts w:ascii="仿宋_GB2312" w:hAnsi="仿宋_GB2312" w:eastAsia="仿宋_GB2312" w:cs="仿宋_GB2312"/>
                <w:b/>
                <w:sz w:val="21"/>
              </w:rPr>
              <w:t>3.其他服务要求：</w:t>
            </w:r>
          </w:p>
          <w:p w14:paraId="1F2F0ABF">
            <w:pPr>
              <w:pStyle w:val="16"/>
              <w:jc w:val="both"/>
            </w:pPr>
            <w:r>
              <w:rPr>
                <w:rFonts w:ascii="仿宋_GB2312" w:hAnsi="仿宋_GB2312" w:eastAsia="仿宋_GB2312" w:cs="仿宋_GB2312"/>
                <w:sz w:val="21"/>
              </w:rPr>
              <w:t>（1）站内设备所有权归学校所有，确保生产污水经过治理后的各项指标达到标准，如遇标准更新必须以更新后标准为准。运营期间做好节电节水管控。</w:t>
            </w:r>
          </w:p>
          <w:p w14:paraId="2B6B84F7">
            <w:pPr>
              <w:pStyle w:val="16"/>
              <w:jc w:val="both"/>
            </w:pPr>
            <w:r>
              <w:rPr>
                <w:rFonts w:ascii="仿宋_GB2312" w:hAnsi="仿宋_GB2312" w:eastAsia="仿宋_GB2312" w:cs="仿宋_GB2312"/>
                <w:sz w:val="21"/>
              </w:rPr>
              <w:t>（2）运行、维修保养、人事培训、安全、工艺控制、监测数据、材料等以及所有其他重要事件提供完整的记录。</w:t>
            </w:r>
          </w:p>
          <w:p w14:paraId="65F88A58">
            <w:pPr>
              <w:pStyle w:val="16"/>
              <w:jc w:val="both"/>
            </w:pPr>
            <w:r>
              <w:rPr>
                <w:rFonts w:ascii="仿宋_GB2312" w:hAnsi="仿宋_GB2312" w:eastAsia="仿宋_GB2312" w:cs="仿宋_GB2312"/>
                <w:sz w:val="21"/>
              </w:rPr>
              <w:t>（3）确保根据国家和地方政府颁布的规章制度要求进行采样、分析、完成报告，并为采样、测试、分析提供质量控制、质量保证。</w:t>
            </w:r>
          </w:p>
          <w:p w14:paraId="36E32520">
            <w:pPr>
              <w:pStyle w:val="16"/>
              <w:jc w:val="both"/>
            </w:pPr>
            <w:r>
              <w:rPr>
                <w:rFonts w:ascii="仿宋_GB2312" w:hAnsi="仿宋_GB2312" w:eastAsia="仿宋_GB2312" w:cs="仿宋_GB2312"/>
                <w:sz w:val="21"/>
              </w:rPr>
              <w:t>（4）确保提供管理和技术支持服务，确保污水处理站处理系统有效运行。</w:t>
            </w:r>
          </w:p>
          <w:p w14:paraId="525BFF1F">
            <w:pPr>
              <w:pStyle w:val="16"/>
              <w:jc w:val="both"/>
            </w:pPr>
            <w:r>
              <w:rPr>
                <w:rFonts w:ascii="仿宋_GB2312" w:hAnsi="仿宋_GB2312" w:eastAsia="仿宋_GB2312" w:cs="仿宋_GB2312"/>
                <w:sz w:val="21"/>
              </w:rPr>
              <w:t>（5）确保建立完善的操作规程，建立紧急应急预案机制。</w:t>
            </w:r>
          </w:p>
          <w:p w14:paraId="5C21E7E8">
            <w:pPr>
              <w:pStyle w:val="16"/>
              <w:jc w:val="both"/>
            </w:pPr>
            <w:r>
              <w:rPr>
                <w:rFonts w:ascii="仿宋_GB2312" w:hAnsi="仿宋_GB2312" w:eastAsia="仿宋_GB2312" w:cs="仿宋_GB2312"/>
                <w:sz w:val="21"/>
              </w:rPr>
              <w:t>（6）污水站栅渣、污泥、垃圾的清理，并做好记录。</w:t>
            </w:r>
          </w:p>
          <w:p w14:paraId="5FBAD103">
            <w:pPr>
              <w:pStyle w:val="16"/>
              <w:jc w:val="both"/>
            </w:pPr>
            <w:r>
              <w:rPr>
                <w:rFonts w:ascii="仿宋_GB2312" w:hAnsi="仿宋_GB2312" w:eastAsia="仿宋_GB2312" w:cs="仿宋_GB2312"/>
                <w:sz w:val="21"/>
              </w:rPr>
              <w:t>（7）建立监测报告制度：污水处理站的运行日志、监测记录、维修记录、固体废弃物处理台帐、污水排放记录表等必须详实纪录并妥善保存，当合同期满后，完整移交给校方。在管理期内，配合校方做好上级部门的监督检查及办理环保相关业务工作，并承担检查结果所造成的一切后果。</w:t>
            </w:r>
          </w:p>
          <w:p w14:paraId="4E0947AA">
            <w:pPr>
              <w:pStyle w:val="16"/>
              <w:jc w:val="both"/>
            </w:pPr>
            <w:r>
              <w:rPr>
                <w:rFonts w:ascii="仿宋_GB2312" w:hAnsi="仿宋_GB2312" w:eastAsia="仿宋_GB2312" w:cs="仿宋_GB2312"/>
                <w:sz w:val="21"/>
              </w:rPr>
              <w:t>（8）建立维修维护保养制度，有计划性的进行维护保养，保障污水处理站设施设备正常运行、保持良好的处理效果。</w:t>
            </w:r>
          </w:p>
          <w:p w14:paraId="7D1B9201">
            <w:pPr>
              <w:pStyle w:val="16"/>
              <w:jc w:val="both"/>
            </w:pPr>
            <w:r>
              <w:rPr>
                <w:rFonts w:ascii="仿宋_GB2312" w:hAnsi="仿宋_GB2312" w:eastAsia="仿宋_GB2312" w:cs="仿宋_GB2312"/>
                <w:sz w:val="21"/>
              </w:rPr>
              <w:t>（9）负责提供污水处理站运营所需的药剂。本预算金额已包含污水站消耗药剂费用。</w:t>
            </w:r>
          </w:p>
          <w:p w14:paraId="12D3A93E">
            <w:pPr>
              <w:pStyle w:val="16"/>
              <w:jc w:val="both"/>
            </w:pPr>
            <w:r>
              <w:rPr>
                <w:rFonts w:ascii="仿宋_GB2312" w:hAnsi="仿宋_GB2312" w:eastAsia="仿宋_GB2312" w:cs="仿宋_GB2312"/>
                <w:sz w:val="21"/>
              </w:rPr>
              <w:t>（10）日常应急性设备故障，在 2 小时内完成；如果需外出采购，在 36 小时内完成；如果需外协加工，在 48 小时内完成。一般的电气故障，如接触不良、开关按钮失灵等，在 2 小时内完成修复；中型的电气故障，如电机损坏等，在 48 小时内修复；大型的电气故障，做到在一周内修复。出现其它问题或突发情况时，应 30 分钟内做出反应，4 小时提供解决方案，6 小时解决问题或有效控制突发情况。</w:t>
            </w:r>
          </w:p>
          <w:p w14:paraId="20BCABAF">
            <w:pPr>
              <w:pStyle w:val="16"/>
              <w:jc w:val="both"/>
            </w:pPr>
            <w:r>
              <w:rPr>
                <w:rFonts w:ascii="仿宋_GB2312" w:hAnsi="仿宋_GB2312" w:eastAsia="仿宋_GB2312" w:cs="仿宋_GB2312"/>
                <w:sz w:val="21"/>
              </w:rPr>
              <w:t>（11）服务人员数量及组成：为确保污水处理站安全平稳运行，运营单位须按照以下原则进行人员配置：站区要求 24 小时有人值守，人员配置总人数不得少于 8 人，每班操作人员不得少于 2 人，现有站区人员应无条件全部予以接收，平稳过渡后根据情况自行调整。</w:t>
            </w:r>
          </w:p>
          <w:p w14:paraId="3A87A793">
            <w:pPr>
              <w:pStyle w:val="16"/>
            </w:pPr>
            <w:r>
              <w:rPr>
                <w:rFonts w:ascii="仿宋_GB2312" w:hAnsi="仿宋_GB2312" w:eastAsia="仿宋_GB2312" w:cs="仿宋_GB2312"/>
                <w:sz w:val="21"/>
              </w:rPr>
              <w:t>（12）其他要求：项目须配置项目负责人、技术负责人，其中项目负责人须具有环境工程相关专业中级或以上职称，以上人员须在岗在位。</w:t>
            </w:r>
          </w:p>
        </w:tc>
      </w:tr>
      <w:tr w14:paraId="76AF43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C707C96">
            <w:pPr>
              <w:pStyle w:val="16"/>
            </w:pPr>
            <w:r>
              <w:rPr>
                <w:rFonts w:ascii="仿宋_GB2312" w:hAnsi="仿宋_GB2312" w:eastAsia="仿宋_GB2312" w:cs="仿宋_GB2312"/>
              </w:rPr>
              <w:t>2</w:t>
            </w:r>
          </w:p>
        </w:tc>
        <w:tc>
          <w:tcPr>
            <w:tcW w:w="2769" w:type="dxa"/>
          </w:tcPr>
          <w:p w14:paraId="48FC6DE6">
            <w:bookmarkStart w:id="0" w:name="_GoBack"/>
            <w:bookmarkEnd w:id="0"/>
          </w:p>
        </w:tc>
        <w:tc>
          <w:tcPr>
            <w:tcW w:w="2769" w:type="dxa"/>
          </w:tcPr>
          <w:p w14:paraId="77E1B078">
            <w:pPr>
              <w:pStyle w:val="16"/>
              <w:jc w:val="both"/>
            </w:pPr>
            <w:r>
              <w:rPr>
                <w:rFonts w:ascii="仿宋_GB2312" w:hAnsi="仿宋_GB2312" w:eastAsia="仿宋_GB2312" w:cs="仿宋_GB2312"/>
                <w:b/>
                <w:sz w:val="21"/>
              </w:rPr>
              <w:t>4、服务标准：</w:t>
            </w:r>
          </w:p>
          <w:p w14:paraId="50CF91F4">
            <w:pPr>
              <w:pStyle w:val="16"/>
              <w:jc w:val="both"/>
            </w:pPr>
            <w:r>
              <w:rPr>
                <w:rFonts w:ascii="仿宋_GB2312" w:hAnsi="仿宋_GB2312" w:eastAsia="仿宋_GB2312" w:cs="仿宋_GB2312"/>
                <w:sz w:val="21"/>
              </w:rPr>
              <w:t>（1）进水主要水质指标</w:t>
            </w:r>
          </w:p>
          <w:p w14:paraId="309BA7E5">
            <w:pPr>
              <w:pStyle w:val="16"/>
              <w:jc w:val="both"/>
            </w:pPr>
            <w:r>
              <w:rPr>
                <w:rFonts w:ascii="仿宋_GB2312" w:hAnsi="仿宋_GB2312" w:eastAsia="仿宋_GB2312" w:cs="仿宋_GB2312"/>
                <w:sz w:val="21"/>
              </w:rPr>
              <w:t>表一 进水主要水质指标一览表</w:t>
            </w:r>
          </w:p>
          <w:tbl>
            <w:tblPr>
              <w:tblStyle w:val="12"/>
              <w:tblW w:w="0" w:type="auto"/>
              <w:tblInd w:w="165"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659"/>
              <w:gridCol w:w="992"/>
              <w:gridCol w:w="727"/>
            </w:tblGrid>
            <w:tr w14:paraId="650C6A1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57" w:type="dxa"/>
                  <w:tcBorders>
                    <w:top w:val="single" w:color="000000" w:sz="8" w:space="0"/>
                    <w:left w:val="single" w:color="000000" w:sz="8" w:space="0"/>
                    <w:bottom w:val="single" w:color="000000" w:sz="4" w:space="0"/>
                    <w:right w:val="single" w:color="000000" w:sz="4" w:space="0"/>
                  </w:tcBorders>
                  <w:tcMar>
                    <w:top w:w="0" w:type="dxa"/>
                    <w:left w:w="0" w:type="dxa"/>
                    <w:bottom w:w="0" w:type="dxa"/>
                    <w:right w:w="0" w:type="dxa"/>
                  </w:tcMar>
                  <w:vAlign w:val="top"/>
                </w:tcPr>
                <w:p w14:paraId="2A39D564">
                  <w:pPr>
                    <w:pStyle w:val="16"/>
                    <w:jc w:val="center"/>
                  </w:pPr>
                  <w:r>
                    <w:rPr>
                      <w:rFonts w:ascii="仿宋_GB2312" w:hAnsi="仿宋_GB2312" w:eastAsia="仿宋_GB2312" w:cs="仿宋_GB2312"/>
                      <w:sz w:val="21"/>
                    </w:rPr>
                    <w:t>项目</w:t>
                  </w:r>
                </w:p>
              </w:tc>
              <w:tc>
                <w:tcPr>
                  <w:tcW w:w="1057" w:type="dxa"/>
                  <w:tcBorders>
                    <w:top w:val="single" w:color="000000" w:sz="8" w:space="0"/>
                    <w:left w:val="nil"/>
                    <w:bottom w:val="single" w:color="000000" w:sz="4" w:space="0"/>
                    <w:right w:val="single" w:color="000000" w:sz="4" w:space="0"/>
                  </w:tcBorders>
                  <w:tcMar>
                    <w:top w:w="0" w:type="dxa"/>
                    <w:left w:w="0" w:type="dxa"/>
                    <w:bottom w:w="0" w:type="dxa"/>
                    <w:right w:w="0" w:type="dxa"/>
                  </w:tcMar>
                  <w:vAlign w:val="top"/>
                </w:tcPr>
                <w:p w14:paraId="26933FE1">
                  <w:pPr>
                    <w:pStyle w:val="16"/>
                    <w:jc w:val="center"/>
                  </w:pPr>
                  <w:r>
                    <w:rPr>
                      <w:rFonts w:ascii="仿宋_GB2312" w:hAnsi="仿宋_GB2312" w:eastAsia="仿宋_GB2312" w:cs="仿宋_GB2312"/>
                      <w:sz w:val="21"/>
                    </w:rPr>
                    <w:t>最高浓度</w:t>
                  </w:r>
                </w:p>
              </w:tc>
              <w:tc>
                <w:tcPr>
                  <w:tcW w:w="1057" w:type="dxa"/>
                  <w:tcBorders>
                    <w:top w:val="single" w:color="000000" w:sz="8" w:space="0"/>
                    <w:left w:val="nil"/>
                    <w:bottom w:val="single" w:color="000000" w:sz="4" w:space="0"/>
                    <w:right w:val="single" w:color="000000" w:sz="8" w:space="0"/>
                  </w:tcBorders>
                  <w:tcMar>
                    <w:top w:w="0" w:type="dxa"/>
                    <w:left w:w="0" w:type="dxa"/>
                    <w:bottom w:w="0" w:type="dxa"/>
                    <w:right w:w="0" w:type="dxa"/>
                  </w:tcMar>
                  <w:vAlign w:val="top"/>
                </w:tcPr>
                <w:p w14:paraId="47BAD77D">
                  <w:pPr>
                    <w:pStyle w:val="16"/>
                    <w:jc w:val="center"/>
                  </w:pPr>
                  <w:r>
                    <w:rPr>
                      <w:rFonts w:ascii="仿宋_GB2312" w:hAnsi="仿宋_GB2312" w:eastAsia="仿宋_GB2312" w:cs="仿宋_GB2312"/>
                      <w:sz w:val="21"/>
                    </w:rPr>
                    <w:t>单位</w:t>
                  </w:r>
                </w:p>
              </w:tc>
            </w:tr>
            <w:tr w14:paraId="327C715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57" w:type="dxa"/>
                  <w:tcBorders>
                    <w:top w:val="nil"/>
                    <w:left w:val="single" w:color="000000" w:sz="8" w:space="0"/>
                    <w:bottom w:val="single" w:color="000000" w:sz="4" w:space="0"/>
                    <w:right w:val="single" w:color="000000" w:sz="4" w:space="0"/>
                  </w:tcBorders>
                  <w:tcMar>
                    <w:top w:w="0" w:type="dxa"/>
                    <w:left w:w="0" w:type="dxa"/>
                    <w:bottom w:w="0" w:type="dxa"/>
                    <w:right w:w="0" w:type="dxa"/>
                  </w:tcMar>
                  <w:vAlign w:val="top"/>
                </w:tcPr>
                <w:p w14:paraId="57F7D69E">
                  <w:pPr>
                    <w:pStyle w:val="16"/>
                    <w:jc w:val="center"/>
                  </w:pPr>
                  <w:r>
                    <w:rPr>
                      <w:rFonts w:ascii="仿宋_GB2312" w:hAnsi="仿宋_GB2312" w:eastAsia="仿宋_GB2312" w:cs="仿宋_GB2312"/>
                      <w:sz w:val="21"/>
                    </w:rPr>
                    <w:t>COD</w:t>
                  </w:r>
                  <w:r>
                    <w:rPr>
                      <w:rFonts w:ascii="仿宋_GB2312" w:hAnsi="仿宋_GB2312" w:eastAsia="仿宋_GB2312" w:cs="仿宋_GB2312"/>
                      <w:sz w:val="21"/>
                      <w:vertAlign w:val="subscript"/>
                    </w:rPr>
                    <w:t>Cr</w:t>
                  </w:r>
                </w:p>
              </w:tc>
              <w:tc>
                <w:tcPr>
                  <w:tcW w:w="1057" w:type="dxa"/>
                  <w:tcBorders>
                    <w:top w:val="nil"/>
                    <w:left w:val="nil"/>
                    <w:bottom w:val="single" w:color="000000" w:sz="4" w:space="0"/>
                    <w:right w:val="single" w:color="000000" w:sz="4" w:space="0"/>
                  </w:tcBorders>
                  <w:tcMar>
                    <w:top w:w="0" w:type="dxa"/>
                    <w:left w:w="0" w:type="dxa"/>
                    <w:bottom w:w="0" w:type="dxa"/>
                    <w:right w:w="0" w:type="dxa"/>
                  </w:tcMar>
                  <w:vAlign w:val="top"/>
                </w:tcPr>
                <w:p w14:paraId="0B6950F8">
                  <w:pPr>
                    <w:pStyle w:val="16"/>
                    <w:jc w:val="center"/>
                  </w:pPr>
                  <w:r>
                    <w:rPr>
                      <w:rFonts w:ascii="仿宋_GB2312" w:hAnsi="仿宋_GB2312" w:eastAsia="仿宋_GB2312" w:cs="仿宋_GB2312"/>
                      <w:sz w:val="21"/>
                    </w:rPr>
                    <w:t>350</w:t>
                  </w:r>
                </w:p>
              </w:tc>
              <w:tc>
                <w:tcPr>
                  <w:tcW w:w="1057" w:type="dxa"/>
                  <w:tcBorders>
                    <w:top w:val="nil"/>
                    <w:left w:val="nil"/>
                    <w:bottom w:val="single" w:color="000000" w:sz="4" w:space="0"/>
                    <w:right w:val="single" w:color="000000" w:sz="8" w:space="0"/>
                  </w:tcBorders>
                  <w:tcMar>
                    <w:top w:w="0" w:type="dxa"/>
                    <w:left w:w="0" w:type="dxa"/>
                    <w:bottom w:w="0" w:type="dxa"/>
                    <w:right w:w="0" w:type="dxa"/>
                  </w:tcMar>
                  <w:vAlign w:val="top"/>
                </w:tcPr>
                <w:p w14:paraId="6E966B37">
                  <w:pPr>
                    <w:pStyle w:val="16"/>
                    <w:jc w:val="center"/>
                  </w:pPr>
                  <w:r>
                    <w:rPr>
                      <w:rFonts w:ascii="仿宋_GB2312" w:hAnsi="仿宋_GB2312" w:eastAsia="仿宋_GB2312" w:cs="仿宋_GB2312"/>
                      <w:sz w:val="21"/>
                    </w:rPr>
                    <w:t>mg/L</w:t>
                  </w:r>
                </w:p>
              </w:tc>
            </w:tr>
            <w:tr w14:paraId="656A3B4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57" w:type="dxa"/>
                  <w:tcBorders>
                    <w:top w:val="nil"/>
                    <w:left w:val="single" w:color="000000" w:sz="8" w:space="0"/>
                    <w:bottom w:val="single" w:color="000000" w:sz="4" w:space="0"/>
                    <w:right w:val="single" w:color="000000" w:sz="4" w:space="0"/>
                  </w:tcBorders>
                  <w:tcMar>
                    <w:top w:w="0" w:type="dxa"/>
                    <w:left w:w="0" w:type="dxa"/>
                    <w:bottom w:w="0" w:type="dxa"/>
                    <w:right w:w="0" w:type="dxa"/>
                  </w:tcMar>
                  <w:vAlign w:val="top"/>
                </w:tcPr>
                <w:p w14:paraId="2852FB97">
                  <w:pPr>
                    <w:pStyle w:val="16"/>
                    <w:jc w:val="center"/>
                  </w:pPr>
                  <w:r>
                    <w:rPr>
                      <w:rFonts w:ascii="仿宋_GB2312" w:hAnsi="仿宋_GB2312" w:eastAsia="仿宋_GB2312" w:cs="仿宋_GB2312"/>
                      <w:sz w:val="21"/>
                    </w:rPr>
                    <w:t>BOD</w:t>
                  </w:r>
                  <w:r>
                    <w:rPr>
                      <w:rFonts w:ascii="仿宋_GB2312" w:hAnsi="仿宋_GB2312" w:eastAsia="仿宋_GB2312" w:cs="仿宋_GB2312"/>
                      <w:sz w:val="21"/>
                      <w:vertAlign w:val="subscript"/>
                    </w:rPr>
                    <w:t>5</w:t>
                  </w:r>
                </w:p>
              </w:tc>
              <w:tc>
                <w:tcPr>
                  <w:tcW w:w="1057" w:type="dxa"/>
                  <w:tcBorders>
                    <w:top w:val="nil"/>
                    <w:left w:val="nil"/>
                    <w:bottom w:val="single" w:color="000000" w:sz="4" w:space="0"/>
                    <w:right w:val="single" w:color="000000" w:sz="4" w:space="0"/>
                  </w:tcBorders>
                  <w:tcMar>
                    <w:top w:w="0" w:type="dxa"/>
                    <w:left w:w="0" w:type="dxa"/>
                    <w:bottom w:w="0" w:type="dxa"/>
                    <w:right w:w="0" w:type="dxa"/>
                  </w:tcMar>
                  <w:vAlign w:val="top"/>
                </w:tcPr>
                <w:p w14:paraId="5137660D">
                  <w:pPr>
                    <w:pStyle w:val="16"/>
                    <w:jc w:val="center"/>
                  </w:pPr>
                  <w:r>
                    <w:rPr>
                      <w:rFonts w:ascii="仿宋_GB2312" w:hAnsi="仿宋_GB2312" w:eastAsia="仿宋_GB2312" w:cs="仿宋_GB2312"/>
                      <w:sz w:val="21"/>
                    </w:rPr>
                    <w:t>200</w:t>
                  </w:r>
                </w:p>
              </w:tc>
              <w:tc>
                <w:tcPr>
                  <w:tcW w:w="1057" w:type="dxa"/>
                  <w:tcBorders>
                    <w:top w:val="nil"/>
                    <w:left w:val="nil"/>
                    <w:bottom w:val="single" w:color="000000" w:sz="4" w:space="0"/>
                    <w:right w:val="single" w:color="000000" w:sz="8" w:space="0"/>
                  </w:tcBorders>
                  <w:tcMar>
                    <w:top w:w="0" w:type="dxa"/>
                    <w:left w:w="0" w:type="dxa"/>
                    <w:bottom w:w="0" w:type="dxa"/>
                    <w:right w:w="0" w:type="dxa"/>
                  </w:tcMar>
                  <w:vAlign w:val="top"/>
                </w:tcPr>
                <w:p w14:paraId="6761CA9F">
                  <w:pPr>
                    <w:pStyle w:val="16"/>
                    <w:jc w:val="center"/>
                  </w:pPr>
                  <w:r>
                    <w:rPr>
                      <w:rFonts w:ascii="仿宋_GB2312" w:hAnsi="仿宋_GB2312" w:eastAsia="仿宋_GB2312" w:cs="仿宋_GB2312"/>
                      <w:sz w:val="21"/>
                    </w:rPr>
                    <w:t>mg/L</w:t>
                  </w:r>
                </w:p>
              </w:tc>
            </w:tr>
            <w:tr w14:paraId="2BA9DD4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57" w:type="dxa"/>
                  <w:tcBorders>
                    <w:top w:val="nil"/>
                    <w:left w:val="single" w:color="000000" w:sz="8" w:space="0"/>
                    <w:bottom w:val="single" w:color="000000" w:sz="4" w:space="0"/>
                    <w:right w:val="single" w:color="000000" w:sz="4" w:space="0"/>
                  </w:tcBorders>
                  <w:tcMar>
                    <w:top w:w="0" w:type="dxa"/>
                    <w:left w:w="0" w:type="dxa"/>
                    <w:bottom w:w="0" w:type="dxa"/>
                    <w:right w:w="0" w:type="dxa"/>
                  </w:tcMar>
                  <w:vAlign w:val="top"/>
                </w:tcPr>
                <w:p w14:paraId="1A24428B">
                  <w:pPr>
                    <w:pStyle w:val="16"/>
                    <w:jc w:val="center"/>
                  </w:pPr>
                  <w:r>
                    <w:rPr>
                      <w:rFonts w:ascii="仿宋_GB2312" w:hAnsi="仿宋_GB2312" w:eastAsia="仿宋_GB2312" w:cs="仿宋_GB2312"/>
                      <w:sz w:val="21"/>
                    </w:rPr>
                    <w:t>SS</w:t>
                  </w:r>
                </w:p>
              </w:tc>
              <w:tc>
                <w:tcPr>
                  <w:tcW w:w="1057" w:type="dxa"/>
                  <w:tcBorders>
                    <w:top w:val="nil"/>
                    <w:left w:val="nil"/>
                    <w:bottom w:val="single" w:color="000000" w:sz="4" w:space="0"/>
                    <w:right w:val="single" w:color="000000" w:sz="4" w:space="0"/>
                  </w:tcBorders>
                  <w:tcMar>
                    <w:top w:w="0" w:type="dxa"/>
                    <w:left w:w="0" w:type="dxa"/>
                    <w:bottom w:w="0" w:type="dxa"/>
                    <w:right w:w="0" w:type="dxa"/>
                  </w:tcMar>
                  <w:vAlign w:val="top"/>
                </w:tcPr>
                <w:p w14:paraId="69582391">
                  <w:pPr>
                    <w:pStyle w:val="16"/>
                    <w:jc w:val="center"/>
                  </w:pPr>
                  <w:r>
                    <w:rPr>
                      <w:rFonts w:ascii="仿宋_GB2312" w:hAnsi="仿宋_GB2312" w:eastAsia="仿宋_GB2312" w:cs="仿宋_GB2312"/>
                      <w:sz w:val="21"/>
                    </w:rPr>
                    <w:t>400</w:t>
                  </w:r>
                </w:p>
              </w:tc>
              <w:tc>
                <w:tcPr>
                  <w:tcW w:w="1057" w:type="dxa"/>
                  <w:tcBorders>
                    <w:top w:val="nil"/>
                    <w:left w:val="nil"/>
                    <w:bottom w:val="single" w:color="000000" w:sz="4" w:space="0"/>
                    <w:right w:val="single" w:color="000000" w:sz="8" w:space="0"/>
                  </w:tcBorders>
                  <w:tcMar>
                    <w:top w:w="0" w:type="dxa"/>
                    <w:left w:w="0" w:type="dxa"/>
                    <w:bottom w:w="0" w:type="dxa"/>
                    <w:right w:w="0" w:type="dxa"/>
                  </w:tcMar>
                  <w:vAlign w:val="top"/>
                </w:tcPr>
                <w:p w14:paraId="16EBE1C4">
                  <w:pPr>
                    <w:pStyle w:val="16"/>
                    <w:jc w:val="center"/>
                  </w:pPr>
                  <w:r>
                    <w:rPr>
                      <w:rFonts w:ascii="仿宋_GB2312" w:hAnsi="仿宋_GB2312" w:eastAsia="仿宋_GB2312" w:cs="仿宋_GB2312"/>
                      <w:sz w:val="21"/>
                    </w:rPr>
                    <w:t>mg/L</w:t>
                  </w:r>
                </w:p>
              </w:tc>
            </w:tr>
            <w:tr w14:paraId="220295F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57" w:type="dxa"/>
                  <w:tcBorders>
                    <w:top w:val="nil"/>
                    <w:left w:val="single" w:color="000000" w:sz="8" w:space="0"/>
                    <w:bottom w:val="single" w:color="000000" w:sz="4" w:space="0"/>
                    <w:right w:val="single" w:color="000000" w:sz="4" w:space="0"/>
                  </w:tcBorders>
                  <w:tcMar>
                    <w:top w:w="0" w:type="dxa"/>
                    <w:left w:w="0" w:type="dxa"/>
                    <w:bottom w:w="0" w:type="dxa"/>
                    <w:right w:w="0" w:type="dxa"/>
                  </w:tcMar>
                  <w:vAlign w:val="top"/>
                </w:tcPr>
                <w:p w14:paraId="7FC9B710">
                  <w:pPr>
                    <w:pStyle w:val="16"/>
                    <w:jc w:val="center"/>
                  </w:pPr>
                  <w:r>
                    <w:rPr>
                      <w:rFonts w:ascii="仿宋_GB2312" w:hAnsi="仿宋_GB2312" w:eastAsia="仿宋_GB2312" w:cs="仿宋_GB2312"/>
                      <w:sz w:val="21"/>
                    </w:rPr>
                    <w:t>pH 值</w:t>
                  </w:r>
                </w:p>
              </w:tc>
              <w:tc>
                <w:tcPr>
                  <w:tcW w:w="1057" w:type="dxa"/>
                  <w:tcBorders>
                    <w:top w:val="nil"/>
                    <w:left w:val="nil"/>
                    <w:bottom w:val="single" w:color="000000" w:sz="4" w:space="0"/>
                    <w:right w:val="single" w:color="000000" w:sz="4" w:space="0"/>
                  </w:tcBorders>
                  <w:tcMar>
                    <w:top w:w="0" w:type="dxa"/>
                    <w:left w:w="0" w:type="dxa"/>
                    <w:bottom w:w="0" w:type="dxa"/>
                    <w:right w:w="0" w:type="dxa"/>
                  </w:tcMar>
                  <w:vAlign w:val="top"/>
                </w:tcPr>
                <w:p w14:paraId="44D8EA84">
                  <w:pPr>
                    <w:pStyle w:val="16"/>
                    <w:jc w:val="center"/>
                  </w:pPr>
                  <w:r>
                    <w:rPr>
                      <w:rFonts w:ascii="仿宋_GB2312" w:hAnsi="仿宋_GB2312" w:eastAsia="仿宋_GB2312" w:cs="仿宋_GB2312"/>
                      <w:sz w:val="21"/>
                    </w:rPr>
                    <w:t>5－9</w:t>
                  </w:r>
                </w:p>
              </w:tc>
              <w:tc>
                <w:tcPr>
                  <w:tcW w:w="1057" w:type="dxa"/>
                  <w:tcBorders>
                    <w:top w:val="nil"/>
                    <w:left w:val="nil"/>
                    <w:bottom w:val="single" w:color="000000" w:sz="4" w:space="0"/>
                    <w:right w:val="single" w:color="000000" w:sz="8" w:space="0"/>
                  </w:tcBorders>
                  <w:tcMar>
                    <w:top w:w="0" w:type="dxa"/>
                    <w:left w:w="0" w:type="dxa"/>
                    <w:bottom w:w="0" w:type="dxa"/>
                    <w:right w:w="0" w:type="dxa"/>
                  </w:tcMar>
                  <w:vAlign w:val="top"/>
                </w:tcPr>
                <w:p w14:paraId="2AD05F25">
                  <w:pPr>
                    <w:pStyle w:val="16"/>
                    <w:jc w:val="center"/>
                  </w:pPr>
                  <w:r>
                    <w:rPr>
                      <w:rFonts w:ascii="仿宋_GB2312" w:hAnsi="仿宋_GB2312" w:eastAsia="仿宋_GB2312" w:cs="仿宋_GB2312"/>
                      <w:sz w:val="21"/>
                    </w:rPr>
                    <w:t>无量纲</w:t>
                  </w:r>
                </w:p>
              </w:tc>
            </w:tr>
            <w:tr w14:paraId="0BE5798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57" w:type="dxa"/>
                  <w:tcBorders>
                    <w:top w:val="nil"/>
                    <w:left w:val="single" w:color="000000" w:sz="8" w:space="0"/>
                    <w:bottom w:val="single" w:color="000000" w:sz="4" w:space="0"/>
                    <w:right w:val="single" w:color="000000" w:sz="4" w:space="0"/>
                  </w:tcBorders>
                  <w:tcMar>
                    <w:top w:w="0" w:type="dxa"/>
                    <w:left w:w="0" w:type="dxa"/>
                    <w:bottom w:w="0" w:type="dxa"/>
                    <w:right w:w="0" w:type="dxa"/>
                  </w:tcMar>
                  <w:vAlign w:val="top"/>
                </w:tcPr>
                <w:p w14:paraId="1FB82D22">
                  <w:pPr>
                    <w:pStyle w:val="16"/>
                    <w:jc w:val="center"/>
                  </w:pPr>
                  <w:r>
                    <w:rPr>
                      <w:rFonts w:ascii="仿宋_GB2312" w:hAnsi="仿宋_GB2312" w:eastAsia="仿宋_GB2312" w:cs="仿宋_GB2312"/>
                      <w:sz w:val="21"/>
                    </w:rPr>
                    <w:t>氨氮</w:t>
                  </w:r>
                </w:p>
              </w:tc>
              <w:tc>
                <w:tcPr>
                  <w:tcW w:w="1057" w:type="dxa"/>
                  <w:tcBorders>
                    <w:top w:val="nil"/>
                    <w:left w:val="nil"/>
                    <w:bottom w:val="single" w:color="000000" w:sz="4" w:space="0"/>
                    <w:right w:val="single" w:color="000000" w:sz="4" w:space="0"/>
                  </w:tcBorders>
                  <w:tcMar>
                    <w:top w:w="0" w:type="dxa"/>
                    <w:left w:w="0" w:type="dxa"/>
                    <w:bottom w:w="0" w:type="dxa"/>
                    <w:right w:w="0" w:type="dxa"/>
                  </w:tcMar>
                  <w:vAlign w:val="top"/>
                </w:tcPr>
                <w:p w14:paraId="42448A6E">
                  <w:pPr>
                    <w:pStyle w:val="16"/>
                    <w:jc w:val="center"/>
                  </w:pPr>
                  <w:r>
                    <w:rPr>
                      <w:rFonts w:ascii="仿宋_GB2312" w:hAnsi="仿宋_GB2312" w:eastAsia="仿宋_GB2312" w:cs="仿宋_GB2312"/>
                      <w:sz w:val="21"/>
                    </w:rPr>
                    <w:t>80</w:t>
                  </w:r>
                </w:p>
              </w:tc>
              <w:tc>
                <w:tcPr>
                  <w:tcW w:w="1057" w:type="dxa"/>
                  <w:tcBorders>
                    <w:top w:val="nil"/>
                    <w:left w:val="nil"/>
                    <w:bottom w:val="single" w:color="000000" w:sz="4" w:space="0"/>
                    <w:right w:val="single" w:color="000000" w:sz="8" w:space="0"/>
                  </w:tcBorders>
                  <w:tcMar>
                    <w:top w:w="0" w:type="dxa"/>
                    <w:left w:w="0" w:type="dxa"/>
                    <w:bottom w:w="0" w:type="dxa"/>
                    <w:right w:w="0" w:type="dxa"/>
                  </w:tcMar>
                  <w:vAlign w:val="top"/>
                </w:tcPr>
                <w:p w14:paraId="7938D19D">
                  <w:pPr>
                    <w:pStyle w:val="16"/>
                    <w:jc w:val="center"/>
                  </w:pPr>
                  <w:r>
                    <w:rPr>
                      <w:rFonts w:ascii="仿宋_GB2312" w:hAnsi="仿宋_GB2312" w:eastAsia="仿宋_GB2312" w:cs="仿宋_GB2312"/>
                      <w:sz w:val="21"/>
                    </w:rPr>
                    <w:t>mg/L</w:t>
                  </w:r>
                </w:p>
              </w:tc>
            </w:tr>
            <w:tr w14:paraId="2274663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57" w:type="dxa"/>
                  <w:tcBorders>
                    <w:top w:val="nil"/>
                    <w:left w:val="single" w:color="000000" w:sz="8" w:space="0"/>
                    <w:bottom w:val="single" w:color="000000" w:sz="4" w:space="0"/>
                    <w:right w:val="single" w:color="000000" w:sz="4" w:space="0"/>
                  </w:tcBorders>
                  <w:tcMar>
                    <w:top w:w="0" w:type="dxa"/>
                    <w:left w:w="0" w:type="dxa"/>
                    <w:bottom w:w="0" w:type="dxa"/>
                    <w:right w:w="0" w:type="dxa"/>
                  </w:tcMar>
                  <w:vAlign w:val="top"/>
                </w:tcPr>
                <w:p w14:paraId="52BAFD63">
                  <w:pPr>
                    <w:pStyle w:val="16"/>
                    <w:jc w:val="center"/>
                  </w:pPr>
                  <w:r>
                    <w:rPr>
                      <w:rFonts w:ascii="仿宋_GB2312" w:hAnsi="仿宋_GB2312" w:eastAsia="仿宋_GB2312" w:cs="仿宋_GB2312"/>
                      <w:sz w:val="21"/>
                    </w:rPr>
                    <w:t>总磷</w:t>
                  </w:r>
                </w:p>
              </w:tc>
              <w:tc>
                <w:tcPr>
                  <w:tcW w:w="1057" w:type="dxa"/>
                  <w:tcBorders>
                    <w:top w:val="nil"/>
                    <w:left w:val="nil"/>
                    <w:bottom w:val="single" w:color="000000" w:sz="4" w:space="0"/>
                    <w:right w:val="single" w:color="000000" w:sz="4" w:space="0"/>
                  </w:tcBorders>
                  <w:tcMar>
                    <w:top w:w="0" w:type="dxa"/>
                    <w:left w:w="0" w:type="dxa"/>
                    <w:bottom w:w="0" w:type="dxa"/>
                    <w:right w:w="0" w:type="dxa"/>
                  </w:tcMar>
                  <w:vAlign w:val="top"/>
                </w:tcPr>
                <w:p w14:paraId="1430C8A8">
                  <w:pPr>
                    <w:pStyle w:val="16"/>
                    <w:jc w:val="center"/>
                  </w:pPr>
                  <w:r>
                    <w:rPr>
                      <w:rFonts w:ascii="仿宋_GB2312" w:hAnsi="仿宋_GB2312" w:eastAsia="仿宋_GB2312" w:cs="仿宋_GB2312"/>
                      <w:sz w:val="21"/>
                    </w:rPr>
                    <w:t>8.0</w:t>
                  </w:r>
                </w:p>
              </w:tc>
              <w:tc>
                <w:tcPr>
                  <w:tcW w:w="1057" w:type="dxa"/>
                  <w:tcBorders>
                    <w:top w:val="nil"/>
                    <w:left w:val="nil"/>
                    <w:bottom w:val="single" w:color="000000" w:sz="4" w:space="0"/>
                    <w:right w:val="single" w:color="000000" w:sz="8" w:space="0"/>
                  </w:tcBorders>
                  <w:tcMar>
                    <w:top w:w="0" w:type="dxa"/>
                    <w:left w:w="0" w:type="dxa"/>
                    <w:bottom w:w="0" w:type="dxa"/>
                    <w:right w:w="0" w:type="dxa"/>
                  </w:tcMar>
                  <w:vAlign w:val="top"/>
                </w:tcPr>
                <w:p w14:paraId="523CD493">
                  <w:pPr>
                    <w:pStyle w:val="16"/>
                    <w:jc w:val="center"/>
                  </w:pPr>
                  <w:r>
                    <w:rPr>
                      <w:rFonts w:ascii="仿宋_GB2312" w:hAnsi="仿宋_GB2312" w:eastAsia="仿宋_GB2312" w:cs="仿宋_GB2312"/>
                      <w:sz w:val="21"/>
                    </w:rPr>
                    <w:t>mg/L</w:t>
                  </w:r>
                </w:p>
              </w:tc>
            </w:tr>
            <w:tr w14:paraId="62DB394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57" w:type="dxa"/>
                  <w:tcBorders>
                    <w:top w:val="nil"/>
                    <w:left w:val="single" w:color="000000" w:sz="8" w:space="0"/>
                    <w:bottom w:val="single" w:color="000000" w:sz="4" w:space="0"/>
                    <w:right w:val="single" w:color="000000" w:sz="4" w:space="0"/>
                  </w:tcBorders>
                  <w:tcMar>
                    <w:top w:w="0" w:type="dxa"/>
                    <w:left w:w="0" w:type="dxa"/>
                    <w:bottom w:w="0" w:type="dxa"/>
                    <w:right w:w="0" w:type="dxa"/>
                  </w:tcMar>
                  <w:vAlign w:val="top"/>
                </w:tcPr>
                <w:p w14:paraId="34404A50">
                  <w:pPr>
                    <w:pStyle w:val="16"/>
                    <w:jc w:val="center"/>
                  </w:pPr>
                  <w:r>
                    <w:rPr>
                      <w:rFonts w:ascii="仿宋_GB2312" w:hAnsi="仿宋_GB2312" w:eastAsia="仿宋_GB2312" w:cs="仿宋_GB2312"/>
                      <w:sz w:val="21"/>
                    </w:rPr>
                    <w:t>粪大肠菌群</w:t>
                  </w:r>
                </w:p>
              </w:tc>
              <w:tc>
                <w:tcPr>
                  <w:tcW w:w="1057" w:type="dxa"/>
                  <w:tcBorders>
                    <w:top w:val="nil"/>
                    <w:left w:val="nil"/>
                    <w:bottom w:val="single" w:color="000000" w:sz="4" w:space="0"/>
                    <w:right w:val="single" w:color="000000" w:sz="4" w:space="0"/>
                  </w:tcBorders>
                  <w:tcMar>
                    <w:top w:w="0" w:type="dxa"/>
                    <w:left w:w="0" w:type="dxa"/>
                    <w:bottom w:w="0" w:type="dxa"/>
                    <w:right w:w="0" w:type="dxa"/>
                  </w:tcMar>
                  <w:vAlign w:val="top"/>
                </w:tcPr>
                <w:p w14:paraId="2AA2103D">
                  <w:pPr>
                    <w:pStyle w:val="16"/>
                    <w:jc w:val="center"/>
                  </w:pPr>
                  <w:r>
                    <w:rPr>
                      <w:rFonts w:ascii="仿宋_GB2312" w:hAnsi="仿宋_GB2312" w:eastAsia="仿宋_GB2312" w:cs="仿宋_GB2312"/>
                      <w:sz w:val="21"/>
                    </w:rPr>
                    <w:t>3.8×1010</w:t>
                  </w:r>
                </w:p>
              </w:tc>
              <w:tc>
                <w:tcPr>
                  <w:tcW w:w="1057" w:type="dxa"/>
                  <w:tcBorders>
                    <w:top w:val="nil"/>
                    <w:left w:val="nil"/>
                    <w:bottom w:val="single" w:color="000000" w:sz="4" w:space="0"/>
                    <w:right w:val="single" w:color="000000" w:sz="8" w:space="0"/>
                  </w:tcBorders>
                  <w:tcMar>
                    <w:top w:w="0" w:type="dxa"/>
                    <w:left w:w="0" w:type="dxa"/>
                    <w:bottom w:w="0" w:type="dxa"/>
                    <w:right w:w="0" w:type="dxa"/>
                  </w:tcMar>
                  <w:vAlign w:val="top"/>
                </w:tcPr>
                <w:p w14:paraId="268398B2">
                  <w:pPr>
                    <w:pStyle w:val="16"/>
                    <w:jc w:val="center"/>
                  </w:pPr>
                  <w:r>
                    <w:rPr>
                      <w:rFonts w:ascii="仿宋_GB2312" w:hAnsi="仿宋_GB2312" w:eastAsia="仿宋_GB2312" w:cs="仿宋_GB2312"/>
                      <w:sz w:val="21"/>
                    </w:rPr>
                    <w:t>MPN/L</w:t>
                  </w:r>
                </w:p>
              </w:tc>
            </w:tr>
            <w:tr w14:paraId="552B718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57" w:type="dxa"/>
                  <w:tcBorders>
                    <w:top w:val="nil"/>
                    <w:left w:val="single" w:color="000000" w:sz="8" w:space="0"/>
                    <w:bottom w:val="single" w:color="000000" w:sz="8" w:space="0"/>
                    <w:right w:val="single" w:color="000000" w:sz="4" w:space="0"/>
                  </w:tcBorders>
                  <w:tcMar>
                    <w:top w:w="0" w:type="dxa"/>
                    <w:left w:w="0" w:type="dxa"/>
                    <w:bottom w:w="0" w:type="dxa"/>
                    <w:right w:w="0" w:type="dxa"/>
                  </w:tcMar>
                  <w:vAlign w:val="top"/>
                </w:tcPr>
                <w:p w14:paraId="15BC1D92">
                  <w:pPr>
                    <w:pStyle w:val="16"/>
                    <w:jc w:val="center"/>
                  </w:pPr>
                  <w:r>
                    <w:rPr>
                      <w:rFonts w:ascii="仿宋_GB2312" w:hAnsi="仿宋_GB2312" w:eastAsia="仿宋_GB2312" w:cs="仿宋_GB2312"/>
                      <w:sz w:val="21"/>
                    </w:rPr>
                    <w:t>动植物油</w:t>
                  </w:r>
                </w:p>
              </w:tc>
              <w:tc>
                <w:tcPr>
                  <w:tcW w:w="1057" w:type="dxa"/>
                  <w:tcBorders>
                    <w:top w:val="nil"/>
                    <w:left w:val="nil"/>
                    <w:bottom w:val="single" w:color="000000" w:sz="8" w:space="0"/>
                    <w:right w:val="single" w:color="000000" w:sz="4" w:space="0"/>
                  </w:tcBorders>
                  <w:tcMar>
                    <w:top w:w="0" w:type="dxa"/>
                    <w:left w:w="0" w:type="dxa"/>
                    <w:bottom w:w="0" w:type="dxa"/>
                    <w:right w:w="0" w:type="dxa"/>
                  </w:tcMar>
                  <w:vAlign w:val="top"/>
                </w:tcPr>
                <w:p w14:paraId="0314B228">
                  <w:pPr>
                    <w:pStyle w:val="16"/>
                    <w:jc w:val="center"/>
                  </w:pPr>
                  <w:r>
                    <w:rPr>
                      <w:rFonts w:ascii="仿宋_GB2312" w:hAnsi="仿宋_GB2312" w:eastAsia="仿宋_GB2312" w:cs="仿宋_GB2312"/>
                      <w:sz w:val="21"/>
                    </w:rPr>
                    <w:t>6.0</w:t>
                  </w:r>
                </w:p>
              </w:tc>
              <w:tc>
                <w:tcPr>
                  <w:tcW w:w="1057" w:type="dxa"/>
                  <w:tcBorders>
                    <w:top w:val="nil"/>
                    <w:left w:val="nil"/>
                    <w:bottom w:val="single" w:color="000000" w:sz="8" w:space="0"/>
                    <w:right w:val="single" w:color="000000" w:sz="8" w:space="0"/>
                  </w:tcBorders>
                  <w:tcMar>
                    <w:top w:w="0" w:type="dxa"/>
                    <w:left w:w="0" w:type="dxa"/>
                    <w:bottom w:w="0" w:type="dxa"/>
                    <w:right w:w="0" w:type="dxa"/>
                  </w:tcMar>
                  <w:vAlign w:val="top"/>
                </w:tcPr>
                <w:p w14:paraId="4BD5E3DF">
                  <w:pPr>
                    <w:pStyle w:val="16"/>
                    <w:jc w:val="center"/>
                  </w:pPr>
                  <w:r>
                    <w:rPr>
                      <w:rFonts w:ascii="仿宋_GB2312" w:hAnsi="仿宋_GB2312" w:eastAsia="仿宋_GB2312" w:cs="仿宋_GB2312"/>
                      <w:sz w:val="21"/>
                    </w:rPr>
                    <w:t>mg/L</w:t>
                  </w:r>
                </w:p>
              </w:tc>
            </w:tr>
          </w:tbl>
          <w:p w14:paraId="5D6CCD83">
            <w:pPr>
              <w:pStyle w:val="16"/>
              <w:jc w:val="both"/>
            </w:pPr>
            <w:r>
              <w:rPr>
                <w:rFonts w:ascii="仿宋_GB2312" w:hAnsi="仿宋_GB2312" w:eastAsia="仿宋_GB2312" w:cs="仿宋_GB2312"/>
                <w:sz w:val="21"/>
              </w:rPr>
              <w:t>（2）外排出水主要水质指标</w:t>
            </w:r>
          </w:p>
          <w:p w14:paraId="523EBE78">
            <w:pPr>
              <w:pStyle w:val="16"/>
              <w:jc w:val="both"/>
            </w:pPr>
            <w:r>
              <w:rPr>
                <w:rFonts w:ascii="仿宋_GB2312" w:hAnsi="仿宋_GB2312" w:eastAsia="仿宋_GB2312" w:cs="仿宋_GB2312"/>
                <w:sz w:val="21"/>
              </w:rPr>
              <w:t>表二 外排出水主要水质指标一览表</w:t>
            </w:r>
          </w:p>
          <w:tbl>
            <w:tblPr>
              <w:tblStyle w:val="12"/>
              <w:tblW w:w="0" w:type="auto"/>
              <w:tblInd w:w="165"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715"/>
              <w:gridCol w:w="890"/>
              <w:gridCol w:w="773"/>
            </w:tblGrid>
            <w:tr w14:paraId="01B9489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74" w:type="dxa"/>
                  <w:tcBorders>
                    <w:top w:val="single" w:color="000000" w:sz="8" w:space="0"/>
                    <w:left w:val="single" w:color="000000" w:sz="8" w:space="0"/>
                    <w:bottom w:val="single" w:color="000000" w:sz="4" w:space="0"/>
                    <w:right w:val="single" w:color="000000" w:sz="4" w:space="0"/>
                  </w:tcBorders>
                  <w:tcMar>
                    <w:top w:w="0" w:type="dxa"/>
                    <w:left w:w="0" w:type="dxa"/>
                    <w:bottom w:w="0" w:type="dxa"/>
                    <w:right w:w="0" w:type="dxa"/>
                  </w:tcMar>
                  <w:vAlign w:val="top"/>
                </w:tcPr>
                <w:p w14:paraId="5BB6EF28">
                  <w:pPr>
                    <w:pStyle w:val="16"/>
                    <w:jc w:val="center"/>
                  </w:pPr>
                  <w:r>
                    <w:rPr>
                      <w:rFonts w:ascii="仿宋_GB2312" w:hAnsi="仿宋_GB2312" w:eastAsia="仿宋_GB2312" w:cs="仿宋_GB2312"/>
                      <w:sz w:val="21"/>
                    </w:rPr>
                    <w:t>项目</w:t>
                  </w:r>
                </w:p>
              </w:tc>
              <w:tc>
                <w:tcPr>
                  <w:tcW w:w="1218" w:type="dxa"/>
                  <w:tcBorders>
                    <w:top w:val="single" w:color="000000" w:sz="8" w:space="0"/>
                    <w:left w:val="nil"/>
                    <w:bottom w:val="single" w:color="000000" w:sz="4" w:space="0"/>
                    <w:right w:val="single" w:color="000000" w:sz="4" w:space="0"/>
                  </w:tcBorders>
                  <w:tcMar>
                    <w:top w:w="0" w:type="dxa"/>
                    <w:left w:w="0" w:type="dxa"/>
                    <w:bottom w:w="0" w:type="dxa"/>
                    <w:right w:w="0" w:type="dxa"/>
                  </w:tcMar>
                  <w:vAlign w:val="top"/>
                </w:tcPr>
                <w:p w14:paraId="06A6D001">
                  <w:pPr>
                    <w:pStyle w:val="16"/>
                    <w:jc w:val="center"/>
                  </w:pPr>
                  <w:r>
                    <w:rPr>
                      <w:rFonts w:ascii="仿宋_GB2312" w:hAnsi="仿宋_GB2312" w:eastAsia="仿宋_GB2312" w:cs="仿宋_GB2312"/>
                      <w:sz w:val="21"/>
                    </w:rPr>
                    <w:t>最高浓度</w:t>
                  </w:r>
                </w:p>
              </w:tc>
              <w:tc>
                <w:tcPr>
                  <w:tcW w:w="987" w:type="dxa"/>
                  <w:tcBorders>
                    <w:top w:val="single" w:color="000000" w:sz="8" w:space="0"/>
                    <w:left w:val="nil"/>
                    <w:bottom w:val="single" w:color="000000" w:sz="4" w:space="0"/>
                    <w:right w:val="single" w:color="000000" w:sz="8" w:space="0"/>
                  </w:tcBorders>
                  <w:tcMar>
                    <w:top w:w="0" w:type="dxa"/>
                    <w:left w:w="0" w:type="dxa"/>
                    <w:bottom w:w="0" w:type="dxa"/>
                    <w:right w:w="0" w:type="dxa"/>
                  </w:tcMar>
                  <w:vAlign w:val="top"/>
                </w:tcPr>
                <w:p w14:paraId="333F7295">
                  <w:pPr>
                    <w:pStyle w:val="16"/>
                    <w:jc w:val="center"/>
                  </w:pPr>
                  <w:r>
                    <w:rPr>
                      <w:rFonts w:ascii="仿宋_GB2312" w:hAnsi="仿宋_GB2312" w:eastAsia="仿宋_GB2312" w:cs="仿宋_GB2312"/>
                      <w:sz w:val="21"/>
                    </w:rPr>
                    <w:t>单位</w:t>
                  </w:r>
                </w:p>
              </w:tc>
            </w:tr>
            <w:tr w14:paraId="20D532F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74" w:type="dxa"/>
                  <w:tcBorders>
                    <w:top w:val="nil"/>
                    <w:left w:val="single" w:color="000000" w:sz="8" w:space="0"/>
                    <w:bottom w:val="single" w:color="000000" w:sz="4" w:space="0"/>
                    <w:right w:val="single" w:color="000000" w:sz="4" w:space="0"/>
                  </w:tcBorders>
                  <w:tcMar>
                    <w:top w:w="0" w:type="dxa"/>
                    <w:left w:w="0" w:type="dxa"/>
                    <w:bottom w:w="0" w:type="dxa"/>
                    <w:right w:w="0" w:type="dxa"/>
                  </w:tcMar>
                  <w:vAlign w:val="top"/>
                </w:tcPr>
                <w:p w14:paraId="42E1986A">
                  <w:pPr>
                    <w:pStyle w:val="16"/>
                    <w:jc w:val="center"/>
                  </w:pPr>
                  <w:r>
                    <w:rPr>
                      <w:rFonts w:ascii="仿宋_GB2312" w:hAnsi="仿宋_GB2312" w:eastAsia="仿宋_GB2312" w:cs="仿宋_GB2312"/>
                      <w:sz w:val="21"/>
                    </w:rPr>
                    <w:t>COD</w:t>
                  </w:r>
                  <w:r>
                    <w:rPr>
                      <w:rFonts w:ascii="仿宋_GB2312" w:hAnsi="仿宋_GB2312" w:eastAsia="仿宋_GB2312" w:cs="仿宋_GB2312"/>
                      <w:sz w:val="21"/>
                      <w:vertAlign w:val="subscript"/>
                    </w:rPr>
                    <w:t>Cr</w:t>
                  </w:r>
                </w:p>
              </w:tc>
              <w:tc>
                <w:tcPr>
                  <w:tcW w:w="1218" w:type="dxa"/>
                  <w:tcBorders>
                    <w:top w:val="nil"/>
                    <w:left w:val="nil"/>
                    <w:bottom w:val="single" w:color="000000" w:sz="4" w:space="0"/>
                    <w:right w:val="single" w:color="000000" w:sz="4" w:space="0"/>
                  </w:tcBorders>
                  <w:tcMar>
                    <w:top w:w="0" w:type="dxa"/>
                    <w:left w:w="0" w:type="dxa"/>
                    <w:bottom w:w="0" w:type="dxa"/>
                    <w:right w:w="0" w:type="dxa"/>
                  </w:tcMar>
                  <w:vAlign w:val="top"/>
                </w:tcPr>
                <w:p w14:paraId="0E7E158C">
                  <w:pPr>
                    <w:pStyle w:val="16"/>
                    <w:jc w:val="center"/>
                  </w:pPr>
                  <w:r>
                    <w:rPr>
                      <w:rFonts w:ascii="仿宋_GB2312" w:hAnsi="仿宋_GB2312" w:eastAsia="仿宋_GB2312" w:cs="仿宋_GB2312"/>
                      <w:sz w:val="21"/>
                    </w:rPr>
                    <w:t>≤60</w:t>
                  </w:r>
                </w:p>
              </w:tc>
              <w:tc>
                <w:tcPr>
                  <w:tcW w:w="987" w:type="dxa"/>
                  <w:tcBorders>
                    <w:top w:val="nil"/>
                    <w:left w:val="nil"/>
                    <w:bottom w:val="single" w:color="000000" w:sz="4" w:space="0"/>
                    <w:right w:val="single" w:color="000000" w:sz="8" w:space="0"/>
                  </w:tcBorders>
                  <w:tcMar>
                    <w:top w:w="0" w:type="dxa"/>
                    <w:left w:w="0" w:type="dxa"/>
                    <w:bottom w:w="0" w:type="dxa"/>
                    <w:right w:w="0" w:type="dxa"/>
                  </w:tcMar>
                  <w:vAlign w:val="top"/>
                </w:tcPr>
                <w:p w14:paraId="660F41FD">
                  <w:pPr>
                    <w:pStyle w:val="16"/>
                    <w:jc w:val="center"/>
                  </w:pPr>
                  <w:r>
                    <w:rPr>
                      <w:rFonts w:ascii="仿宋_GB2312" w:hAnsi="仿宋_GB2312" w:eastAsia="仿宋_GB2312" w:cs="仿宋_GB2312"/>
                      <w:sz w:val="21"/>
                    </w:rPr>
                    <w:t>mg/L</w:t>
                  </w:r>
                </w:p>
              </w:tc>
            </w:tr>
            <w:tr w14:paraId="7E79859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74" w:type="dxa"/>
                  <w:tcBorders>
                    <w:top w:val="nil"/>
                    <w:left w:val="single" w:color="000000" w:sz="8" w:space="0"/>
                    <w:bottom w:val="single" w:color="000000" w:sz="4" w:space="0"/>
                    <w:right w:val="single" w:color="000000" w:sz="4" w:space="0"/>
                  </w:tcBorders>
                  <w:tcMar>
                    <w:top w:w="0" w:type="dxa"/>
                    <w:left w:w="0" w:type="dxa"/>
                    <w:bottom w:w="0" w:type="dxa"/>
                    <w:right w:w="0" w:type="dxa"/>
                  </w:tcMar>
                  <w:vAlign w:val="top"/>
                </w:tcPr>
                <w:p w14:paraId="429982CE">
                  <w:pPr>
                    <w:pStyle w:val="16"/>
                    <w:jc w:val="center"/>
                  </w:pPr>
                  <w:r>
                    <w:rPr>
                      <w:rFonts w:ascii="仿宋_GB2312" w:hAnsi="仿宋_GB2312" w:eastAsia="仿宋_GB2312" w:cs="仿宋_GB2312"/>
                      <w:sz w:val="21"/>
                    </w:rPr>
                    <w:t>BOD</w:t>
                  </w:r>
                  <w:r>
                    <w:rPr>
                      <w:rFonts w:ascii="仿宋_GB2312" w:hAnsi="仿宋_GB2312" w:eastAsia="仿宋_GB2312" w:cs="仿宋_GB2312"/>
                      <w:sz w:val="21"/>
                      <w:vertAlign w:val="subscript"/>
                    </w:rPr>
                    <w:t>5</w:t>
                  </w:r>
                </w:p>
              </w:tc>
              <w:tc>
                <w:tcPr>
                  <w:tcW w:w="1218" w:type="dxa"/>
                  <w:tcBorders>
                    <w:top w:val="nil"/>
                    <w:left w:val="nil"/>
                    <w:bottom w:val="single" w:color="000000" w:sz="4" w:space="0"/>
                    <w:right w:val="single" w:color="000000" w:sz="4" w:space="0"/>
                  </w:tcBorders>
                  <w:tcMar>
                    <w:top w:w="0" w:type="dxa"/>
                    <w:left w:w="0" w:type="dxa"/>
                    <w:bottom w:w="0" w:type="dxa"/>
                    <w:right w:w="0" w:type="dxa"/>
                  </w:tcMar>
                  <w:vAlign w:val="top"/>
                </w:tcPr>
                <w:p w14:paraId="40048A48">
                  <w:pPr>
                    <w:pStyle w:val="16"/>
                    <w:jc w:val="center"/>
                  </w:pPr>
                  <w:r>
                    <w:rPr>
                      <w:rFonts w:ascii="仿宋_GB2312" w:hAnsi="仿宋_GB2312" w:eastAsia="仿宋_GB2312" w:cs="仿宋_GB2312"/>
                      <w:sz w:val="21"/>
                    </w:rPr>
                    <w:t>≤20</w:t>
                  </w:r>
                </w:p>
              </w:tc>
              <w:tc>
                <w:tcPr>
                  <w:tcW w:w="987" w:type="dxa"/>
                  <w:tcBorders>
                    <w:top w:val="nil"/>
                    <w:left w:val="nil"/>
                    <w:bottom w:val="single" w:color="000000" w:sz="4" w:space="0"/>
                    <w:right w:val="single" w:color="000000" w:sz="8" w:space="0"/>
                  </w:tcBorders>
                  <w:tcMar>
                    <w:top w:w="0" w:type="dxa"/>
                    <w:left w:w="0" w:type="dxa"/>
                    <w:bottom w:w="0" w:type="dxa"/>
                    <w:right w:w="0" w:type="dxa"/>
                  </w:tcMar>
                  <w:vAlign w:val="top"/>
                </w:tcPr>
                <w:p w14:paraId="67F0AAC9">
                  <w:pPr>
                    <w:pStyle w:val="16"/>
                    <w:jc w:val="center"/>
                  </w:pPr>
                  <w:r>
                    <w:rPr>
                      <w:rFonts w:ascii="仿宋_GB2312" w:hAnsi="仿宋_GB2312" w:eastAsia="仿宋_GB2312" w:cs="仿宋_GB2312"/>
                      <w:sz w:val="21"/>
                    </w:rPr>
                    <w:t>mg/L</w:t>
                  </w:r>
                </w:p>
              </w:tc>
            </w:tr>
            <w:tr w14:paraId="195A091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74" w:type="dxa"/>
                  <w:tcBorders>
                    <w:top w:val="nil"/>
                    <w:left w:val="single" w:color="000000" w:sz="8" w:space="0"/>
                    <w:bottom w:val="single" w:color="000000" w:sz="4" w:space="0"/>
                    <w:right w:val="single" w:color="000000" w:sz="4" w:space="0"/>
                  </w:tcBorders>
                  <w:tcMar>
                    <w:top w:w="0" w:type="dxa"/>
                    <w:left w:w="0" w:type="dxa"/>
                    <w:bottom w:w="0" w:type="dxa"/>
                    <w:right w:w="0" w:type="dxa"/>
                  </w:tcMar>
                  <w:vAlign w:val="top"/>
                </w:tcPr>
                <w:p w14:paraId="78EE5FE2">
                  <w:pPr>
                    <w:pStyle w:val="16"/>
                    <w:jc w:val="center"/>
                  </w:pPr>
                  <w:r>
                    <w:rPr>
                      <w:rFonts w:ascii="仿宋_GB2312" w:hAnsi="仿宋_GB2312" w:eastAsia="仿宋_GB2312" w:cs="仿宋_GB2312"/>
                      <w:sz w:val="21"/>
                    </w:rPr>
                    <w:t>SS</w:t>
                  </w:r>
                </w:p>
              </w:tc>
              <w:tc>
                <w:tcPr>
                  <w:tcW w:w="1218" w:type="dxa"/>
                  <w:tcBorders>
                    <w:top w:val="nil"/>
                    <w:left w:val="nil"/>
                    <w:bottom w:val="single" w:color="000000" w:sz="4" w:space="0"/>
                    <w:right w:val="single" w:color="000000" w:sz="4" w:space="0"/>
                  </w:tcBorders>
                  <w:tcMar>
                    <w:top w:w="0" w:type="dxa"/>
                    <w:left w:w="0" w:type="dxa"/>
                    <w:bottom w:w="0" w:type="dxa"/>
                    <w:right w:w="0" w:type="dxa"/>
                  </w:tcMar>
                  <w:vAlign w:val="top"/>
                </w:tcPr>
                <w:p w14:paraId="5BAA9425">
                  <w:pPr>
                    <w:pStyle w:val="16"/>
                    <w:jc w:val="center"/>
                  </w:pPr>
                  <w:r>
                    <w:rPr>
                      <w:rFonts w:ascii="仿宋_GB2312" w:hAnsi="仿宋_GB2312" w:eastAsia="仿宋_GB2312" w:cs="仿宋_GB2312"/>
                      <w:sz w:val="21"/>
                    </w:rPr>
                    <w:t>≤20</w:t>
                  </w:r>
                </w:p>
              </w:tc>
              <w:tc>
                <w:tcPr>
                  <w:tcW w:w="987" w:type="dxa"/>
                  <w:tcBorders>
                    <w:top w:val="nil"/>
                    <w:left w:val="nil"/>
                    <w:bottom w:val="single" w:color="000000" w:sz="4" w:space="0"/>
                    <w:right w:val="single" w:color="000000" w:sz="8" w:space="0"/>
                  </w:tcBorders>
                  <w:tcMar>
                    <w:top w:w="0" w:type="dxa"/>
                    <w:left w:w="0" w:type="dxa"/>
                    <w:bottom w:w="0" w:type="dxa"/>
                    <w:right w:w="0" w:type="dxa"/>
                  </w:tcMar>
                  <w:vAlign w:val="top"/>
                </w:tcPr>
                <w:p w14:paraId="6054A1C7">
                  <w:pPr>
                    <w:pStyle w:val="16"/>
                    <w:jc w:val="center"/>
                  </w:pPr>
                  <w:r>
                    <w:rPr>
                      <w:rFonts w:ascii="仿宋_GB2312" w:hAnsi="仿宋_GB2312" w:eastAsia="仿宋_GB2312" w:cs="仿宋_GB2312"/>
                      <w:sz w:val="21"/>
                    </w:rPr>
                    <w:t>mg/L</w:t>
                  </w:r>
                </w:p>
              </w:tc>
            </w:tr>
            <w:tr w14:paraId="06CF48F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74" w:type="dxa"/>
                  <w:tcBorders>
                    <w:top w:val="nil"/>
                    <w:left w:val="single" w:color="000000" w:sz="8" w:space="0"/>
                    <w:bottom w:val="single" w:color="000000" w:sz="8" w:space="0"/>
                    <w:right w:val="single" w:color="000000" w:sz="4" w:space="0"/>
                  </w:tcBorders>
                  <w:tcMar>
                    <w:top w:w="0" w:type="dxa"/>
                    <w:left w:w="0" w:type="dxa"/>
                    <w:bottom w:w="0" w:type="dxa"/>
                    <w:right w:w="0" w:type="dxa"/>
                  </w:tcMar>
                  <w:vAlign w:val="top"/>
                </w:tcPr>
                <w:p w14:paraId="24FDB9EF">
                  <w:pPr>
                    <w:pStyle w:val="16"/>
                    <w:jc w:val="center"/>
                  </w:pPr>
                  <w:r>
                    <w:rPr>
                      <w:rFonts w:ascii="仿宋_GB2312" w:hAnsi="仿宋_GB2312" w:eastAsia="仿宋_GB2312" w:cs="仿宋_GB2312"/>
                      <w:sz w:val="21"/>
                    </w:rPr>
                    <w:t>pH 值</w:t>
                  </w:r>
                </w:p>
              </w:tc>
              <w:tc>
                <w:tcPr>
                  <w:tcW w:w="1218" w:type="dxa"/>
                  <w:tcBorders>
                    <w:top w:val="nil"/>
                    <w:left w:val="nil"/>
                    <w:bottom w:val="single" w:color="000000" w:sz="8" w:space="0"/>
                    <w:right w:val="single" w:color="000000" w:sz="4" w:space="0"/>
                  </w:tcBorders>
                  <w:tcMar>
                    <w:top w:w="0" w:type="dxa"/>
                    <w:left w:w="0" w:type="dxa"/>
                    <w:bottom w:w="0" w:type="dxa"/>
                    <w:right w:w="0" w:type="dxa"/>
                  </w:tcMar>
                  <w:vAlign w:val="top"/>
                </w:tcPr>
                <w:p w14:paraId="1156A514">
                  <w:pPr>
                    <w:pStyle w:val="16"/>
                    <w:jc w:val="center"/>
                  </w:pPr>
                  <w:r>
                    <w:rPr>
                      <w:rFonts w:ascii="仿宋_GB2312" w:hAnsi="仿宋_GB2312" w:eastAsia="仿宋_GB2312" w:cs="仿宋_GB2312"/>
                      <w:sz w:val="21"/>
                    </w:rPr>
                    <w:t>6.5～9</w:t>
                  </w:r>
                </w:p>
              </w:tc>
              <w:tc>
                <w:tcPr>
                  <w:tcW w:w="987" w:type="dxa"/>
                  <w:tcBorders>
                    <w:top w:val="nil"/>
                    <w:left w:val="nil"/>
                    <w:bottom w:val="single" w:color="000000" w:sz="8" w:space="0"/>
                    <w:right w:val="single" w:color="000000" w:sz="8" w:space="0"/>
                  </w:tcBorders>
                  <w:tcMar>
                    <w:top w:w="0" w:type="dxa"/>
                    <w:left w:w="0" w:type="dxa"/>
                    <w:bottom w:w="0" w:type="dxa"/>
                    <w:right w:w="0" w:type="dxa"/>
                  </w:tcMar>
                  <w:vAlign w:val="top"/>
                </w:tcPr>
                <w:p w14:paraId="2A090EDE">
                  <w:pPr>
                    <w:pStyle w:val="16"/>
                    <w:jc w:val="center"/>
                  </w:pPr>
                  <w:r>
                    <w:rPr>
                      <w:rFonts w:ascii="仿宋_GB2312" w:hAnsi="仿宋_GB2312" w:eastAsia="仿宋_GB2312" w:cs="仿宋_GB2312"/>
                      <w:sz w:val="21"/>
                    </w:rPr>
                    <w:t>无量纲</w:t>
                  </w:r>
                </w:p>
              </w:tc>
            </w:tr>
            <w:tr w14:paraId="4A93B5B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74" w:type="dxa"/>
                  <w:tcBorders>
                    <w:top w:val="nil"/>
                    <w:left w:val="single" w:color="000000" w:sz="8" w:space="0"/>
                    <w:bottom w:val="single" w:color="000000" w:sz="4" w:space="0"/>
                    <w:right w:val="single" w:color="000000" w:sz="4" w:space="0"/>
                  </w:tcBorders>
                  <w:tcMar>
                    <w:top w:w="0" w:type="dxa"/>
                    <w:left w:w="0" w:type="dxa"/>
                    <w:bottom w:w="0" w:type="dxa"/>
                    <w:right w:w="0" w:type="dxa"/>
                  </w:tcMar>
                  <w:vAlign w:val="top"/>
                </w:tcPr>
                <w:p w14:paraId="32B6C0B3">
                  <w:pPr>
                    <w:pStyle w:val="16"/>
                    <w:jc w:val="center"/>
                  </w:pPr>
                  <w:r>
                    <w:rPr>
                      <w:rFonts w:ascii="仿宋_GB2312" w:hAnsi="仿宋_GB2312" w:eastAsia="仿宋_GB2312" w:cs="仿宋_GB2312"/>
                      <w:sz w:val="21"/>
                    </w:rPr>
                    <w:t>氨氮</w:t>
                  </w:r>
                </w:p>
              </w:tc>
              <w:tc>
                <w:tcPr>
                  <w:tcW w:w="1218" w:type="dxa"/>
                  <w:tcBorders>
                    <w:top w:val="nil"/>
                    <w:left w:val="nil"/>
                    <w:bottom w:val="single" w:color="000000" w:sz="4" w:space="0"/>
                    <w:right w:val="single" w:color="000000" w:sz="4" w:space="0"/>
                  </w:tcBorders>
                  <w:tcMar>
                    <w:top w:w="0" w:type="dxa"/>
                    <w:left w:w="0" w:type="dxa"/>
                    <w:bottom w:w="0" w:type="dxa"/>
                    <w:right w:w="0" w:type="dxa"/>
                  </w:tcMar>
                  <w:vAlign w:val="top"/>
                </w:tcPr>
                <w:p w14:paraId="7297567F">
                  <w:pPr>
                    <w:pStyle w:val="16"/>
                    <w:jc w:val="center"/>
                  </w:pPr>
                  <w:r>
                    <w:rPr>
                      <w:rFonts w:ascii="仿宋_GB2312" w:hAnsi="仿宋_GB2312" w:eastAsia="仿宋_GB2312" w:cs="仿宋_GB2312"/>
                      <w:sz w:val="21"/>
                    </w:rPr>
                    <w:t>≤15</w:t>
                  </w:r>
                </w:p>
              </w:tc>
              <w:tc>
                <w:tcPr>
                  <w:tcW w:w="987" w:type="dxa"/>
                  <w:tcBorders>
                    <w:top w:val="nil"/>
                    <w:left w:val="nil"/>
                    <w:bottom w:val="single" w:color="000000" w:sz="4" w:space="0"/>
                    <w:right w:val="single" w:color="000000" w:sz="8" w:space="0"/>
                  </w:tcBorders>
                  <w:tcMar>
                    <w:top w:w="0" w:type="dxa"/>
                    <w:left w:w="0" w:type="dxa"/>
                    <w:bottom w:w="0" w:type="dxa"/>
                    <w:right w:w="0" w:type="dxa"/>
                  </w:tcMar>
                  <w:vAlign w:val="top"/>
                </w:tcPr>
                <w:p w14:paraId="10AA0E8B">
                  <w:pPr>
                    <w:pStyle w:val="16"/>
                    <w:jc w:val="center"/>
                  </w:pPr>
                  <w:r>
                    <w:rPr>
                      <w:rFonts w:ascii="仿宋_GB2312" w:hAnsi="仿宋_GB2312" w:eastAsia="仿宋_GB2312" w:cs="仿宋_GB2312"/>
                      <w:sz w:val="21"/>
                    </w:rPr>
                    <w:t>mg/L</w:t>
                  </w:r>
                </w:p>
              </w:tc>
            </w:tr>
            <w:tr w14:paraId="14662D4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74" w:type="dxa"/>
                  <w:tcBorders>
                    <w:top w:val="nil"/>
                    <w:left w:val="single" w:color="000000" w:sz="8" w:space="0"/>
                    <w:bottom w:val="single" w:color="000000" w:sz="4" w:space="0"/>
                    <w:right w:val="single" w:color="000000" w:sz="4" w:space="0"/>
                  </w:tcBorders>
                  <w:tcMar>
                    <w:top w:w="0" w:type="dxa"/>
                    <w:left w:w="0" w:type="dxa"/>
                    <w:bottom w:w="0" w:type="dxa"/>
                    <w:right w:w="0" w:type="dxa"/>
                  </w:tcMar>
                  <w:vAlign w:val="top"/>
                </w:tcPr>
                <w:p w14:paraId="152151C8">
                  <w:pPr>
                    <w:pStyle w:val="16"/>
                    <w:jc w:val="center"/>
                  </w:pPr>
                  <w:r>
                    <w:rPr>
                      <w:rFonts w:ascii="仿宋_GB2312" w:hAnsi="仿宋_GB2312" w:eastAsia="仿宋_GB2312" w:cs="仿宋_GB2312"/>
                      <w:sz w:val="21"/>
                    </w:rPr>
                    <w:t>总磷</w:t>
                  </w:r>
                </w:p>
              </w:tc>
              <w:tc>
                <w:tcPr>
                  <w:tcW w:w="1218" w:type="dxa"/>
                  <w:tcBorders>
                    <w:top w:val="nil"/>
                    <w:left w:val="nil"/>
                    <w:bottom w:val="single" w:color="000000" w:sz="4" w:space="0"/>
                    <w:right w:val="single" w:color="000000" w:sz="4" w:space="0"/>
                  </w:tcBorders>
                  <w:tcMar>
                    <w:top w:w="0" w:type="dxa"/>
                    <w:left w:w="0" w:type="dxa"/>
                    <w:bottom w:w="0" w:type="dxa"/>
                    <w:right w:w="0" w:type="dxa"/>
                  </w:tcMar>
                  <w:vAlign w:val="top"/>
                </w:tcPr>
                <w:p w14:paraId="753BBAD3">
                  <w:pPr>
                    <w:pStyle w:val="16"/>
                    <w:jc w:val="center"/>
                  </w:pPr>
                  <w:r>
                    <w:rPr>
                      <w:rFonts w:ascii="仿宋_GB2312" w:hAnsi="仿宋_GB2312" w:eastAsia="仿宋_GB2312" w:cs="仿宋_GB2312"/>
                      <w:sz w:val="21"/>
                    </w:rPr>
                    <w:t>≤8.0</w:t>
                  </w:r>
                </w:p>
              </w:tc>
              <w:tc>
                <w:tcPr>
                  <w:tcW w:w="987" w:type="dxa"/>
                  <w:tcBorders>
                    <w:top w:val="nil"/>
                    <w:left w:val="nil"/>
                    <w:bottom w:val="single" w:color="000000" w:sz="4" w:space="0"/>
                    <w:right w:val="single" w:color="000000" w:sz="8" w:space="0"/>
                  </w:tcBorders>
                  <w:tcMar>
                    <w:top w:w="0" w:type="dxa"/>
                    <w:left w:w="0" w:type="dxa"/>
                    <w:bottom w:w="0" w:type="dxa"/>
                    <w:right w:w="0" w:type="dxa"/>
                  </w:tcMar>
                  <w:vAlign w:val="top"/>
                </w:tcPr>
                <w:p w14:paraId="09394252">
                  <w:pPr>
                    <w:pStyle w:val="16"/>
                    <w:jc w:val="center"/>
                  </w:pPr>
                  <w:r>
                    <w:rPr>
                      <w:rFonts w:ascii="仿宋_GB2312" w:hAnsi="仿宋_GB2312" w:eastAsia="仿宋_GB2312" w:cs="仿宋_GB2312"/>
                      <w:sz w:val="21"/>
                    </w:rPr>
                    <w:t>mg/L</w:t>
                  </w:r>
                </w:p>
              </w:tc>
            </w:tr>
            <w:tr w14:paraId="30BCEB3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74" w:type="dxa"/>
                  <w:tcBorders>
                    <w:top w:val="nil"/>
                    <w:left w:val="single" w:color="000000" w:sz="8" w:space="0"/>
                    <w:bottom w:val="single" w:color="000000" w:sz="4" w:space="0"/>
                    <w:right w:val="single" w:color="000000" w:sz="4" w:space="0"/>
                  </w:tcBorders>
                  <w:tcMar>
                    <w:top w:w="0" w:type="dxa"/>
                    <w:left w:w="0" w:type="dxa"/>
                    <w:bottom w:w="0" w:type="dxa"/>
                    <w:right w:w="0" w:type="dxa"/>
                  </w:tcMar>
                  <w:vAlign w:val="top"/>
                </w:tcPr>
                <w:p w14:paraId="35831E21">
                  <w:pPr>
                    <w:pStyle w:val="16"/>
                    <w:jc w:val="center"/>
                  </w:pPr>
                  <w:r>
                    <w:rPr>
                      <w:rFonts w:ascii="仿宋_GB2312" w:hAnsi="仿宋_GB2312" w:eastAsia="仿宋_GB2312" w:cs="仿宋_GB2312"/>
                      <w:sz w:val="21"/>
                    </w:rPr>
                    <w:t>粪大肠菌群</w:t>
                  </w:r>
                </w:p>
              </w:tc>
              <w:tc>
                <w:tcPr>
                  <w:tcW w:w="1218" w:type="dxa"/>
                  <w:tcBorders>
                    <w:top w:val="nil"/>
                    <w:left w:val="nil"/>
                    <w:bottom w:val="single" w:color="000000" w:sz="4" w:space="0"/>
                    <w:right w:val="single" w:color="000000" w:sz="4" w:space="0"/>
                  </w:tcBorders>
                  <w:tcMar>
                    <w:top w:w="0" w:type="dxa"/>
                    <w:left w:w="0" w:type="dxa"/>
                    <w:bottom w:w="0" w:type="dxa"/>
                    <w:right w:w="0" w:type="dxa"/>
                  </w:tcMar>
                  <w:vAlign w:val="top"/>
                </w:tcPr>
                <w:p w14:paraId="27F194A2">
                  <w:pPr>
                    <w:pStyle w:val="16"/>
                    <w:jc w:val="center"/>
                  </w:pPr>
                  <w:r>
                    <w:rPr>
                      <w:rFonts w:ascii="仿宋_GB2312" w:hAnsi="仿宋_GB2312" w:eastAsia="仿宋_GB2312" w:cs="仿宋_GB2312"/>
                      <w:sz w:val="21"/>
                    </w:rPr>
                    <w:t>≤500</w:t>
                  </w:r>
                </w:p>
              </w:tc>
              <w:tc>
                <w:tcPr>
                  <w:tcW w:w="987" w:type="dxa"/>
                  <w:tcBorders>
                    <w:top w:val="nil"/>
                    <w:left w:val="nil"/>
                    <w:bottom w:val="single" w:color="000000" w:sz="4" w:space="0"/>
                    <w:right w:val="single" w:color="000000" w:sz="8" w:space="0"/>
                  </w:tcBorders>
                  <w:tcMar>
                    <w:top w:w="0" w:type="dxa"/>
                    <w:left w:w="0" w:type="dxa"/>
                    <w:bottom w:w="0" w:type="dxa"/>
                    <w:right w:w="0" w:type="dxa"/>
                  </w:tcMar>
                  <w:vAlign w:val="top"/>
                </w:tcPr>
                <w:p w14:paraId="7C13A884">
                  <w:pPr>
                    <w:pStyle w:val="16"/>
                    <w:jc w:val="center"/>
                  </w:pPr>
                  <w:r>
                    <w:rPr>
                      <w:rFonts w:ascii="仿宋_GB2312" w:hAnsi="仿宋_GB2312" w:eastAsia="仿宋_GB2312" w:cs="仿宋_GB2312"/>
                      <w:sz w:val="21"/>
                    </w:rPr>
                    <w:t>MPN/L</w:t>
                  </w:r>
                </w:p>
              </w:tc>
            </w:tr>
            <w:tr w14:paraId="4A64B3F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74" w:type="dxa"/>
                  <w:tcBorders>
                    <w:top w:val="nil"/>
                    <w:left w:val="single" w:color="000000" w:sz="8" w:space="0"/>
                    <w:bottom w:val="single" w:color="000000" w:sz="4" w:space="0"/>
                    <w:right w:val="single" w:color="000000" w:sz="4" w:space="0"/>
                  </w:tcBorders>
                  <w:tcMar>
                    <w:top w:w="0" w:type="dxa"/>
                    <w:left w:w="0" w:type="dxa"/>
                    <w:bottom w:w="0" w:type="dxa"/>
                    <w:right w:w="0" w:type="dxa"/>
                  </w:tcMar>
                  <w:vAlign w:val="top"/>
                </w:tcPr>
                <w:p w14:paraId="5AC1B138">
                  <w:pPr>
                    <w:pStyle w:val="16"/>
                    <w:jc w:val="center"/>
                  </w:pPr>
                  <w:r>
                    <w:rPr>
                      <w:rFonts w:ascii="仿宋_GB2312" w:hAnsi="仿宋_GB2312" w:eastAsia="仿宋_GB2312" w:cs="仿宋_GB2312"/>
                      <w:sz w:val="21"/>
                    </w:rPr>
                    <w:t>动植物油</w:t>
                  </w:r>
                </w:p>
              </w:tc>
              <w:tc>
                <w:tcPr>
                  <w:tcW w:w="1218" w:type="dxa"/>
                  <w:tcBorders>
                    <w:top w:val="nil"/>
                    <w:left w:val="nil"/>
                    <w:bottom w:val="single" w:color="000000" w:sz="4" w:space="0"/>
                    <w:right w:val="single" w:color="000000" w:sz="4" w:space="0"/>
                  </w:tcBorders>
                  <w:tcMar>
                    <w:top w:w="0" w:type="dxa"/>
                    <w:left w:w="0" w:type="dxa"/>
                    <w:bottom w:w="0" w:type="dxa"/>
                    <w:right w:w="0" w:type="dxa"/>
                  </w:tcMar>
                  <w:vAlign w:val="top"/>
                </w:tcPr>
                <w:p w14:paraId="16613226">
                  <w:pPr>
                    <w:pStyle w:val="16"/>
                    <w:jc w:val="center"/>
                  </w:pPr>
                  <w:r>
                    <w:rPr>
                      <w:rFonts w:ascii="仿宋_GB2312" w:hAnsi="仿宋_GB2312" w:eastAsia="仿宋_GB2312" w:cs="仿宋_GB2312"/>
                      <w:sz w:val="21"/>
                    </w:rPr>
                    <w:t>≤5.0</w:t>
                  </w:r>
                </w:p>
              </w:tc>
              <w:tc>
                <w:tcPr>
                  <w:tcW w:w="987" w:type="dxa"/>
                  <w:tcBorders>
                    <w:top w:val="nil"/>
                    <w:left w:val="nil"/>
                    <w:bottom w:val="single" w:color="000000" w:sz="4" w:space="0"/>
                    <w:right w:val="single" w:color="000000" w:sz="8" w:space="0"/>
                  </w:tcBorders>
                  <w:tcMar>
                    <w:top w:w="0" w:type="dxa"/>
                    <w:left w:w="0" w:type="dxa"/>
                    <w:bottom w:w="0" w:type="dxa"/>
                    <w:right w:w="0" w:type="dxa"/>
                  </w:tcMar>
                  <w:vAlign w:val="top"/>
                </w:tcPr>
                <w:p w14:paraId="7A998524">
                  <w:pPr>
                    <w:pStyle w:val="16"/>
                    <w:jc w:val="center"/>
                  </w:pPr>
                  <w:r>
                    <w:rPr>
                      <w:rFonts w:ascii="仿宋_GB2312" w:hAnsi="仿宋_GB2312" w:eastAsia="仿宋_GB2312" w:cs="仿宋_GB2312"/>
                      <w:sz w:val="21"/>
                    </w:rPr>
                    <w:t>mg/L</w:t>
                  </w:r>
                </w:p>
              </w:tc>
            </w:tr>
            <w:tr w14:paraId="13776D0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74" w:type="dxa"/>
                  <w:tcBorders>
                    <w:top w:val="nil"/>
                    <w:left w:val="single" w:color="000000" w:sz="8" w:space="0"/>
                    <w:bottom w:val="single" w:color="000000" w:sz="8" w:space="0"/>
                    <w:right w:val="single" w:color="000000" w:sz="4" w:space="0"/>
                  </w:tcBorders>
                  <w:tcMar>
                    <w:top w:w="0" w:type="dxa"/>
                    <w:left w:w="0" w:type="dxa"/>
                    <w:bottom w:w="0" w:type="dxa"/>
                    <w:right w:w="0" w:type="dxa"/>
                  </w:tcMar>
                  <w:vAlign w:val="top"/>
                </w:tcPr>
                <w:p w14:paraId="221443A4">
                  <w:pPr>
                    <w:pStyle w:val="16"/>
                    <w:jc w:val="center"/>
                  </w:pPr>
                  <w:r>
                    <w:rPr>
                      <w:rFonts w:ascii="仿宋_GB2312" w:hAnsi="仿宋_GB2312" w:eastAsia="仿宋_GB2312" w:cs="仿宋_GB2312"/>
                      <w:sz w:val="21"/>
                    </w:rPr>
                    <w:t>溶解性总固体</w:t>
                  </w:r>
                </w:p>
              </w:tc>
              <w:tc>
                <w:tcPr>
                  <w:tcW w:w="1218" w:type="dxa"/>
                  <w:tcBorders>
                    <w:top w:val="nil"/>
                    <w:left w:val="nil"/>
                    <w:bottom w:val="single" w:color="000000" w:sz="8" w:space="0"/>
                    <w:right w:val="single" w:color="000000" w:sz="4" w:space="0"/>
                  </w:tcBorders>
                  <w:tcMar>
                    <w:top w:w="0" w:type="dxa"/>
                    <w:left w:w="0" w:type="dxa"/>
                    <w:bottom w:w="0" w:type="dxa"/>
                    <w:right w:w="0" w:type="dxa"/>
                  </w:tcMar>
                  <w:vAlign w:val="top"/>
                </w:tcPr>
                <w:p w14:paraId="58B6CAC5">
                  <w:pPr>
                    <w:pStyle w:val="16"/>
                    <w:jc w:val="center"/>
                  </w:pPr>
                  <w:r>
                    <w:rPr>
                      <w:rFonts w:ascii="仿宋_GB2312" w:hAnsi="仿宋_GB2312" w:eastAsia="仿宋_GB2312" w:cs="仿宋_GB2312"/>
                      <w:sz w:val="21"/>
                    </w:rPr>
                    <w:t>≤1000</w:t>
                  </w:r>
                </w:p>
              </w:tc>
              <w:tc>
                <w:tcPr>
                  <w:tcW w:w="987" w:type="dxa"/>
                  <w:tcBorders>
                    <w:top w:val="nil"/>
                    <w:left w:val="nil"/>
                    <w:bottom w:val="single" w:color="000000" w:sz="8" w:space="0"/>
                    <w:right w:val="single" w:color="000000" w:sz="8" w:space="0"/>
                  </w:tcBorders>
                  <w:tcMar>
                    <w:top w:w="0" w:type="dxa"/>
                    <w:left w:w="0" w:type="dxa"/>
                    <w:bottom w:w="0" w:type="dxa"/>
                    <w:right w:w="0" w:type="dxa"/>
                  </w:tcMar>
                  <w:vAlign w:val="top"/>
                </w:tcPr>
                <w:p w14:paraId="29FE5BEA">
                  <w:pPr>
                    <w:pStyle w:val="16"/>
                    <w:jc w:val="center"/>
                  </w:pPr>
                  <w:r>
                    <w:rPr>
                      <w:rFonts w:ascii="仿宋_GB2312" w:hAnsi="仿宋_GB2312" w:eastAsia="仿宋_GB2312" w:cs="仿宋_GB2312"/>
                      <w:sz w:val="21"/>
                    </w:rPr>
                    <w:t>mg/L</w:t>
                  </w:r>
                </w:p>
              </w:tc>
            </w:tr>
          </w:tbl>
          <w:p w14:paraId="196FD753">
            <w:pPr>
              <w:pStyle w:val="16"/>
              <w:jc w:val="both"/>
            </w:pPr>
            <w:r>
              <w:rPr>
                <w:rFonts w:ascii="仿宋_GB2312" w:hAnsi="仿宋_GB2312" w:eastAsia="仿宋_GB2312" w:cs="仿宋_GB2312"/>
                <w:sz w:val="21"/>
              </w:rPr>
              <w:t>（3）回用出水主要水质指标</w:t>
            </w:r>
          </w:p>
          <w:p w14:paraId="4C4AF7E8">
            <w:pPr>
              <w:pStyle w:val="16"/>
              <w:jc w:val="both"/>
            </w:pPr>
            <w:r>
              <w:rPr>
                <w:rFonts w:ascii="仿宋_GB2312" w:hAnsi="仿宋_GB2312" w:eastAsia="仿宋_GB2312" w:cs="仿宋_GB2312"/>
                <w:sz w:val="21"/>
              </w:rPr>
              <w:t>表三 回用出水主要水质指标一览表</w:t>
            </w:r>
          </w:p>
          <w:tbl>
            <w:tblPr>
              <w:tblStyle w:val="12"/>
              <w:tblW w:w="0" w:type="auto"/>
              <w:tblInd w:w="12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809"/>
              <w:gridCol w:w="858"/>
              <w:gridCol w:w="756"/>
            </w:tblGrid>
            <w:tr w14:paraId="1FDA6B3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09" w:type="dxa"/>
                  <w:tcBorders>
                    <w:top w:val="single" w:color="000000" w:sz="8" w:space="0"/>
                    <w:left w:val="single" w:color="000000" w:sz="8" w:space="0"/>
                    <w:bottom w:val="single" w:color="000000" w:sz="4" w:space="0"/>
                    <w:right w:val="single" w:color="000000" w:sz="4" w:space="0"/>
                  </w:tcBorders>
                  <w:tcMar>
                    <w:top w:w="0" w:type="dxa"/>
                    <w:left w:w="0" w:type="dxa"/>
                    <w:bottom w:w="0" w:type="dxa"/>
                    <w:right w:w="0" w:type="dxa"/>
                  </w:tcMar>
                  <w:vAlign w:val="top"/>
                </w:tcPr>
                <w:p w14:paraId="5E8AFE32">
                  <w:pPr>
                    <w:pStyle w:val="16"/>
                    <w:jc w:val="center"/>
                  </w:pPr>
                  <w:r>
                    <w:rPr>
                      <w:rFonts w:ascii="仿宋_GB2312" w:hAnsi="仿宋_GB2312" w:eastAsia="仿宋_GB2312" w:cs="仿宋_GB2312"/>
                      <w:sz w:val="21"/>
                    </w:rPr>
                    <w:t>项目</w:t>
                  </w:r>
                </w:p>
              </w:tc>
              <w:tc>
                <w:tcPr>
                  <w:tcW w:w="1085" w:type="dxa"/>
                  <w:tcBorders>
                    <w:top w:val="single" w:color="000000" w:sz="8" w:space="0"/>
                    <w:left w:val="nil"/>
                    <w:bottom w:val="single" w:color="000000" w:sz="4" w:space="0"/>
                    <w:right w:val="single" w:color="000000" w:sz="4" w:space="0"/>
                  </w:tcBorders>
                  <w:tcMar>
                    <w:top w:w="0" w:type="dxa"/>
                    <w:left w:w="0" w:type="dxa"/>
                    <w:bottom w:w="0" w:type="dxa"/>
                    <w:right w:w="0" w:type="dxa"/>
                  </w:tcMar>
                  <w:vAlign w:val="top"/>
                </w:tcPr>
                <w:p w14:paraId="6C4DA1AF">
                  <w:pPr>
                    <w:pStyle w:val="16"/>
                    <w:jc w:val="center"/>
                  </w:pPr>
                  <w:r>
                    <w:rPr>
                      <w:rFonts w:ascii="仿宋_GB2312" w:hAnsi="仿宋_GB2312" w:eastAsia="仿宋_GB2312" w:cs="仿宋_GB2312"/>
                      <w:sz w:val="21"/>
                    </w:rPr>
                    <w:t>最高浓度</w:t>
                  </w:r>
                </w:p>
              </w:tc>
              <w:tc>
                <w:tcPr>
                  <w:tcW w:w="982" w:type="dxa"/>
                  <w:tcBorders>
                    <w:top w:val="single" w:color="000000" w:sz="8" w:space="0"/>
                    <w:left w:val="nil"/>
                    <w:bottom w:val="single" w:color="000000" w:sz="4" w:space="0"/>
                    <w:right w:val="single" w:color="000000" w:sz="8" w:space="0"/>
                  </w:tcBorders>
                  <w:tcMar>
                    <w:top w:w="0" w:type="dxa"/>
                    <w:left w:w="0" w:type="dxa"/>
                    <w:bottom w:w="0" w:type="dxa"/>
                    <w:right w:w="0" w:type="dxa"/>
                  </w:tcMar>
                  <w:vAlign w:val="top"/>
                </w:tcPr>
                <w:p w14:paraId="5F635DDA">
                  <w:pPr>
                    <w:pStyle w:val="16"/>
                    <w:jc w:val="center"/>
                  </w:pPr>
                  <w:r>
                    <w:rPr>
                      <w:rFonts w:ascii="仿宋_GB2312" w:hAnsi="仿宋_GB2312" w:eastAsia="仿宋_GB2312" w:cs="仿宋_GB2312"/>
                      <w:sz w:val="21"/>
                    </w:rPr>
                    <w:t>单位</w:t>
                  </w:r>
                </w:p>
              </w:tc>
            </w:tr>
            <w:tr w14:paraId="7FDF2BC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09" w:type="dxa"/>
                  <w:tcBorders>
                    <w:top w:val="nil"/>
                    <w:left w:val="single" w:color="000000" w:sz="8" w:space="0"/>
                    <w:bottom w:val="single" w:color="000000" w:sz="4" w:space="0"/>
                    <w:right w:val="single" w:color="000000" w:sz="4" w:space="0"/>
                  </w:tcBorders>
                  <w:tcMar>
                    <w:top w:w="0" w:type="dxa"/>
                    <w:left w:w="0" w:type="dxa"/>
                    <w:bottom w:w="0" w:type="dxa"/>
                    <w:right w:w="0" w:type="dxa"/>
                  </w:tcMar>
                  <w:vAlign w:val="top"/>
                </w:tcPr>
                <w:p w14:paraId="06299DD6">
                  <w:pPr>
                    <w:pStyle w:val="16"/>
                    <w:jc w:val="center"/>
                  </w:pPr>
                  <w:r>
                    <w:rPr>
                      <w:rFonts w:ascii="仿宋_GB2312" w:hAnsi="仿宋_GB2312" w:eastAsia="仿宋_GB2312" w:cs="仿宋_GB2312"/>
                      <w:sz w:val="21"/>
                    </w:rPr>
                    <w:t>BOD</w:t>
                  </w:r>
                  <w:r>
                    <w:rPr>
                      <w:rFonts w:ascii="仿宋_GB2312" w:hAnsi="仿宋_GB2312" w:eastAsia="仿宋_GB2312" w:cs="仿宋_GB2312"/>
                      <w:sz w:val="21"/>
                      <w:vertAlign w:val="subscript"/>
                    </w:rPr>
                    <w:t>5</w:t>
                  </w:r>
                </w:p>
              </w:tc>
              <w:tc>
                <w:tcPr>
                  <w:tcW w:w="1085" w:type="dxa"/>
                  <w:tcBorders>
                    <w:top w:val="nil"/>
                    <w:left w:val="nil"/>
                    <w:bottom w:val="single" w:color="000000" w:sz="4" w:space="0"/>
                    <w:right w:val="single" w:color="000000" w:sz="4" w:space="0"/>
                  </w:tcBorders>
                  <w:tcMar>
                    <w:top w:w="0" w:type="dxa"/>
                    <w:left w:w="0" w:type="dxa"/>
                    <w:bottom w:w="0" w:type="dxa"/>
                    <w:right w:w="0" w:type="dxa"/>
                  </w:tcMar>
                  <w:vAlign w:val="top"/>
                </w:tcPr>
                <w:p w14:paraId="4CB62199">
                  <w:pPr>
                    <w:pStyle w:val="16"/>
                    <w:jc w:val="center"/>
                  </w:pPr>
                  <w:r>
                    <w:rPr>
                      <w:rFonts w:ascii="仿宋_GB2312" w:hAnsi="仿宋_GB2312" w:eastAsia="仿宋_GB2312" w:cs="仿宋_GB2312"/>
                      <w:sz w:val="21"/>
                    </w:rPr>
                    <w:t>≤15</w:t>
                  </w:r>
                </w:p>
              </w:tc>
              <w:tc>
                <w:tcPr>
                  <w:tcW w:w="982" w:type="dxa"/>
                  <w:tcBorders>
                    <w:top w:val="nil"/>
                    <w:left w:val="nil"/>
                    <w:bottom w:val="single" w:color="000000" w:sz="4" w:space="0"/>
                    <w:right w:val="single" w:color="000000" w:sz="8" w:space="0"/>
                  </w:tcBorders>
                  <w:tcMar>
                    <w:top w:w="0" w:type="dxa"/>
                    <w:left w:w="0" w:type="dxa"/>
                    <w:bottom w:w="0" w:type="dxa"/>
                    <w:right w:w="0" w:type="dxa"/>
                  </w:tcMar>
                  <w:vAlign w:val="top"/>
                </w:tcPr>
                <w:p w14:paraId="2D84DD9D">
                  <w:pPr>
                    <w:pStyle w:val="16"/>
                    <w:jc w:val="center"/>
                  </w:pPr>
                  <w:r>
                    <w:rPr>
                      <w:rFonts w:ascii="仿宋_GB2312" w:hAnsi="仿宋_GB2312" w:eastAsia="仿宋_GB2312" w:cs="仿宋_GB2312"/>
                      <w:sz w:val="21"/>
                    </w:rPr>
                    <w:t>mg/L</w:t>
                  </w:r>
                </w:p>
              </w:tc>
            </w:tr>
            <w:tr w14:paraId="00F3345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09" w:type="dxa"/>
                  <w:tcBorders>
                    <w:top w:val="nil"/>
                    <w:left w:val="single" w:color="000000" w:sz="8" w:space="0"/>
                    <w:bottom w:val="single" w:color="000000" w:sz="4" w:space="0"/>
                    <w:right w:val="single" w:color="000000" w:sz="4" w:space="0"/>
                  </w:tcBorders>
                  <w:tcMar>
                    <w:top w:w="0" w:type="dxa"/>
                    <w:left w:w="0" w:type="dxa"/>
                    <w:bottom w:w="0" w:type="dxa"/>
                    <w:right w:w="0" w:type="dxa"/>
                  </w:tcMar>
                  <w:vAlign w:val="top"/>
                </w:tcPr>
                <w:p w14:paraId="0EC58C1B">
                  <w:pPr>
                    <w:pStyle w:val="16"/>
                    <w:jc w:val="center"/>
                  </w:pPr>
                  <w:r>
                    <w:rPr>
                      <w:rFonts w:ascii="仿宋_GB2312" w:hAnsi="仿宋_GB2312" w:eastAsia="仿宋_GB2312" w:cs="仿宋_GB2312"/>
                      <w:sz w:val="21"/>
                    </w:rPr>
                    <w:t>色度</w:t>
                  </w:r>
                </w:p>
              </w:tc>
              <w:tc>
                <w:tcPr>
                  <w:tcW w:w="1085" w:type="dxa"/>
                  <w:tcBorders>
                    <w:top w:val="nil"/>
                    <w:left w:val="nil"/>
                    <w:bottom w:val="single" w:color="000000" w:sz="4" w:space="0"/>
                    <w:right w:val="single" w:color="000000" w:sz="4" w:space="0"/>
                  </w:tcBorders>
                  <w:tcMar>
                    <w:top w:w="0" w:type="dxa"/>
                    <w:left w:w="0" w:type="dxa"/>
                    <w:bottom w:w="0" w:type="dxa"/>
                    <w:right w:w="0" w:type="dxa"/>
                  </w:tcMar>
                  <w:vAlign w:val="top"/>
                </w:tcPr>
                <w:p w14:paraId="5FD661BF">
                  <w:pPr>
                    <w:pStyle w:val="16"/>
                    <w:jc w:val="center"/>
                  </w:pPr>
                  <w:r>
                    <w:rPr>
                      <w:rFonts w:ascii="仿宋_GB2312" w:hAnsi="仿宋_GB2312" w:eastAsia="仿宋_GB2312" w:cs="仿宋_GB2312"/>
                      <w:sz w:val="21"/>
                    </w:rPr>
                    <w:t>≤30</w:t>
                  </w:r>
                </w:p>
              </w:tc>
              <w:tc>
                <w:tcPr>
                  <w:tcW w:w="982" w:type="dxa"/>
                  <w:tcBorders>
                    <w:top w:val="nil"/>
                    <w:left w:val="nil"/>
                    <w:bottom w:val="single" w:color="000000" w:sz="4" w:space="0"/>
                    <w:right w:val="single" w:color="000000" w:sz="8" w:space="0"/>
                  </w:tcBorders>
                  <w:tcMar>
                    <w:top w:w="0" w:type="dxa"/>
                    <w:left w:w="0" w:type="dxa"/>
                    <w:bottom w:w="0" w:type="dxa"/>
                    <w:right w:w="0" w:type="dxa"/>
                  </w:tcMar>
                  <w:vAlign w:val="top"/>
                </w:tcPr>
                <w:p w14:paraId="79B406A8">
                  <w:pPr>
                    <w:pStyle w:val="16"/>
                    <w:jc w:val="center"/>
                  </w:pPr>
                  <w:r>
                    <w:rPr>
                      <w:rFonts w:ascii="仿宋_GB2312" w:hAnsi="仿宋_GB2312" w:eastAsia="仿宋_GB2312" w:cs="仿宋_GB2312"/>
                      <w:sz w:val="21"/>
                    </w:rPr>
                    <w:t>度</w:t>
                  </w:r>
                </w:p>
              </w:tc>
            </w:tr>
            <w:tr w14:paraId="49A0439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09" w:type="dxa"/>
                  <w:tcBorders>
                    <w:top w:val="nil"/>
                    <w:left w:val="single" w:color="000000" w:sz="8" w:space="0"/>
                    <w:bottom w:val="single" w:color="000000" w:sz="4" w:space="0"/>
                    <w:right w:val="single" w:color="000000" w:sz="4" w:space="0"/>
                  </w:tcBorders>
                  <w:tcMar>
                    <w:top w:w="0" w:type="dxa"/>
                    <w:left w:w="0" w:type="dxa"/>
                    <w:bottom w:w="0" w:type="dxa"/>
                    <w:right w:w="0" w:type="dxa"/>
                  </w:tcMar>
                  <w:vAlign w:val="top"/>
                </w:tcPr>
                <w:p w14:paraId="2292EBDE">
                  <w:pPr>
                    <w:pStyle w:val="16"/>
                    <w:jc w:val="center"/>
                  </w:pPr>
                  <w:r>
                    <w:rPr>
                      <w:rFonts w:ascii="仿宋_GB2312" w:hAnsi="仿宋_GB2312" w:eastAsia="仿宋_GB2312" w:cs="仿宋_GB2312"/>
                      <w:sz w:val="21"/>
                    </w:rPr>
                    <w:t>pH 值</w:t>
                  </w:r>
                </w:p>
              </w:tc>
              <w:tc>
                <w:tcPr>
                  <w:tcW w:w="1085" w:type="dxa"/>
                  <w:tcBorders>
                    <w:top w:val="nil"/>
                    <w:left w:val="nil"/>
                    <w:bottom w:val="single" w:color="000000" w:sz="4" w:space="0"/>
                    <w:right w:val="single" w:color="000000" w:sz="4" w:space="0"/>
                  </w:tcBorders>
                  <w:tcMar>
                    <w:top w:w="0" w:type="dxa"/>
                    <w:left w:w="0" w:type="dxa"/>
                    <w:bottom w:w="0" w:type="dxa"/>
                    <w:right w:w="0" w:type="dxa"/>
                  </w:tcMar>
                  <w:vAlign w:val="top"/>
                </w:tcPr>
                <w:p w14:paraId="3F098B3D">
                  <w:pPr>
                    <w:pStyle w:val="16"/>
                    <w:jc w:val="center"/>
                  </w:pPr>
                  <w:r>
                    <w:rPr>
                      <w:rFonts w:ascii="仿宋_GB2312" w:hAnsi="仿宋_GB2312" w:eastAsia="仿宋_GB2312" w:cs="仿宋_GB2312"/>
                      <w:sz w:val="21"/>
                    </w:rPr>
                    <w:t>6－9</w:t>
                  </w:r>
                </w:p>
              </w:tc>
              <w:tc>
                <w:tcPr>
                  <w:tcW w:w="982" w:type="dxa"/>
                  <w:tcBorders>
                    <w:top w:val="nil"/>
                    <w:left w:val="nil"/>
                    <w:bottom w:val="single" w:color="000000" w:sz="4" w:space="0"/>
                    <w:right w:val="single" w:color="000000" w:sz="8" w:space="0"/>
                  </w:tcBorders>
                  <w:tcMar>
                    <w:top w:w="0" w:type="dxa"/>
                    <w:left w:w="0" w:type="dxa"/>
                    <w:bottom w:w="0" w:type="dxa"/>
                    <w:right w:w="0" w:type="dxa"/>
                  </w:tcMar>
                  <w:vAlign w:val="top"/>
                </w:tcPr>
                <w:p w14:paraId="568BB450">
                  <w:pPr>
                    <w:pStyle w:val="16"/>
                    <w:jc w:val="center"/>
                  </w:pPr>
                  <w:r>
                    <w:rPr>
                      <w:rFonts w:ascii="仿宋_GB2312" w:hAnsi="仿宋_GB2312" w:eastAsia="仿宋_GB2312" w:cs="仿宋_GB2312"/>
                      <w:sz w:val="21"/>
                    </w:rPr>
                    <w:t>无量纲</w:t>
                  </w:r>
                </w:p>
              </w:tc>
            </w:tr>
            <w:tr w14:paraId="0A199D8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09" w:type="dxa"/>
                  <w:tcBorders>
                    <w:top w:val="nil"/>
                    <w:left w:val="single" w:color="000000" w:sz="8" w:space="0"/>
                    <w:bottom w:val="single" w:color="000000" w:sz="4" w:space="0"/>
                    <w:right w:val="single" w:color="000000" w:sz="4" w:space="0"/>
                  </w:tcBorders>
                  <w:tcMar>
                    <w:top w:w="0" w:type="dxa"/>
                    <w:left w:w="0" w:type="dxa"/>
                    <w:bottom w:w="0" w:type="dxa"/>
                    <w:right w:w="0" w:type="dxa"/>
                  </w:tcMar>
                  <w:vAlign w:val="top"/>
                </w:tcPr>
                <w:p w14:paraId="2A85836B">
                  <w:pPr>
                    <w:pStyle w:val="16"/>
                    <w:jc w:val="center"/>
                  </w:pPr>
                  <w:r>
                    <w:rPr>
                      <w:rFonts w:ascii="仿宋_GB2312" w:hAnsi="仿宋_GB2312" w:eastAsia="仿宋_GB2312" w:cs="仿宋_GB2312"/>
                      <w:sz w:val="21"/>
                    </w:rPr>
                    <w:t>氨氮</w:t>
                  </w:r>
                </w:p>
              </w:tc>
              <w:tc>
                <w:tcPr>
                  <w:tcW w:w="1085" w:type="dxa"/>
                  <w:tcBorders>
                    <w:top w:val="nil"/>
                    <w:left w:val="nil"/>
                    <w:bottom w:val="single" w:color="000000" w:sz="4" w:space="0"/>
                    <w:right w:val="single" w:color="000000" w:sz="4" w:space="0"/>
                  </w:tcBorders>
                  <w:tcMar>
                    <w:top w:w="0" w:type="dxa"/>
                    <w:left w:w="0" w:type="dxa"/>
                    <w:bottom w:w="0" w:type="dxa"/>
                    <w:right w:w="0" w:type="dxa"/>
                  </w:tcMar>
                  <w:vAlign w:val="top"/>
                </w:tcPr>
                <w:p w14:paraId="68E8ECA1">
                  <w:pPr>
                    <w:pStyle w:val="16"/>
                    <w:jc w:val="center"/>
                  </w:pPr>
                  <w:r>
                    <w:rPr>
                      <w:rFonts w:ascii="仿宋_GB2312" w:hAnsi="仿宋_GB2312" w:eastAsia="仿宋_GB2312" w:cs="仿宋_GB2312"/>
                      <w:sz w:val="21"/>
                    </w:rPr>
                    <w:t>≤10</w:t>
                  </w:r>
                </w:p>
              </w:tc>
              <w:tc>
                <w:tcPr>
                  <w:tcW w:w="982" w:type="dxa"/>
                  <w:tcBorders>
                    <w:top w:val="nil"/>
                    <w:left w:val="nil"/>
                    <w:bottom w:val="single" w:color="000000" w:sz="4" w:space="0"/>
                    <w:right w:val="single" w:color="000000" w:sz="8" w:space="0"/>
                  </w:tcBorders>
                  <w:tcMar>
                    <w:top w:w="0" w:type="dxa"/>
                    <w:left w:w="0" w:type="dxa"/>
                    <w:bottom w:w="0" w:type="dxa"/>
                    <w:right w:w="0" w:type="dxa"/>
                  </w:tcMar>
                  <w:vAlign w:val="top"/>
                </w:tcPr>
                <w:p w14:paraId="5E66132C">
                  <w:pPr>
                    <w:pStyle w:val="16"/>
                    <w:jc w:val="center"/>
                  </w:pPr>
                  <w:r>
                    <w:rPr>
                      <w:rFonts w:ascii="仿宋_GB2312" w:hAnsi="仿宋_GB2312" w:eastAsia="仿宋_GB2312" w:cs="仿宋_GB2312"/>
                      <w:sz w:val="21"/>
                    </w:rPr>
                    <w:t>mg/L</w:t>
                  </w:r>
                </w:p>
              </w:tc>
            </w:tr>
            <w:tr w14:paraId="28A0553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09" w:type="dxa"/>
                  <w:tcBorders>
                    <w:top w:val="nil"/>
                    <w:left w:val="single" w:color="000000" w:sz="8" w:space="0"/>
                    <w:bottom w:val="single" w:color="000000" w:sz="4" w:space="0"/>
                    <w:right w:val="single" w:color="000000" w:sz="4" w:space="0"/>
                  </w:tcBorders>
                  <w:tcMar>
                    <w:top w:w="0" w:type="dxa"/>
                    <w:left w:w="0" w:type="dxa"/>
                    <w:bottom w:w="0" w:type="dxa"/>
                    <w:right w:w="0" w:type="dxa"/>
                  </w:tcMar>
                  <w:vAlign w:val="top"/>
                </w:tcPr>
                <w:p w14:paraId="507D8BF8">
                  <w:pPr>
                    <w:pStyle w:val="16"/>
                    <w:jc w:val="center"/>
                  </w:pPr>
                  <w:r>
                    <w:rPr>
                      <w:rFonts w:ascii="仿宋_GB2312" w:hAnsi="仿宋_GB2312" w:eastAsia="仿宋_GB2312" w:cs="仿宋_GB2312"/>
                      <w:sz w:val="21"/>
                    </w:rPr>
                    <w:t>浊度</w:t>
                  </w:r>
                </w:p>
              </w:tc>
              <w:tc>
                <w:tcPr>
                  <w:tcW w:w="1085" w:type="dxa"/>
                  <w:tcBorders>
                    <w:top w:val="nil"/>
                    <w:left w:val="nil"/>
                    <w:bottom w:val="single" w:color="000000" w:sz="4" w:space="0"/>
                    <w:right w:val="single" w:color="000000" w:sz="4" w:space="0"/>
                  </w:tcBorders>
                  <w:tcMar>
                    <w:top w:w="0" w:type="dxa"/>
                    <w:left w:w="0" w:type="dxa"/>
                    <w:bottom w:w="0" w:type="dxa"/>
                    <w:right w:w="0" w:type="dxa"/>
                  </w:tcMar>
                  <w:vAlign w:val="top"/>
                </w:tcPr>
                <w:p w14:paraId="2697757A">
                  <w:pPr>
                    <w:pStyle w:val="16"/>
                    <w:jc w:val="center"/>
                  </w:pPr>
                  <w:r>
                    <w:rPr>
                      <w:rFonts w:ascii="仿宋_GB2312" w:hAnsi="仿宋_GB2312" w:eastAsia="仿宋_GB2312" w:cs="仿宋_GB2312"/>
                      <w:sz w:val="21"/>
                    </w:rPr>
                    <w:t>≤10</w:t>
                  </w:r>
                </w:p>
              </w:tc>
              <w:tc>
                <w:tcPr>
                  <w:tcW w:w="982" w:type="dxa"/>
                  <w:tcBorders>
                    <w:top w:val="nil"/>
                    <w:left w:val="nil"/>
                    <w:bottom w:val="single" w:color="000000" w:sz="4" w:space="0"/>
                    <w:right w:val="single" w:color="000000" w:sz="8" w:space="0"/>
                  </w:tcBorders>
                  <w:tcMar>
                    <w:top w:w="0" w:type="dxa"/>
                    <w:left w:w="0" w:type="dxa"/>
                    <w:bottom w:w="0" w:type="dxa"/>
                    <w:right w:w="0" w:type="dxa"/>
                  </w:tcMar>
                  <w:vAlign w:val="top"/>
                </w:tcPr>
                <w:p w14:paraId="71452386">
                  <w:pPr>
                    <w:pStyle w:val="16"/>
                    <w:jc w:val="center"/>
                  </w:pPr>
                  <w:r>
                    <w:rPr>
                      <w:rFonts w:ascii="仿宋_GB2312" w:hAnsi="仿宋_GB2312" w:eastAsia="仿宋_GB2312" w:cs="仿宋_GB2312"/>
                      <w:sz w:val="21"/>
                    </w:rPr>
                    <w:t>NTU</w:t>
                  </w:r>
                </w:p>
              </w:tc>
            </w:tr>
            <w:tr w14:paraId="4CA4908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09" w:type="dxa"/>
                  <w:tcBorders>
                    <w:top w:val="nil"/>
                    <w:left w:val="single" w:color="000000" w:sz="8" w:space="0"/>
                    <w:bottom w:val="single" w:color="000000" w:sz="4" w:space="0"/>
                    <w:right w:val="single" w:color="000000" w:sz="4" w:space="0"/>
                  </w:tcBorders>
                  <w:tcMar>
                    <w:top w:w="0" w:type="dxa"/>
                    <w:left w:w="0" w:type="dxa"/>
                    <w:bottom w:w="0" w:type="dxa"/>
                    <w:right w:w="0" w:type="dxa"/>
                  </w:tcMar>
                  <w:vAlign w:val="top"/>
                </w:tcPr>
                <w:p w14:paraId="694EB3BA">
                  <w:pPr>
                    <w:pStyle w:val="16"/>
                    <w:jc w:val="center"/>
                  </w:pPr>
                  <w:r>
                    <w:rPr>
                      <w:rFonts w:ascii="仿宋_GB2312" w:hAnsi="仿宋_GB2312" w:eastAsia="仿宋_GB2312" w:cs="仿宋_GB2312"/>
                      <w:sz w:val="21"/>
                    </w:rPr>
                    <w:t>溶解性总固体</w:t>
                  </w:r>
                </w:p>
              </w:tc>
              <w:tc>
                <w:tcPr>
                  <w:tcW w:w="1085" w:type="dxa"/>
                  <w:tcBorders>
                    <w:top w:val="nil"/>
                    <w:left w:val="nil"/>
                    <w:bottom w:val="single" w:color="000000" w:sz="4" w:space="0"/>
                    <w:right w:val="single" w:color="000000" w:sz="4" w:space="0"/>
                  </w:tcBorders>
                  <w:tcMar>
                    <w:top w:w="0" w:type="dxa"/>
                    <w:left w:w="0" w:type="dxa"/>
                    <w:bottom w:w="0" w:type="dxa"/>
                    <w:right w:w="0" w:type="dxa"/>
                  </w:tcMar>
                  <w:vAlign w:val="top"/>
                </w:tcPr>
                <w:p w14:paraId="3365F4FA">
                  <w:pPr>
                    <w:pStyle w:val="16"/>
                    <w:jc w:val="center"/>
                  </w:pPr>
                  <w:r>
                    <w:rPr>
                      <w:rFonts w:ascii="仿宋_GB2312" w:hAnsi="仿宋_GB2312" w:eastAsia="仿宋_GB2312" w:cs="仿宋_GB2312"/>
                      <w:sz w:val="21"/>
                    </w:rPr>
                    <w:t>≤1000</w:t>
                  </w:r>
                </w:p>
              </w:tc>
              <w:tc>
                <w:tcPr>
                  <w:tcW w:w="982" w:type="dxa"/>
                  <w:tcBorders>
                    <w:top w:val="nil"/>
                    <w:left w:val="nil"/>
                    <w:bottom w:val="single" w:color="000000" w:sz="4" w:space="0"/>
                    <w:right w:val="single" w:color="000000" w:sz="8" w:space="0"/>
                  </w:tcBorders>
                  <w:tcMar>
                    <w:top w:w="0" w:type="dxa"/>
                    <w:left w:w="0" w:type="dxa"/>
                    <w:bottom w:w="0" w:type="dxa"/>
                    <w:right w:w="0" w:type="dxa"/>
                  </w:tcMar>
                  <w:vAlign w:val="top"/>
                </w:tcPr>
                <w:p w14:paraId="0A3F2EFA">
                  <w:pPr>
                    <w:pStyle w:val="16"/>
                    <w:jc w:val="center"/>
                  </w:pPr>
                  <w:r>
                    <w:rPr>
                      <w:rFonts w:ascii="仿宋_GB2312" w:hAnsi="仿宋_GB2312" w:eastAsia="仿宋_GB2312" w:cs="仿宋_GB2312"/>
                      <w:sz w:val="21"/>
                    </w:rPr>
                    <w:t>mg/L</w:t>
                  </w:r>
                </w:p>
              </w:tc>
            </w:tr>
            <w:tr w14:paraId="179F6DD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09" w:type="dxa"/>
                  <w:tcBorders>
                    <w:top w:val="nil"/>
                    <w:left w:val="single" w:color="000000" w:sz="8" w:space="0"/>
                    <w:bottom w:val="single" w:color="000000" w:sz="4" w:space="0"/>
                    <w:right w:val="single" w:color="000000" w:sz="4" w:space="0"/>
                  </w:tcBorders>
                  <w:tcMar>
                    <w:top w:w="0" w:type="dxa"/>
                    <w:left w:w="0" w:type="dxa"/>
                    <w:bottom w:w="0" w:type="dxa"/>
                    <w:right w:w="0" w:type="dxa"/>
                  </w:tcMar>
                  <w:vAlign w:val="top"/>
                </w:tcPr>
                <w:p w14:paraId="743C6267">
                  <w:pPr>
                    <w:pStyle w:val="16"/>
                    <w:jc w:val="center"/>
                  </w:pPr>
                  <w:r>
                    <w:rPr>
                      <w:rFonts w:ascii="仿宋_GB2312" w:hAnsi="仿宋_GB2312" w:eastAsia="仿宋_GB2312" w:cs="仿宋_GB2312"/>
                      <w:sz w:val="21"/>
                    </w:rPr>
                    <w:t>总大肠菌群</w:t>
                  </w:r>
                </w:p>
              </w:tc>
              <w:tc>
                <w:tcPr>
                  <w:tcW w:w="1085" w:type="dxa"/>
                  <w:tcBorders>
                    <w:top w:val="nil"/>
                    <w:left w:val="nil"/>
                    <w:bottom w:val="single" w:color="000000" w:sz="4" w:space="0"/>
                    <w:right w:val="single" w:color="000000" w:sz="4" w:space="0"/>
                  </w:tcBorders>
                  <w:tcMar>
                    <w:top w:w="0" w:type="dxa"/>
                    <w:left w:w="0" w:type="dxa"/>
                    <w:bottom w:w="0" w:type="dxa"/>
                    <w:right w:w="0" w:type="dxa"/>
                  </w:tcMar>
                  <w:vAlign w:val="top"/>
                </w:tcPr>
                <w:p w14:paraId="03F149CC">
                  <w:pPr>
                    <w:pStyle w:val="16"/>
                    <w:jc w:val="center"/>
                  </w:pPr>
                  <w:r>
                    <w:rPr>
                      <w:rFonts w:ascii="仿宋_GB2312" w:hAnsi="仿宋_GB2312" w:eastAsia="仿宋_GB2312" w:cs="仿宋_GB2312"/>
                      <w:sz w:val="21"/>
                    </w:rPr>
                    <w:t>≤3</w:t>
                  </w:r>
                </w:p>
              </w:tc>
              <w:tc>
                <w:tcPr>
                  <w:tcW w:w="982" w:type="dxa"/>
                  <w:tcBorders>
                    <w:top w:val="nil"/>
                    <w:left w:val="nil"/>
                    <w:bottom w:val="single" w:color="000000" w:sz="4" w:space="0"/>
                    <w:right w:val="single" w:color="000000" w:sz="8" w:space="0"/>
                  </w:tcBorders>
                  <w:tcMar>
                    <w:top w:w="0" w:type="dxa"/>
                    <w:left w:w="0" w:type="dxa"/>
                    <w:bottom w:w="0" w:type="dxa"/>
                    <w:right w:w="0" w:type="dxa"/>
                  </w:tcMar>
                  <w:vAlign w:val="top"/>
                </w:tcPr>
                <w:p w14:paraId="73BDAC1B">
                  <w:pPr>
                    <w:pStyle w:val="16"/>
                    <w:jc w:val="center"/>
                  </w:pPr>
                  <w:r>
                    <w:rPr>
                      <w:rFonts w:ascii="仿宋_GB2312" w:hAnsi="仿宋_GB2312" w:eastAsia="仿宋_GB2312" w:cs="仿宋_GB2312"/>
                      <w:sz w:val="21"/>
                    </w:rPr>
                    <w:t>个/L</w:t>
                  </w:r>
                </w:p>
              </w:tc>
            </w:tr>
            <w:tr w14:paraId="4E52099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09" w:type="dxa"/>
                  <w:tcBorders>
                    <w:top w:val="nil"/>
                    <w:left w:val="single" w:color="000000" w:sz="8" w:space="0"/>
                    <w:bottom w:val="single" w:color="000000" w:sz="4" w:space="0"/>
                    <w:right w:val="single" w:color="000000" w:sz="4" w:space="0"/>
                  </w:tcBorders>
                  <w:tcMar>
                    <w:top w:w="0" w:type="dxa"/>
                    <w:left w:w="0" w:type="dxa"/>
                    <w:bottom w:w="0" w:type="dxa"/>
                    <w:right w:w="0" w:type="dxa"/>
                  </w:tcMar>
                  <w:vAlign w:val="top"/>
                </w:tcPr>
                <w:p w14:paraId="5D7AFB70">
                  <w:pPr>
                    <w:pStyle w:val="16"/>
                    <w:jc w:val="center"/>
                  </w:pPr>
                  <w:r>
                    <w:rPr>
                      <w:rFonts w:ascii="仿宋_GB2312" w:hAnsi="仿宋_GB2312" w:eastAsia="仿宋_GB2312" w:cs="仿宋_GB2312"/>
                      <w:sz w:val="21"/>
                    </w:rPr>
                    <w:t>阴离子表面活性剂</w:t>
                  </w:r>
                </w:p>
              </w:tc>
              <w:tc>
                <w:tcPr>
                  <w:tcW w:w="1085" w:type="dxa"/>
                  <w:tcBorders>
                    <w:top w:val="nil"/>
                    <w:left w:val="nil"/>
                    <w:bottom w:val="single" w:color="000000" w:sz="4" w:space="0"/>
                    <w:right w:val="single" w:color="000000" w:sz="4" w:space="0"/>
                  </w:tcBorders>
                  <w:tcMar>
                    <w:top w:w="0" w:type="dxa"/>
                    <w:left w:w="0" w:type="dxa"/>
                    <w:bottom w:w="0" w:type="dxa"/>
                    <w:right w:w="0" w:type="dxa"/>
                  </w:tcMar>
                  <w:vAlign w:val="top"/>
                </w:tcPr>
                <w:p w14:paraId="01076628">
                  <w:pPr>
                    <w:pStyle w:val="16"/>
                    <w:jc w:val="center"/>
                  </w:pPr>
                  <w:r>
                    <w:rPr>
                      <w:rFonts w:ascii="仿宋_GB2312" w:hAnsi="仿宋_GB2312" w:eastAsia="仿宋_GB2312" w:cs="仿宋_GB2312"/>
                      <w:sz w:val="21"/>
                    </w:rPr>
                    <w:t>1.0</w:t>
                  </w:r>
                </w:p>
              </w:tc>
              <w:tc>
                <w:tcPr>
                  <w:tcW w:w="982" w:type="dxa"/>
                  <w:tcBorders>
                    <w:top w:val="nil"/>
                    <w:left w:val="nil"/>
                    <w:bottom w:val="single" w:color="000000" w:sz="4" w:space="0"/>
                    <w:right w:val="single" w:color="000000" w:sz="8" w:space="0"/>
                  </w:tcBorders>
                  <w:tcMar>
                    <w:top w:w="0" w:type="dxa"/>
                    <w:left w:w="0" w:type="dxa"/>
                    <w:bottom w:w="0" w:type="dxa"/>
                    <w:right w:w="0" w:type="dxa"/>
                  </w:tcMar>
                  <w:vAlign w:val="top"/>
                </w:tcPr>
                <w:p w14:paraId="3CA8078F">
                  <w:pPr>
                    <w:pStyle w:val="16"/>
                    <w:jc w:val="center"/>
                  </w:pPr>
                  <w:r>
                    <w:rPr>
                      <w:rFonts w:ascii="仿宋_GB2312" w:hAnsi="仿宋_GB2312" w:eastAsia="仿宋_GB2312" w:cs="仿宋_GB2312"/>
                      <w:sz w:val="21"/>
                    </w:rPr>
                    <w:t>mg/L</w:t>
                  </w:r>
                </w:p>
              </w:tc>
            </w:tr>
            <w:tr w14:paraId="5A5EDA9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09" w:type="dxa"/>
                  <w:tcBorders>
                    <w:top w:val="nil"/>
                    <w:left w:val="single" w:color="000000" w:sz="8" w:space="0"/>
                    <w:bottom w:val="single" w:color="000000" w:sz="4" w:space="0"/>
                    <w:right w:val="single" w:color="000000" w:sz="4" w:space="0"/>
                  </w:tcBorders>
                  <w:tcMar>
                    <w:top w:w="0" w:type="dxa"/>
                    <w:left w:w="0" w:type="dxa"/>
                    <w:bottom w:w="0" w:type="dxa"/>
                    <w:right w:w="0" w:type="dxa"/>
                  </w:tcMar>
                  <w:vAlign w:val="top"/>
                </w:tcPr>
                <w:p w14:paraId="087921E5">
                  <w:pPr>
                    <w:pStyle w:val="16"/>
                    <w:jc w:val="center"/>
                  </w:pPr>
                  <w:r>
                    <w:rPr>
                      <w:rFonts w:ascii="仿宋_GB2312" w:hAnsi="仿宋_GB2312" w:eastAsia="仿宋_GB2312" w:cs="仿宋_GB2312"/>
                      <w:sz w:val="21"/>
                    </w:rPr>
                    <w:t>溶解氧</w:t>
                  </w:r>
                </w:p>
              </w:tc>
              <w:tc>
                <w:tcPr>
                  <w:tcW w:w="1085" w:type="dxa"/>
                  <w:tcBorders>
                    <w:top w:val="nil"/>
                    <w:left w:val="nil"/>
                    <w:bottom w:val="single" w:color="000000" w:sz="4" w:space="0"/>
                    <w:right w:val="single" w:color="000000" w:sz="4" w:space="0"/>
                  </w:tcBorders>
                  <w:tcMar>
                    <w:top w:w="0" w:type="dxa"/>
                    <w:left w:w="0" w:type="dxa"/>
                    <w:bottom w:w="0" w:type="dxa"/>
                    <w:right w:w="0" w:type="dxa"/>
                  </w:tcMar>
                  <w:vAlign w:val="top"/>
                </w:tcPr>
                <w:p w14:paraId="73EB6058">
                  <w:pPr>
                    <w:pStyle w:val="16"/>
                    <w:jc w:val="center"/>
                  </w:pPr>
                  <w:r>
                    <w:rPr>
                      <w:rFonts w:ascii="仿宋_GB2312" w:hAnsi="仿宋_GB2312" w:eastAsia="仿宋_GB2312" w:cs="仿宋_GB2312"/>
                      <w:sz w:val="21"/>
                    </w:rPr>
                    <w:t>≥1.0</w:t>
                  </w:r>
                </w:p>
              </w:tc>
              <w:tc>
                <w:tcPr>
                  <w:tcW w:w="982" w:type="dxa"/>
                  <w:tcBorders>
                    <w:top w:val="nil"/>
                    <w:left w:val="nil"/>
                    <w:bottom w:val="single" w:color="000000" w:sz="4" w:space="0"/>
                    <w:right w:val="single" w:color="000000" w:sz="8" w:space="0"/>
                  </w:tcBorders>
                  <w:tcMar>
                    <w:top w:w="0" w:type="dxa"/>
                    <w:left w:w="0" w:type="dxa"/>
                    <w:bottom w:w="0" w:type="dxa"/>
                    <w:right w:w="0" w:type="dxa"/>
                  </w:tcMar>
                  <w:vAlign w:val="top"/>
                </w:tcPr>
                <w:p w14:paraId="0F11C0FF">
                  <w:pPr>
                    <w:pStyle w:val="16"/>
                    <w:jc w:val="center"/>
                  </w:pPr>
                  <w:r>
                    <w:rPr>
                      <w:rFonts w:ascii="仿宋_GB2312" w:hAnsi="仿宋_GB2312" w:eastAsia="仿宋_GB2312" w:cs="仿宋_GB2312"/>
                      <w:sz w:val="21"/>
                    </w:rPr>
                    <w:t>mg/L</w:t>
                  </w:r>
                </w:p>
              </w:tc>
            </w:tr>
            <w:tr w14:paraId="4B9F5ED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09" w:type="dxa"/>
                  <w:tcBorders>
                    <w:top w:val="nil"/>
                    <w:left w:val="single" w:color="000000" w:sz="8" w:space="0"/>
                    <w:bottom w:val="single" w:color="000000" w:sz="8" w:space="0"/>
                    <w:right w:val="single" w:color="000000" w:sz="4" w:space="0"/>
                  </w:tcBorders>
                  <w:tcMar>
                    <w:top w:w="0" w:type="dxa"/>
                    <w:left w:w="0" w:type="dxa"/>
                    <w:bottom w:w="0" w:type="dxa"/>
                    <w:right w:w="0" w:type="dxa"/>
                  </w:tcMar>
                  <w:vAlign w:val="top"/>
                </w:tcPr>
                <w:p w14:paraId="668B4795">
                  <w:pPr>
                    <w:pStyle w:val="16"/>
                    <w:jc w:val="center"/>
                  </w:pPr>
                  <w:r>
                    <w:rPr>
                      <w:rFonts w:ascii="仿宋_GB2312" w:hAnsi="仿宋_GB2312" w:eastAsia="仿宋_GB2312" w:cs="仿宋_GB2312"/>
                      <w:sz w:val="21"/>
                    </w:rPr>
                    <w:t>总余氯</w:t>
                  </w:r>
                </w:p>
              </w:tc>
              <w:tc>
                <w:tcPr>
                  <w:tcW w:w="1085" w:type="dxa"/>
                  <w:tcBorders>
                    <w:top w:val="nil"/>
                    <w:left w:val="nil"/>
                    <w:bottom w:val="single" w:color="000000" w:sz="8" w:space="0"/>
                    <w:right w:val="single" w:color="000000" w:sz="4" w:space="0"/>
                  </w:tcBorders>
                  <w:tcMar>
                    <w:top w:w="0" w:type="dxa"/>
                    <w:left w:w="0" w:type="dxa"/>
                    <w:bottom w:w="0" w:type="dxa"/>
                    <w:right w:w="0" w:type="dxa"/>
                  </w:tcMar>
                  <w:vAlign w:val="top"/>
                </w:tcPr>
                <w:p w14:paraId="473DE504">
                  <w:pPr>
                    <w:pStyle w:val="16"/>
                    <w:jc w:val="center"/>
                  </w:pPr>
                  <w:r>
                    <w:rPr>
                      <w:rFonts w:ascii="仿宋_GB2312" w:hAnsi="仿宋_GB2312" w:eastAsia="仿宋_GB2312" w:cs="仿宋_GB2312"/>
                      <w:sz w:val="21"/>
                    </w:rPr>
                    <w:t>接触 30min 后≥1.0，管网末端≥0.2</w:t>
                  </w:r>
                </w:p>
              </w:tc>
              <w:tc>
                <w:tcPr>
                  <w:tcW w:w="982" w:type="dxa"/>
                  <w:tcBorders>
                    <w:top w:val="nil"/>
                    <w:left w:val="nil"/>
                    <w:bottom w:val="single" w:color="000000" w:sz="8" w:space="0"/>
                    <w:right w:val="single" w:color="000000" w:sz="8" w:space="0"/>
                  </w:tcBorders>
                  <w:tcMar>
                    <w:top w:w="0" w:type="dxa"/>
                    <w:left w:w="0" w:type="dxa"/>
                    <w:bottom w:w="0" w:type="dxa"/>
                    <w:right w:w="0" w:type="dxa"/>
                  </w:tcMar>
                  <w:vAlign w:val="top"/>
                </w:tcPr>
                <w:p w14:paraId="1AD0FCB6">
                  <w:pPr>
                    <w:pStyle w:val="16"/>
                    <w:jc w:val="center"/>
                  </w:pPr>
                  <w:r>
                    <w:rPr>
                      <w:rFonts w:ascii="仿宋_GB2312" w:hAnsi="仿宋_GB2312" w:eastAsia="仿宋_GB2312" w:cs="仿宋_GB2312"/>
                      <w:sz w:val="21"/>
                    </w:rPr>
                    <w:t>mg/L</w:t>
                  </w:r>
                </w:p>
              </w:tc>
            </w:tr>
          </w:tbl>
          <w:p w14:paraId="6370ED4B"/>
        </w:tc>
      </w:tr>
    </w:tbl>
    <w:p w14:paraId="628C453A"/>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5D462AD"/>
    <w:multiLevelType w:val="multilevel"/>
    <w:tmpl w:val="55D462AD"/>
    <w:lvl w:ilvl="0" w:tentative="0">
      <w:start w:val="1"/>
      <w:numFmt w:val="decimal"/>
      <w:pStyle w:val="2"/>
      <w:lvlText w:val="%1."/>
      <w:lvlJc w:val="left"/>
      <w:pPr>
        <w:tabs>
          <w:tab w:val="left" w:pos="425"/>
        </w:tabs>
        <w:ind w:left="425" w:hanging="425"/>
      </w:pPr>
      <w:rPr>
        <w:rFonts w:hint="eastAsia" w:eastAsia="宋体"/>
        <w:b/>
        <w:i w:val="0"/>
        <w:sz w:val="24"/>
        <w:szCs w:val="24"/>
      </w:rPr>
    </w:lvl>
    <w:lvl w:ilvl="1" w:tentative="0">
      <w:start w:val="1"/>
      <w:numFmt w:val="decimal"/>
      <w:lvlText w:val="%1.%2."/>
      <w:lvlJc w:val="left"/>
      <w:pPr>
        <w:tabs>
          <w:tab w:val="left" w:pos="567"/>
        </w:tabs>
        <w:ind w:left="567" w:hanging="567"/>
      </w:pPr>
      <w:rPr>
        <w:rFonts w:hint="eastAsia" w:ascii="宋体" w:hAnsi="宋体" w:eastAsia="宋体"/>
        <w:b/>
        <w:i w:val="0"/>
        <w:color w:val="auto"/>
        <w:sz w:val="24"/>
        <w:szCs w:val="24"/>
        <w:u w:val="none"/>
      </w:rPr>
    </w:lvl>
    <w:lvl w:ilvl="2" w:tentative="0">
      <w:start w:val="1"/>
      <w:numFmt w:val="decimal"/>
      <w:lvlText w:val="%1.%2.%3."/>
      <w:lvlJc w:val="left"/>
      <w:pPr>
        <w:tabs>
          <w:tab w:val="left" w:pos="709"/>
        </w:tabs>
        <w:ind w:left="709" w:hanging="709"/>
      </w:pPr>
      <w:rPr>
        <w:rFonts w:hint="eastAsia" w:ascii="宋体" w:hAnsi="宋体" w:eastAsia="宋体"/>
        <w:caps w:val="0"/>
        <w:strike w:val="0"/>
        <w:dstrike w:val="0"/>
        <w:shadow w:val="0"/>
        <w:emboss w:val="0"/>
        <w:imprint w:val="0"/>
        <w:vanish w:val="0"/>
        <w:vertAlign w:val="baseline"/>
      </w:rPr>
    </w:lvl>
    <w:lvl w:ilvl="3" w:tentative="0">
      <w:start w:val="1"/>
      <w:numFmt w:val="decimal"/>
      <w:lvlText w:val="%1.%2.%3.%4."/>
      <w:lvlJc w:val="left"/>
      <w:pPr>
        <w:tabs>
          <w:tab w:val="left" w:pos="851"/>
        </w:tabs>
        <w:ind w:left="851" w:hanging="851"/>
      </w:pPr>
      <w:rPr>
        <w:rFonts w:hint="eastAsia" w:ascii="宋体" w:hAnsi="宋体" w:eastAsia="宋体"/>
        <w:b/>
        <w:sz w:val="24"/>
        <w:szCs w:val="24"/>
      </w:rPr>
    </w:lvl>
    <w:lvl w:ilvl="4" w:tentative="0">
      <w:start w:val="1"/>
      <w:numFmt w:val="decimal"/>
      <w:pStyle w:val="5"/>
      <w:lvlText w:val="%1.%2.%3.%4.%5."/>
      <w:lvlJc w:val="left"/>
      <w:pPr>
        <w:tabs>
          <w:tab w:val="left" w:pos="992"/>
        </w:tabs>
        <w:ind w:left="992" w:hanging="992"/>
      </w:pPr>
      <w:rPr>
        <w:rFonts w:hint="eastAsia"/>
        <w:b/>
        <w:i w:val="0"/>
        <w:sz w:val="24"/>
        <w:szCs w:val="24"/>
      </w:rPr>
    </w:lvl>
    <w:lvl w:ilvl="5" w:tentative="0">
      <w:start w:val="1"/>
      <w:numFmt w:val="decimal"/>
      <w:pStyle w:val="6"/>
      <w:lvlText w:val="%1.%2.%3.%4.%5.%6."/>
      <w:lvlJc w:val="left"/>
      <w:pPr>
        <w:tabs>
          <w:tab w:val="left" w:pos="1134"/>
        </w:tabs>
        <w:ind w:left="1134" w:hanging="1134"/>
      </w:pPr>
      <w:rPr>
        <w:rFonts w:hint="eastAsia" w:ascii="宋体" w:hAnsi="宋体" w:eastAsia="宋体"/>
      </w:rPr>
    </w:lvl>
    <w:lvl w:ilvl="6" w:tentative="0">
      <w:start w:val="1"/>
      <w:numFmt w:val="decimal"/>
      <w:pStyle w:val="7"/>
      <w:lvlText w:val="%1.%2.%3.%4.%5.%6.%7."/>
      <w:lvlJc w:val="left"/>
      <w:pPr>
        <w:tabs>
          <w:tab w:val="left" w:pos="1276"/>
        </w:tabs>
        <w:ind w:left="1276" w:hanging="1276"/>
      </w:pPr>
      <w:rPr>
        <w:rFonts w:hint="eastAsia" w:ascii="宋体" w:hAnsi="宋体" w:eastAsia="宋体"/>
      </w:rPr>
    </w:lvl>
    <w:lvl w:ilvl="7" w:tentative="0">
      <w:start w:val="1"/>
      <w:numFmt w:val="decimal"/>
      <w:pStyle w:val="8"/>
      <w:lvlText w:val="%1.%2.%3.%4.%5.%6.%7.%8."/>
      <w:lvlJc w:val="left"/>
      <w:pPr>
        <w:tabs>
          <w:tab w:val="left" w:pos="1418"/>
        </w:tabs>
        <w:ind w:left="1418" w:hanging="1418"/>
      </w:pPr>
      <w:rPr>
        <w:rFonts w:hint="eastAsia"/>
      </w:rPr>
    </w:lvl>
    <w:lvl w:ilvl="8" w:tentative="0">
      <w:start w:val="1"/>
      <w:numFmt w:val="decimal"/>
      <w:pStyle w:val="9"/>
      <w:lvlText w:val="%1.%2.%3.%4.%5.%6.%7.%8.%9."/>
      <w:lvlJc w:val="left"/>
      <w:pPr>
        <w:tabs>
          <w:tab w:val="left" w:pos="1559"/>
        </w:tabs>
        <w:ind w:left="1559" w:hanging="1559"/>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E091442"/>
    <w:rsid w:val="377208D5"/>
    <w:rsid w:val="47A00955"/>
    <w:rsid w:val="5EDA2A20"/>
    <w:rsid w:val="60CF045C"/>
    <w:rsid w:val="65BE7AAE"/>
    <w:rsid w:val="67C14DF2"/>
    <w:rsid w:val="7CDE0A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numPr>
        <w:ilvl w:val="0"/>
        <w:numId w:val="1"/>
      </w:numPr>
      <w:spacing w:before="340" w:beforeLines="0" w:beforeAutospacing="0" w:after="330" w:afterLines="0" w:afterAutospacing="0" w:line="576" w:lineRule="auto"/>
      <w:ind w:left="425" w:hanging="425"/>
      <w:outlineLvl w:val="0"/>
    </w:pPr>
    <w:rPr>
      <w:b/>
      <w:kern w:val="44"/>
      <w:sz w:val="44"/>
    </w:rPr>
  </w:style>
  <w:style w:type="paragraph" w:styleId="3">
    <w:name w:val="heading 2"/>
    <w:basedOn w:val="1"/>
    <w:next w:val="1"/>
    <w:link w:val="14"/>
    <w:semiHidden/>
    <w:unhideWhenUsed/>
    <w:qFormat/>
    <w:uiPriority w:val="0"/>
    <w:pPr>
      <w:keepNext/>
      <w:keepLines/>
      <w:spacing w:before="260" w:after="260" w:line="360" w:lineRule="auto"/>
      <w:outlineLvl w:val="1"/>
    </w:pPr>
    <w:rPr>
      <w:rFonts w:ascii="宋体" w:hAnsi="宋体" w:eastAsia="宋体"/>
      <w:b/>
      <w:bCs/>
      <w:sz w:val="24"/>
      <w:szCs w:val="18"/>
    </w:rPr>
  </w:style>
  <w:style w:type="paragraph" w:styleId="4">
    <w:name w:val="heading 3"/>
    <w:basedOn w:val="1"/>
    <w:next w:val="1"/>
    <w:link w:val="15"/>
    <w:semiHidden/>
    <w:unhideWhenUsed/>
    <w:qFormat/>
    <w:uiPriority w:val="0"/>
    <w:pPr>
      <w:keepNext/>
      <w:keepLines/>
      <w:spacing w:before="260" w:after="260" w:line="360" w:lineRule="auto"/>
      <w:ind w:left="0" w:firstLine="0"/>
      <w:outlineLvl w:val="2"/>
    </w:pPr>
    <w:rPr>
      <w:rFonts w:ascii="Times New Roman" w:hAnsi="Times New Roman" w:eastAsia="宋体"/>
      <w:b/>
      <w:bCs/>
      <w:sz w:val="24"/>
      <w:szCs w:val="32"/>
    </w:rPr>
  </w:style>
  <w:style w:type="paragraph" w:styleId="5">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992" w:hanging="992"/>
      <w:outlineLvl w:val="4"/>
    </w:pPr>
    <w:rPr>
      <w:b/>
      <w:sz w:val="28"/>
    </w:rPr>
  </w:style>
  <w:style w:type="paragraph" w:styleId="6">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34" w:hanging="1134"/>
      <w:outlineLvl w:val="5"/>
    </w:pPr>
    <w:rPr>
      <w:rFonts w:ascii="Arial" w:hAnsi="Arial" w:eastAsia="黑体"/>
      <w:b/>
      <w:sz w:val="24"/>
    </w:rPr>
  </w:style>
  <w:style w:type="paragraph" w:styleId="7">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76" w:hanging="1276"/>
      <w:outlineLvl w:val="6"/>
    </w:pPr>
    <w:rPr>
      <w:b/>
      <w:sz w:val="24"/>
    </w:rPr>
  </w:style>
  <w:style w:type="paragraph" w:styleId="8">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18" w:hanging="1418"/>
      <w:outlineLvl w:val="7"/>
    </w:pPr>
    <w:rPr>
      <w:rFonts w:ascii="Arial" w:hAnsi="Arial" w:eastAsia="黑体"/>
      <w:sz w:val="24"/>
    </w:rPr>
  </w:style>
  <w:style w:type="paragraph" w:styleId="9">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59" w:hanging="1559"/>
      <w:outlineLvl w:val="8"/>
    </w:pPr>
    <w:rPr>
      <w:rFonts w:ascii="Arial" w:hAnsi="Arial" w:eastAsia="黑体"/>
      <w:sz w:val="21"/>
    </w:rPr>
  </w:style>
  <w:style w:type="character" w:default="1" w:styleId="13">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10">
    <w:name w:val="Body Text"/>
    <w:basedOn w:val="1"/>
    <w:qFormat/>
    <w:uiPriority w:val="0"/>
    <w:pPr>
      <w:spacing w:after="120" w:afterLines="0" w:afterAutospacing="0"/>
    </w:pPr>
  </w:style>
  <w:style w:type="paragraph" w:styleId="11">
    <w:name w:val="Body Text First Indent"/>
    <w:basedOn w:val="10"/>
    <w:qFormat/>
    <w:uiPriority w:val="0"/>
    <w:pPr>
      <w:ind w:firstLine="0" w:firstLineChars="0"/>
    </w:pPr>
    <w:rPr>
      <w:rFonts w:ascii="仿宋_GB2312" w:hAnsi="仿宋_GB2312" w:eastAsia="宋体" w:cs="仿宋_GB2312"/>
      <w:sz w:val="24"/>
      <w:szCs w:val="32"/>
      <w:lang w:val="zh-CN"/>
    </w:rPr>
  </w:style>
  <w:style w:type="character" w:customStyle="1" w:styleId="14">
    <w:name w:val="标题 2 Char"/>
    <w:link w:val="3"/>
    <w:qFormat/>
    <w:uiPriority w:val="0"/>
    <w:rPr>
      <w:rFonts w:ascii="宋体" w:hAnsi="宋体" w:eastAsia="宋体"/>
      <w:b/>
      <w:bCs/>
      <w:kern w:val="2"/>
      <w:sz w:val="24"/>
      <w:szCs w:val="18"/>
    </w:rPr>
  </w:style>
  <w:style w:type="character" w:customStyle="1" w:styleId="15">
    <w:name w:val="标题 3 Char"/>
    <w:link w:val="4"/>
    <w:qFormat/>
    <w:uiPriority w:val="0"/>
    <w:rPr>
      <w:rFonts w:ascii="Times New Roman" w:hAnsi="Times New Roman" w:eastAsia="宋体"/>
      <w:b/>
      <w:bCs/>
      <w:kern w:val="2"/>
      <w:sz w:val="24"/>
      <w:szCs w:val="32"/>
    </w:rPr>
  </w:style>
  <w:style w:type="paragraph" w:customStyle="1" w:styleId="16">
    <w:name w:val="null3"/>
    <w:hidden/>
    <w:qFormat/>
    <w:uiPriority w:val="0"/>
    <w:rPr>
      <w:rFonts w:hint="eastAsia" w:asciiTheme="minorHAnsi" w:hAnsiTheme="minorHAnsi" w:eastAsiaTheme="minorEastAsia" w:cstheme="minorBidi"/>
      <w:lang w:val="en-US" w:eastAsia="zh-Hans"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2212</Words>
  <Characters>2458</Characters>
  <Lines>0</Lines>
  <Paragraphs>0</Paragraphs>
  <TotalTime>0</TotalTime>
  <ScaleCrop>false</ScaleCrop>
  <LinksUpToDate>false</LinksUpToDate>
  <CharactersWithSpaces>2504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2022-09-07T05:52:00Z</dcterms:created>
  <dc:creator>Administrator</dc:creator>
  <cp:lastModifiedBy>起点</cp:lastModifiedBy>
  <dcterms:modified xsi:type="dcterms:W3CDTF">2026-07-14T08:56:44Z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466DA3339AB84D6DADD071CF891D7CBE</vt:lpwstr>
  </property>
  <property fmtid="{D5CDD505-2E9C-101B-9397-08002B2CF9AE}" pid="4" name="KSOTemplateDocerSaveRecord">
    <vt:lpwstr>eyJoZGlkIjoiNzQ2Y2ZmOTBkMTUyODBhYTJmYzM2MWM5NGIxYjkxMDYiLCJ1c2VySWQiOiI2Mjk5OTE3MzAifQ==</vt:lpwstr>
  </property>
</Properties>
</file>