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7F2666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jc w:val="center"/>
        <w:textAlignment w:val="auto"/>
        <w:outlineLvl w:val="1"/>
        <w:rPr>
          <w:rFonts w:hint="eastAsia" w:ascii="仿宋" w:hAnsi="仿宋" w:eastAsia="仿宋" w:cs="仿宋"/>
          <w:b/>
          <w:bCs/>
          <w:sz w:val="24"/>
          <w:szCs w:val="24"/>
          <w:lang w:val="en-US" w:eastAsia="zh-CN" w:bidi="ar-SA"/>
        </w:rPr>
      </w:pPr>
      <w:bookmarkStart w:id="0" w:name="_Toc242798657"/>
      <w:bookmarkStart w:id="1" w:name="_Toc249238471"/>
      <w:bookmarkStart w:id="2" w:name="_Toc822408862"/>
      <w:bookmarkStart w:id="3" w:name="_Toc541780325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第一节　项目基本情况</w:t>
      </w:r>
      <w:bookmarkEnd w:id="0"/>
      <w:bookmarkEnd w:id="1"/>
      <w:bookmarkEnd w:id="2"/>
      <w:bookmarkEnd w:id="3"/>
    </w:p>
    <w:p w14:paraId="0DF76A85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4" w:name="_Toc242798658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1.1 项目要素</w:t>
      </w:r>
      <w:bookmarkEnd w:id="4"/>
    </w:p>
    <w:tbl>
      <w:tblPr>
        <w:tblStyle w:val="5"/>
        <w:tblW w:w="9839" w:type="dxa"/>
        <w:tblInd w:w="0" w:type="dxa"/>
        <w:tblBorders>
          <w:top w:val="single" w:color="8EAADB" w:sz="4" w:space="0"/>
          <w:left w:val="single" w:color="8EAADB" w:sz="4" w:space="0"/>
          <w:bottom w:val="single" w:color="8EAADB" w:sz="4" w:space="0"/>
          <w:right w:val="single" w:color="8EAADB" w:sz="4" w:space="0"/>
          <w:insideH w:val="single" w:color="8EAADB" w:sz="4" w:space="0"/>
          <w:insideV w:val="single" w:color="8EAADB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2"/>
        <w:gridCol w:w="1453"/>
        <w:gridCol w:w="7284"/>
      </w:tblGrid>
      <w:tr w14:paraId="39975666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110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nil"/>
              <w:insideH w:val="single" w:sz="4" w:space="0"/>
              <w:insideV w:val="nil"/>
            </w:tcBorders>
            <w:shd w:val="clear" w:color="auto" w:fill="4472C4"/>
          </w:tcPr>
          <w:p w14:paraId="06D06B3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t>序号</w:t>
            </w:r>
          </w:p>
        </w:tc>
        <w:tc>
          <w:tcPr>
            <w:tcW w:w="1453" w:type="dxa"/>
            <w:tcBorders>
              <w:top w:val="single" w:color="4472C4" w:sz="4" w:space="0"/>
              <w:bottom w:val="single" w:color="4472C4" w:sz="4" w:space="0"/>
              <w:right w:val="nil"/>
              <w:insideH w:val="single" w:sz="4" w:space="0"/>
              <w:insideV w:val="nil"/>
            </w:tcBorders>
            <w:shd w:val="clear" w:color="auto" w:fill="4472C4"/>
          </w:tcPr>
          <w:p w14:paraId="04AAFD4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t>项目要素</w:t>
            </w:r>
          </w:p>
        </w:tc>
        <w:tc>
          <w:tcPr>
            <w:tcW w:w="7284" w:type="dxa"/>
            <w:tcBorders>
              <w:top w:val="single" w:color="4472C4" w:sz="4" w:space="0"/>
              <w:bottom w:val="single" w:color="4472C4" w:sz="4" w:space="0"/>
              <w:right w:val="single" w:color="4472C4" w:sz="4" w:space="0"/>
              <w:insideH w:val="single" w:sz="4" w:space="0"/>
              <w:insideV w:val="nil"/>
            </w:tcBorders>
            <w:shd w:val="clear" w:color="auto" w:fill="4472C4"/>
          </w:tcPr>
          <w:p w14:paraId="7924F94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t>内容说明</w:t>
            </w:r>
          </w:p>
        </w:tc>
      </w:tr>
      <w:tr w14:paraId="05DB6690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1102" w:type="dxa"/>
            <w:shd w:val="clear" w:color="auto" w:fill="D9E2F3"/>
          </w:tcPr>
          <w:p w14:paraId="44F9410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1453" w:type="dxa"/>
            <w:shd w:val="clear" w:color="auto" w:fill="D9E2F3"/>
          </w:tcPr>
          <w:p w14:paraId="617296B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en-US" w:bidi="ar-SA"/>
              </w:rPr>
              <w:t>项目名称</w:t>
            </w:r>
          </w:p>
        </w:tc>
        <w:tc>
          <w:tcPr>
            <w:tcW w:w="7284" w:type="dxa"/>
            <w:shd w:val="clear" w:color="auto" w:fill="D9E2F3"/>
          </w:tcPr>
          <w:p w14:paraId="0029CC3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中国-中亚经贸合作数据库建设与运维</w:t>
            </w:r>
          </w:p>
        </w:tc>
      </w:tr>
      <w:tr w14:paraId="14791955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1102" w:type="dxa"/>
          </w:tcPr>
          <w:p w14:paraId="6F39D09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1453" w:type="dxa"/>
          </w:tcPr>
          <w:p w14:paraId="06831D6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en-US" w:bidi="ar-SA"/>
              </w:rPr>
              <w:t>采购人</w:t>
            </w:r>
          </w:p>
        </w:tc>
        <w:tc>
          <w:tcPr>
            <w:tcW w:w="7284" w:type="dxa"/>
          </w:tcPr>
          <w:p w14:paraId="7C80701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陕西省贸促会</w:t>
            </w:r>
          </w:p>
        </w:tc>
      </w:tr>
      <w:tr w14:paraId="436086E0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</w:trPr>
        <w:tc>
          <w:tcPr>
            <w:tcW w:w="1102" w:type="dxa"/>
            <w:shd w:val="clear" w:color="auto" w:fill="D9E2F3"/>
          </w:tcPr>
          <w:p w14:paraId="78310C4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3</w:t>
            </w:r>
          </w:p>
        </w:tc>
        <w:tc>
          <w:tcPr>
            <w:tcW w:w="1453" w:type="dxa"/>
            <w:shd w:val="clear" w:color="auto" w:fill="D9E2F3"/>
          </w:tcPr>
          <w:p w14:paraId="79ECEF5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en-US" w:bidi="ar-SA"/>
              </w:rPr>
              <w:t>采购内容</w:t>
            </w:r>
          </w:p>
        </w:tc>
        <w:tc>
          <w:tcPr>
            <w:tcW w:w="7284" w:type="dxa"/>
            <w:shd w:val="clear" w:color="auto" w:fill="D9E2F3"/>
          </w:tcPr>
          <w:p w14:paraId="35662BA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平台建设及配套服务，包括软件系统开发、部署实施、数据治理、外部系统对接、培训及质保服务</w:t>
            </w:r>
          </w:p>
        </w:tc>
      </w:tr>
      <w:tr w14:paraId="422B64AE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6" w:hRule="atLeast"/>
        </w:trPr>
        <w:tc>
          <w:tcPr>
            <w:tcW w:w="1102" w:type="dxa"/>
          </w:tcPr>
          <w:p w14:paraId="36F6A0F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4</w:t>
            </w:r>
          </w:p>
        </w:tc>
        <w:tc>
          <w:tcPr>
            <w:tcW w:w="1453" w:type="dxa"/>
          </w:tcPr>
          <w:p w14:paraId="3AD331C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en-US" w:bidi="ar-SA"/>
              </w:rPr>
              <w:t>项目定位</w:t>
            </w:r>
          </w:p>
        </w:tc>
        <w:tc>
          <w:tcPr>
            <w:tcW w:w="7284" w:type="dxa"/>
          </w:tcPr>
          <w:p w14:paraId="21EE16E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第四方数字贸易基础设施平台。不直接开展自营贸易，不触碰货权与资金池，重点建设以"中国—中亚企业合作数据库"为核心的"三库一清单"数据体系</w:t>
            </w:r>
          </w:p>
        </w:tc>
      </w:tr>
      <w:tr w14:paraId="3D123712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</w:trPr>
        <w:tc>
          <w:tcPr>
            <w:tcW w:w="1102" w:type="dxa"/>
            <w:shd w:val="clear" w:color="auto" w:fill="D9E2F3"/>
          </w:tcPr>
          <w:p w14:paraId="7B3D8BC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5</w:t>
            </w:r>
          </w:p>
        </w:tc>
        <w:tc>
          <w:tcPr>
            <w:tcW w:w="1453" w:type="dxa"/>
            <w:shd w:val="clear" w:color="auto" w:fill="D9E2F3"/>
          </w:tcPr>
          <w:p w14:paraId="56FD9C0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en-US" w:bidi="ar-SA"/>
              </w:rPr>
              <w:t>交付周期</w:t>
            </w:r>
          </w:p>
        </w:tc>
        <w:tc>
          <w:tcPr>
            <w:tcW w:w="7284" w:type="dxa"/>
            <w:shd w:val="clear" w:color="auto" w:fill="D9E2F3"/>
          </w:tcPr>
          <w:p w14:paraId="607BFEA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合同正式签订之日起2个月内完成全部交付（其中首期基础底座须于1.5个月内上线试运行）</w:t>
            </w:r>
          </w:p>
        </w:tc>
      </w:tr>
      <w:tr w14:paraId="015A0690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1102" w:type="dxa"/>
          </w:tcPr>
          <w:p w14:paraId="7D9CBF4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6</w:t>
            </w:r>
          </w:p>
        </w:tc>
        <w:tc>
          <w:tcPr>
            <w:tcW w:w="1453" w:type="dxa"/>
          </w:tcPr>
          <w:p w14:paraId="4643C67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en-US" w:bidi="ar-SA"/>
              </w:rPr>
              <w:t>质保期限</w:t>
            </w:r>
          </w:p>
        </w:tc>
        <w:tc>
          <w:tcPr>
            <w:tcW w:w="7284" w:type="dxa"/>
          </w:tcPr>
          <w:p w14:paraId="0A71137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自双方签署项目竣工验收单之日起1年</w:t>
            </w:r>
          </w:p>
        </w:tc>
      </w:tr>
    </w:tbl>
    <w:p w14:paraId="4EB5F448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5" w:name="_Toc242798659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1.2 项目背景概述</w:t>
      </w:r>
      <w:bookmarkEnd w:id="5"/>
    </w:p>
    <w:p w14:paraId="5F8B0708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b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为贯彻中国—中亚西安峰会、阿斯塔纳峰会涉陕事项清单任务，落实省委、省政府关于打造内陆改革开放高地、推动开放型经济高质量发展的部署要求，围绕"建立中国—中亚企业合作数据库，整合双方企业信息和合作需求，实现精准匹配"核心任务，陕西省贸促会拟建设中国（陕西）—中亚经贸数字服务一体化平台。</w:t>
      </w:r>
      <w:bookmarkStart w:id="6" w:name="_Toc1020991542"/>
      <w:bookmarkStart w:id="7" w:name="_Toc371258995"/>
      <w:bookmarkStart w:id="8" w:name="_Toc242798660"/>
      <w:bookmarkStart w:id="9" w:name="_Toc1357870447"/>
    </w:p>
    <w:p w14:paraId="53360253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jc w:val="center"/>
        <w:textAlignment w:val="auto"/>
        <w:outlineLvl w:val="1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第二节　建设背景与目标</w:t>
      </w:r>
      <w:bookmarkEnd w:id="6"/>
      <w:bookmarkEnd w:id="7"/>
      <w:bookmarkEnd w:id="8"/>
      <w:bookmarkEnd w:id="9"/>
    </w:p>
    <w:p w14:paraId="07B2716F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10" w:name="_Toc242798661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2.1 建设背景</w:t>
      </w:r>
      <w:bookmarkEnd w:id="10"/>
    </w:p>
    <w:p w14:paraId="5813E2F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中国—中亚机制常态化运行及陕西自贸试验区提升战略深入实施，为陕西与中亚国家经贸合作提供了历史性机遇。当前，陕西企业对中亚市场的信息获取、供需对接、贸易服务仍缺乏统一的数字化基础设施支撑，亟需建设一个覆盖全链条、联通境内外的经贸数字服务平台。</w:t>
      </w:r>
    </w:p>
    <w:p w14:paraId="08632137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11" w:name="_Toc242798662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2.2 解决痛点</w:t>
      </w:r>
      <w:bookmarkEnd w:id="11"/>
    </w:p>
    <w:p w14:paraId="2FE43E4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当前陕西企业开拓中亚市场面临以下突出问题：</w:t>
      </w:r>
    </w:p>
    <w:p w14:paraId="5B79C2F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信息不对称、资源碎片化，企业缺乏有效的数字化支撑渠道； </w:t>
      </w:r>
    </w:p>
    <w:p w14:paraId="166B920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服务链条断层、数据动态更新不足，既有平台多停留在静态台账阶段； </w:t>
      </w:r>
    </w:p>
    <w:p w14:paraId="0102CAA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跨境数据合规要求高，缺乏统一的数据归集与治理机制； </w:t>
      </w:r>
    </w:p>
    <w:p w14:paraId="1C2D121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现有数字化平台普遍存在"重建设、轻运营、无法自我造血"等短板。</w:t>
      </w:r>
    </w:p>
    <w:p w14:paraId="749307AB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12" w:name="_Toc242798663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2.3 建设目标</w:t>
      </w:r>
      <w:bookmarkEnd w:id="12"/>
    </w:p>
    <w:p w14:paraId="11162A1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建设第四方数字贸易基础设施，形成"三库一清单"核心数据体系，实现企业信息、合作需求、项目信息、服务资源的统一归集、动态更新、智能匹配、全流程留痕与可视化研判。前端服务企业、后端支撑政府决策，为陕西打造向西开放数字枢纽提供支撑。</w:t>
      </w:r>
    </w:p>
    <w:p w14:paraId="3BC2214A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en-US" w:bidi="ar-SA"/>
        </w:rPr>
      </w:pPr>
      <w:bookmarkStart w:id="13" w:name="_Toc242798664"/>
      <w:r>
        <w:rPr>
          <w:rFonts w:hint="eastAsia" w:ascii="仿宋" w:hAnsi="仿宋" w:eastAsia="仿宋" w:cs="仿宋"/>
          <w:b/>
          <w:sz w:val="24"/>
          <w:szCs w:val="24"/>
          <w:lang w:val="en-US" w:eastAsia="en-US" w:bidi="ar-SA"/>
        </w:rPr>
        <w:t>2.4 核心数据体系</w:t>
      </w:r>
      <w:bookmarkEnd w:id="13"/>
    </w:p>
    <w:tbl>
      <w:tblPr>
        <w:tblStyle w:val="5"/>
        <w:tblW w:w="9719" w:type="dxa"/>
        <w:tblInd w:w="0" w:type="dxa"/>
        <w:tblBorders>
          <w:top w:val="single" w:color="8EAADB" w:sz="4" w:space="0"/>
          <w:left w:val="single" w:color="8EAADB" w:sz="4" w:space="0"/>
          <w:bottom w:val="single" w:color="8EAADB" w:sz="4" w:space="0"/>
          <w:right w:val="single" w:color="8EAADB" w:sz="4" w:space="0"/>
          <w:insideH w:val="single" w:color="8EAADB" w:sz="4" w:space="0"/>
          <w:insideV w:val="single" w:color="8EAADB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3"/>
        <w:gridCol w:w="7306"/>
      </w:tblGrid>
      <w:tr w14:paraId="5974AADB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413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nil"/>
              <w:insideH w:val="single" w:sz="4" w:space="0"/>
              <w:insideV w:val="nil"/>
            </w:tcBorders>
            <w:shd w:val="clear" w:color="auto" w:fill="4472C4"/>
          </w:tcPr>
          <w:p w14:paraId="13071EE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t>模块名称</w:t>
            </w:r>
          </w:p>
        </w:tc>
        <w:tc>
          <w:tcPr>
            <w:tcW w:w="7306" w:type="dxa"/>
            <w:tcBorders>
              <w:top w:val="single" w:color="4472C4" w:sz="4" w:space="0"/>
              <w:bottom w:val="single" w:color="4472C4" w:sz="4" w:space="0"/>
              <w:right w:val="single" w:color="4472C4" w:sz="4" w:space="0"/>
              <w:insideH w:val="single" w:sz="4" w:space="0"/>
              <w:insideV w:val="nil"/>
            </w:tcBorders>
            <w:shd w:val="clear" w:color="auto" w:fill="4472C4"/>
          </w:tcPr>
          <w:p w14:paraId="0CABE8F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t>建设内容</w:t>
            </w:r>
          </w:p>
        </w:tc>
      </w:tr>
      <w:tr w14:paraId="30DC2522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2413" w:type="dxa"/>
            <w:shd w:val="clear" w:color="auto" w:fill="D9E2F3"/>
          </w:tcPr>
          <w:p w14:paraId="163A4E8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陕西企业供给库</w:t>
            </w:r>
          </w:p>
        </w:tc>
        <w:tc>
          <w:tcPr>
            <w:tcW w:w="7306" w:type="dxa"/>
            <w:shd w:val="clear" w:color="auto" w:fill="D9E2F3"/>
          </w:tcPr>
          <w:p w14:paraId="206AC25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归集陕西企业供给能力信息，含企业资质、产品、产能、合作意向等</w:t>
            </w:r>
          </w:p>
        </w:tc>
      </w:tr>
      <w:tr w14:paraId="45EEE8E9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2413" w:type="dxa"/>
          </w:tcPr>
          <w:p w14:paraId="353448B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中亚市场需求库</w:t>
            </w:r>
          </w:p>
        </w:tc>
        <w:tc>
          <w:tcPr>
            <w:tcW w:w="7306" w:type="dxa"/>
          </w:tcPr>
          <w:p w14:paraId="037CD3B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归集中亚各国采购需求、投资需求、合作需求，建立白名单核验机制</w:t>
            </w:r>
          </w:p>
        </w:tc>
      </w:tr>
      <w:tr w14:paraId="3B7A8485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2413" w:type="dxa"/>
            <w:shd w:val="clear" w:color="auto" w:fill="D9E2F3"/>
          </w:tcPr>
          <w:p w14:paraId="2A869B1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双边合作项目库</w:t>
            </w:r>
          </w:p>
        </w:tc>
        <w:tc>
          <w:tcPr>
            <w:tcW w:w="7306" w:type="dxa"/>
            <w:shd w:val="clear" w:color="auto" w:fill="D9E2F3"/>
          </w:tcPr>
          <w:p w14:paraId="789A3E3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归集双边合作项目全周期信息，区块链存证，全程可追溯</w:t>
            </w:r>
          </w:p>
        </w:tc>
      </w:tr>
      <w:tr w14:paraId="4B537438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413" w:type="dxa"/>
          </w:tcPr>
          <w:p w14:paraId="364FBDE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配套服务资源清单</w:t>
            </w:r>
          </w:p>
        </w:tc>
        <w:tc>
          <w:tcPr>
            <w:tcW w:w="7306" w:type="dxa"/>
          </w:tcPr>
          <w:p w14:paraId="763FB13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整合通关、退税、金融、法务、物流、信保等服务资源，标准化打包</w:t>
            </w:r>
          </w:p>
        </w:tc>
      </w:tr>
    </w:tbl>
    <w:p w14:paraId="56A03CC6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14" w:name="_Toc419886060"/>
      <w:bookmarkStart w:id="15" w:name="_Toc242798665"/>
      <w:bookmarkStart w:id="16" w:name="_Toc1410506864"/>
      <w:bookmarkStart w:id="17" w:name="_Toc1309934430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第三节　技术要求</w:t>
      </w:r>
      <w:bookmarkEnd w:id="14"/>
      <w:bookmarkEnd w:id="15"/>
      <w:bookmarkEnd w:id="16"/>
      <w:bookmarkEnd w:id="17"/>
    </w:p>
    <w:p w14:paraId="5A2F4261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18" w:name="_Toc242798666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3.1 总体技术架构</w:t>
      </w:r>
      <w:bookmarkEnd w:id="18"/>
    </w:p>
    <w:p w14:paraId="6FA4703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（1）架构模式：采用B/S架构，浏览器端直接使用，无需安装客户端。 </w:t>
      </w:r>
    </w:p>
    <w:p w14:paraId="0FA5B1E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（2）开发框架：基于主流开发框架与编程语言，支持高可用集群部署和系统冗余。 </w:t>
      </w:r>
    </w:p>
    <w:p w14:paraId="6C0578A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（3）国产化适配：支持国产化软硬件环境适配，包括国产芯片、国产操作系统、国产数据库及国产中间件等，具体适配清单在项目实施阶段由采购人根据政务云环境确定。 </w:t>
      </w:r>
    </w:p>
    <w:p w14:paraId="7D77E45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（4）多语言支持：支持多语言版本，包括中文、俄文、英文等，满足中亚及"一带一路"沿线国家业务拓展需要。 </w:t>
      </w:r>
    </w:p>
    <w:p w14:paraId="4E63B4A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（5）多币种支持：支持多币种结算与展示。 </w:t>
      </w:r>
    </w:p>
    <w:p w14:paraId="778A300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（6）基础技术能力：具备API网关、消息队列、单点登录（SSO）、统一身份认证、电子签章、区块链存证、OCR识别、全文检索、智能匹配等基础能力。 </w:t>
      </w:r>
    </w:p>
    <w:p w14:paraId="1BC7458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（7）扩展性：支持模块化部署和横向扩展，后续功能迭代不推倒重来、不重复开发。 </w:t>
      </w:r>
    </w:p>
    <w:p w14:paraId="4EEB094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（8）接口兼容性：兼容多种数据传输协议，针对外部系统可定制开发数据接口。</w:t>
      </w:r>
    </w:p>
    <w:p w14:paraId="603FE812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19" w:name="_Toc242798667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3.2 "三库一清单"数据体系要求</w:t>
      </w:r>
      <w:bookmarkEnd w:id="19"/>
    </w:p>
    <w:p w14:paraId="6EC2B5E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3.2.1 中国—中亚企业合作数据库</w:t>
      </w:r>
    </w:p>
    <w:p w14:paraId="572AE0C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以单个企业、单个产品、单条需求、单个项目为基本数据单元建立目录；采集企业信息、产品信息、资质信息、合作需求、采购需求、项目信息等元数据；科学设定著录项、必输项与选输项，明确字段类型、长度和值域范围；保持企业、产品、需求、项目、服务之间的内在逻辑关联，便于数据管理和交叉检索；数据库格式采用通用格式或支持导出/转换为通用数据格式，便于数据交换。</w:t>
      </w:r>
    </w:p>
    <w:p w14:paraId="60138B7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3.2.2 文献及资料内容数据库</w:t>
      </w:r>
    </w:p>
    <w:p w14:paraId="3FFC8EC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涵盖企业资料、产品资料、资质文件、合作需求文件、项目文件、合同单据、通关单据、结算凭证等扫描图像与全文电子文档；电子文件与原始资料内容一一对应，确保真实性；OCR识别率不低于90%，系统具备识别结果辅助修改功能；支持信息录入、存储、检索、打印、备份恢复、权限管理。</w:t>
      </w:r>
    </w:p>
    <w:p w14:paraId="3104A4E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3.2.3 中亚市场需求库</w:t>
      </w:r>
    </w:p>
    <w:p w14:paraId="2EF4A10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归集驻外经商机构、中亚各国工商协会、平台注册境外采购商等来源的采购需求、投资需求、合作需求；建立采购商白名单机制，对境外采购商身份和资信进行核验；具备虚假询盘与无效询盘的智能甄别能力，保障需求信息真实可靠。</w:t>
      </w:r>
    </w:p>
    <w:p w14:paraId="4D4B5CC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3.2.4 双边合作项目库</w:t>
      </w:r>
    </w:p>
    <w:p w14:paraId="1978DF0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归集省发改委、商务部门、贸促系统及平台线上撮合落地项目信息；实现项目登记、节点跟踪、成果展示等全周期线上管理；合作凭证采用区块链存证，全程可追溯、不可篡改。</w:t>
      </w:r>
    </w:p>
    <w:p w14:paraId="4079DF9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3.2.5 配套服务资源清单</w:t>
      </w:r>
    </w:p>
    <w:p w14:paraId="0F36714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整合通关、退税、跨境结算、物流、信保、法务等服务资源；服务事项标准化、线上化，企业可一键申请，服务进度可跟踪。</w:t>
      </w:r>
    </w:p>
    <w:p w14:paraId="24290DB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3.2.6 数据治理机制</w:t>
      </w:r>
    </w:p>
    <w:p w14:paraId="79F946A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执行"物理归集、逻辑隔离"：全量原始经贸数据统一归集至省大数据局或采购人指定政务云平台，统一脱敏治理；运营端仅拥有数据运营、分析、展示权限，实现"数据不出域、可用不可见"；跨境数据按分类分级、脱敏、隔离存储及出境安全评估等要求执行。</w:t>
      </w:r>
    </w:p>
    <w:p w14:paraId="6BD1F7F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3.2.7 数据活化更新</w:t>
      </w:r>
    </w:p>
    <w:p w14:paraId="6C2E0E1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摒弃静态台账模式，通过企业自主更新、活动对接、供需发布、项目跟踪等业务流程自动沉淀动态数据，确保数据库持续鲜活，可运营、可研判、可考核。</w:t>
      </w:r>
    </w:p>
    <w:p w14:paraId="115E12D0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en-US" w:bidi="ar-SA"/>
        </w:rPr>
      </w:pPr>
      <w:bookmarkStart w:id="20" w:name="_Toc242798668"/>
      <w:r>
        <w:rPr>
          <w:rFonts w:hint="eastAsia" w:ascii="仿宋" w:hAnsi="仿宋" w:eastAsia="仿宋" w:cs="仿宋"/>
          <w:b/>
          <w:sz w:val="24"/>
          <w:szCs w:val="24"/>
          <w:lang w:val="en-US" w:eastAsia="en-US" w:bidi="ar-SA"/>
        </w:rPr>
        <w:t>3.3 前端服务板块</w:t>
      </w:r>
      <w:bookmarkEnd w:id="20"/>
    </w:p>
    <w:tbl>
      <w:tblPr>
        <w:tblStyle w:val="5"/>
        <w:tblW w:w="9759" w:type="dxa"/>
        <w:tblInd w:w="0" w:type="dxa"/>
        <w:tblBorders>
          <w:top w:val="single" w:color="8EAADB" w:sz="4" w:space="0"/>
          <w:left w:val="single" w:color="8EAADB" w:sz="4" w:space="0"/>
          <w:bottom w:val="single" w:color="8EAADB" w:sz="4" w:space="0"/>
          <w:right w:val="single" w:color="8EAADB" w:sz="4" w:space="0"/>
          <w:insideH w:val="single" w:color="8EAADB" w:sz="4" w:space="0"/>
          <w:insideV w:val="single" w:color="8EAADB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3"/>
        <w:gridCol w:w="8506"/>
      </w:tblGrid>
      <w:tr w14:paraId="587276BA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1253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nil"/>
              <w:insideH w:val="single" w:sz="4" w:space="0"/>
              <w:insideV w:val="nil"/>
            </w:tcBorders>
            <w:shd w:val="clear" w:color="auto" w:fill="4472C4"/>
          </w:tcPr>
          <w:p w14:paraId="4FBFB70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t>板块名称</w:t>
            </w:r>
          </w:p>
        </w:tc>
        <w:tc>
          <w:tcPr>
            <w:tcW w:w="8506" w:type="dxa"/>
            <w:tcBorders>
              <w:top w:val="single" w:color="4472C4" w:sz="4" w:space="0"/>
              <w:bottom w:val="single" w:color="4472C4" w:sz="4" w:space="0"/>
              <w:right w:val="single" w:color="4472C4" w:sz="4" w:space="0"/>
              <w:insideH w:val="single" w:sz="4" w:space="0"/>
              <w:insideV w:val="nil"/>
            </w:tcBorders>
            <w:shd w:val="clear" w:color="auto" w:fill="4472C4"/>
          </w:tcPr>
          <w:p w14:paraId="5EC76A8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t>功能要求</w:t>
            </w:r>
          </w:p>
        </w:tc>
      </w:tr>
      <w:tr w14:paraId="2DB693AE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1253" w:type="dxa"/>
            <w:shd w:val="clear" w:color="auto" w:fill="D9E2F3"/>
          </w:tcPr>
          <w:p w14:paraId="6A557DC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需求大厅</w:t>
            </w:r>
          </w:p>
        </w:tc>
        <w:tc>
          <w:tcPr>
            <w:tcW w:w="8506" w:type="dxa"/>
            <w:shd w:val="clear" w:color="auto" w:fill="D9E2F3"/>
          </w:tcPr>
          <w:p w14:paraId="6E7978B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供需信息发布、智能匹配、询盘核验、采购商白名单管理、线上预约洽谈、远程验厂、线上订单签订、撮合结果统计</w:t>
            </w:r>
          </w:p>
        </w:tc>
      </w:tr>
      <w:tr w14:paraId="5F394C65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1253" w:type="dxa"/>
          </w:tcPr>
          <w:p w14:paraId="05CD8B8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海外国家馆</w:t>
            </w:r>
          </w:p>
        </w:tc>
        <w:tc>
          <w:tcPr>
            <w:tcW w:w="8506" w:type="dxa"/>
          </w:tcPr>
          <w:p w14:paraId="371ACC9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模拟实体展馆，按国别、产业、企业分层展示；虚拟展位与真实信息一一对应；支持中亚五国及"一带一路"沿线国家拓展</w:t>
            </w:r>
          </w:p>
        </w:tc>
      </w:tr>
      <w:tr w14:paraId="4C586020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1253" w:type="dxa"/>
            <w:shd w:val="clear" w:color="auto" w:fill="D9E2F3"/>
          </w:tcPr>
          <w:p w14:paraId="43A483F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外贸综合服务</w:t>
            </w:r>
          </w:p>
        </w:tc>
        <w:tc>
          <w:tcPr>
            <w:tcW w:w="8506" w:type="dxa"/>
            <w:shd w:val="clear" w:color="auto" w:fill="D9E2F3"/>
          </w:tcPr>
          <w:p w14:paraId="4AE289E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对接陕西国际贸易单一窗口，覆盖主流出口监管模式；提供通关、退税、结算、物流、信保、法律等服务入口</w:t>
            </w:r>
          </w:p>
        </w:tc>
      </w:tr>
      <w:tr w14:paraId="39AA5067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253" w:type="dxa"/>
          </w:tcPr>
          <w:p w14:paraId="5F14A17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政务导航</w:t>
            </w:r>
          </w:p>
        </w:tc>
        <w:tc>
          <w:tcPr>
            <w:tcW w:w="8506" w:type="dxa"/>
          </w:tcPr>
          <w:p w14:paraId="38F8643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对接政务系统，提供商事认证、原产地证申领、政策查询等政务服务入口</w:t>
            </w:r>
          </w:p>
        </w:tc>
      </w:tr>
      <w:tr w14:paraId="6A1FFB3E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1253" w:type="dxa"/>
            <w:shd w:val="clear" w:color="auto" w:fill="D9E2F3"/>
          </w:tcPr>
          <w:p w14:paraId="231365E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金融服务</w:t>
            </w:r>
          </w:p>
        </w:tc>
        <w:tc>
          <w:tcPr>
            <w:tcW w:w="8506" w:type="dxa"/>
            <w:shd w:val="clear" w:color="auto" w:fill="D9E2F3"/>
          </w:tcPr>
          <w:p w14:paraId="6A1246B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预留跨境信用贷款、存货质押、跨境信用证、汇率避险等供应链金融导流接口</w:t>
            </w:r>
          </w:p>
        </w:tc>
      </w:tr>
    </w:tbl>
    <w:p w14:paraId="23FDF7CE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21" w:name="_Toc242798669"/>
      <w:r>
        <w:rPr>
          <w:rFonts w:hint="eastAsia" w:ascii="仿宋" w:hAnsi="仿宋" w:eastAsia="仿宋" w:cs="仿宋"/>
          <w:b/>
          <w:sz w:val="24"/>
          <w:szCs w:val="24"/>
          <w:lang w:val="en-US" w:eastAsia="en-US" w:bidi="ar-SA"/>
        </w:rPr>
        <w:t>3.4 后端支撑系统</w:t>
      </w:r>
      <w:bookmarkEnd w:id="21"/>
    </w:p>
    <w:tbl>
      <w:tblPr>
        <w:tblStyle w:val="5"/>
        <w:tblW w:w="9619" w:type="dxa"/>
        <w:tblInd w:w="0" w:type="dxa"/>
        <w:tblBorders>
          <w:top w:val="single" w:color="8EAADB" w:sz="4" w:space="0"/>
          <w:left w:val="single" w:color="8EAADB" w:sz="4" w:space="0"/>
          <w:bottom w:val="single" w:color="8EAADB" w:sz="4" w:space="0"/>
          <w:right w:val="single" w:color="8EAADB" w:sz="4" w:space="0"/>
          <w:insideH w:val="single" w:color="8EAADB" w:sz="4" w:space="0"/>
          <w:insideV w:val="single" w:color="8EAADB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4"/>
        <w:gridCol w:w="7845"/>
      </w:tblGrid>
      <w:tr w14:paraId="58E1B7F5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774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nil"/>
              <w:insideH w:val="single" w:sz="4" w:space="0"/>
              <w:insideV w:val="nil"/>
            </w:tcBorders>
            <w:shd w:val="clear" w:color="auto" w:fill="4472C4"/>
          </w:tcPr>
          <w:p w14:paraId="41B6052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t>系统模块</w:t>
            </w:r>
          </w:p>
        </w:tc>
        <w:tc>
          <w:tcPr>
            <w:tcW w:w="7845" w:type="dxa"/>
            <w:tcBorders>
              <w:top w:val="single" w:color="4472C4" w:sz="4" w:space="0"/>
              <w:bottom w:val="single" w:color="4472C4" w:sz="4" w:space="0"/>
              <w:right w:val="single" w:color="4472C4" w:sz="4" w:space="0"/>
              <w:insideH w:val="single" w:sz="4" w:space="0"/>
              <w:insideV w:val="nil"/>
            </w:tcBorders>
            <w:shd w:val="clear" w:color="auto" w:fill="4472C4"/>
          </w:tcPr>
          <w:p w14:paraId="4AB93A1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t>功能要求</w:t>
            </w:r>
          </w:p>
        </w:tc>
      </w:tr>
      <w:tr w14:paraId="7C48E240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8" w:hRule="atLeast"/>
        </w:trPr>
        <w:tc>
          <w:tcPr>
            <w:tcW w:w="1774" w:type="dxa"/>
            <w:shd w:val="clear" w:color="auto" w:fill="D9E2F3"/>
          </w:tcPr>
          <w:p w14:paraId="6227F71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运行管理后台</w:t>
            </w:r>
          </w:p>
        </w:tc>
        <w:tc>
          <w:tcPr>
            <w:tcW w:w="7845" w:type="dxa"/>
            <w:shd w:val="clear" w:color="auto" w:fill="D9E2F3"/>
          </w:tcPr>
          <w:p w14:paraId="3681FD0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系统设置、元数据管理、代码库管理、分类管理、规则设置、报表定制、流程定制、组织管理、权限管理、日志审计、防扩散水印管理</w:t>
            </w:r>
          </w:p>
        </w:tc>
      </w:tr>
      <w:tr w14:paraId="55551983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1" w:hRule="atLeast"/>
        </w:trPr>
        <w:tc>
          <w:tcPr>
            <w:tcW w:w="1774" w:type="dxa"/>
          </w:tcPr>
          <w:p w14:paraId="6F3FF36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数据驾驶舱</w:t>
            </w:r>
          </w:p>
        </w:tc>
        <w:tc>
          <w:tcPr>
            <w:tcW w:w="7845" w:type="dxa"/>
          </w:tcPr>
          <w:p w14:paraId="45CC403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面向省、市贸促及相关政府主管部门，提供综合全景总览、趋势研判分析、国别穿透查询、市场风险预警、可视化展示</w:t>
            </w:r>
          </w:p>
        </w:tc>
      </w:tr>
    </w:tbl>
    <w:p w14:paraId="557ED6C4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22" w:name="_Toc242798670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3.5 核心功能清单</w:t>
      </w:r>
      <w:bookmarkEnd w:id="22"/>
    </w:p>
    <w:p w14:paraId="5A8AC34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以下为平台核心功能方向：</w:t>
      </w:r>
    </w:p>
    <w:tbl>
      <w:tblPr>
        <w:tblStyle w:val="5"/>
        <w:tblW w:w="9239" w:type="dxa"/>
        <w:tblInd w:w="0" w:type="dxa"/>
        <w:tblBorders>
          <w:top w:val="single" w:color="8EAADB" w:sz="4" w:space="0"/>
          <w:left w:val="single" w:color="8EAADB" w:sz="4" w:space="0"/>
          <w:bottom w:val="single" w:color="8EAADB" w:sz="4" w:space="0"/>
          <w:right w:val="single" w:color="8EAADB" w:sz="4" w:space="0"/>
          <w:insideH w:val="single" w:color="8EAADB" w:sz="4" w:space="0"/>
          <w:insideV w:val="single" w:color="8EAADB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3"/>
        <w:gridCol w:w="2279"/>
        <w:gridCol w:w="6137"/>
      </w:tblGrid>
      <w:tr w14:paraId="138BBFDE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823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nil"/>
              <w:insideH w:val="single" w:sz="4" w:space="0"/>
              <w:insideV w:val="nil"/>
            </w:tcBorders>
            <w:shd w:val="clear" w:color="auto" w:fill="4472C4"/>
          </w:tcPr>
          <w:p w14:paraId="253D743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t>序号</w:t>
            </w:r>
          </w:p>
        </w:tc>
        <w:tc>
          <w:tcPr>
            <w:tcW w:w="2279" w:type="dxa"/>
            <w:tcBorders>
              <w:top w:val="single" w:color="4472C4" w:sz="4" w:space="0"/>
              <w:bottom w:val="single" w:color="4472C4" w:sz="4" w:space="0"/>
              <w:right w:val="nil"/>
              <w:insideH w:val="single" w:sz="4" w:space="0"/>
              <w:insideV w:val="nil"/>
            </w:tcBorders>
            <w:shd w:val="clear" w:color="auto" w:fill="4472C4"/>
          </w:tcPr>
          <w:p w14:paraId="5BE602A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t>功能模块</w:t>
            </w:r>
          </w:p>
        </w:tc>
        <w:tc>
          <w:tcPr>
            <w:tcW w:w="6137" w:type="dxa"/>
            <w:tcBorders>
              <w:top w:val="single" w:color="4472C4" w:sz="4" w:space="0"/>
              <w:bottom w:val="single" w:color="4472C4" w:sz="4" w:space="0"/>
              <w:right w:val="single" w:color="4472C4" w:sz="4" w:space="0"/>
              <w:insideH w:val="single" w:sz="4" w:space="0"/>
              <w:insideV w:val="nil"/>
            </w:tcBorders>
            <w:shd w:val="clear" w:color="auto" w:fill="4472C4"/>
          </w:tcPr>
          <w:p w14:paraId="2273B53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t>核心要求</w:t>
            </w:r>
          </w:p>
        </w:tc>
      </w:tr>
      <w:tr w14:paraId="545A9DC8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23" w:type="dxa"/>
            <w:shd w:val="clear" w:color="auto" w:fill="D9E2F3"/>
          </w:tcPr>
          <w:p w14:paraId="018C1CC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2279" w:type="dxa"/>
            <w:shd w:val="clear" w:color="auto" w:fill="D9E2F3"/>
          </w:tcPr>
          <w:p w14:paraId="5C5B004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系统设置</w:t>
            </w:r>
          </w:p>
        </w:tc>
        <w:tc>
          <w:tcPr>
            <w:tcW w:w="6137" w:type="dxa"/>
            <w:shd w:val="clear" w:color="auto" w:fill="D9E2F3"/>
          </w:tcPr>
          <w:p w14:paraId="42914A1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基础信息定制、安全策略配置、文件上传限制、IP访问限制、密码强度及有效期管理</w:t>
            </w:r>
          </w:p>
        </w:tc>
      </w:tr>
      <w:tr w14:paraId="56E31C59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23" w:type="dxa"/>
          </w:tcPr>
          <w:p w14:paraId="5114B9B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2279" w:type="dxa"/>
          </w:tcPr>
          <w:p w14:paraId="4E5282B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-SA"/>
              </w:rPr>
              <w:t>企业门类及产业分类管理</w:t>
            </w:r>
          </w:p>
        </w:tc>
        <w:tc>
          <w:tcPr>
            <w:tcW w:w="6137" w:type="dxa"/>
          </w:tcPr>
          <w:p w14:paraId="141A028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企业门类与产业分类维护，支持层次化自动创建和元数据关联</w:t>
            </w:r>
          </w:p>
        </w:tc>
      </w:tr>
      <w:tr w14:paraId="177C0DD2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23" w:type="dxa"/>
            <w:shd w:val="clear" w:color="auto" w:fill="D9E2F3"/>
          </w:tcPr>
          <w:p w14:paraId="5DEA2C7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3</w:t>
            </w:r>
          </w:p>
        </w:tc>
        <w:tc>
          <w:tcPr>
            <w:tcW w:w="2279" w:type="dxa"/>
            <w:shd w:val="clear" w:color="auto" w:fill="D9E2F3"/>
          </w:tcPr>
          <w:p w14:paraId="7BF05EB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元数据管理</w:t>
            </w:r>
          </w:p>
        </w:tc>
        <w:tc>
          <w:tcPr>
            <w:tcW w:w="6137" w:type="dxa"/>
            <w:shd w:val="clear" w:color="auto" w:fill="D9E2F3"/>
          </w:tcPr>
          <w:p w14:paraId="154331C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企业、产品、需求、项目、服务元数据库维护，支持自定义扩展</w:t>
            </w:r>
          </w:p>
        </w:tc>
      </w:tr>
      <w:tr w14:paraId="2AD4E995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23" w:type="dxa"/>
          </w:tcPr>
          <w:p w14:paraId="619966B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4</w:t>
            </w:r>
          </w:p>
        </w:tc>
        <w:tc>
          <w:tcPr>
            <w:tcW w:w="2279" w:type="dxa"/>
          </w:tcPr>
          <w:p w14:paraId="13AD312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代码管理</w:t>
            </w:r>
          </w:p>
        </w:tc>
        <w:tc>
          <w:tcPr>
            <w:tcW w:w="6137" w:type="dxa"/>
          </w:tcPr>
          <w:p w14:paraId="75FE5D2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国别、地区、行业、币种、HS编码、资质等代码库维护并与元数据关联使用</w:t>
            </w:r>
          </w:p>
        </w:tc>
      </w:tr>
      <w:tr w14:paraId="258AC297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23" w:type="dxa"/>
            <w:shd w:val="clear" w:color="auto" w:fill="D9E2F3"/>
          </w:tcPr>
          <w:p w14:paraId="41EF963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5</w:t>
            </w:r>
          </w:p>
        </w:tc>
        <w:tc>
          <w:tcPr>
            <w:tcW w:w="2279" w:type="dxa"/>
            <w:shd w:val="clear" w:color="auto" w:fill="D9E2F3"/>
          </w:tcPr>
          <w:p w14:paraId="329B452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分类管理</w:t>
            </w:r>
          </w:p>
        </w:tc>
        <w:tc>
          <w:tcPr>
            <w:tcW w:w="6137" w:type="dxa"/>
            <w:shd w:val="clear" w:color="auto" w:fill="D9E2F3"/>
          </w:tcPr>
          <w:p w14:paraId="6B360EC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企业、产品、需求、项目、服务分类库维护，支持快速分类筛查</w:t>
            </w:r>
          </w:p>
        </w:tc>
      </w:tr>
      <w:tr w14:paraId="1EAC5BBB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823" w:type="dxa"/>
          </w:tcPr>
          <w:p w14:paraId="4CB9EEC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6</w:t>
            </w:r>
          </w:p>
        </w:tc>
        <w:tc>
          <w:tcPr>
            <w:tcW w:w="2279" w:type="dxa"/>
          </w:tcPr>
          <w:p w14:paraId="0CD56F3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规则设置</w:t>
            </w:r>
          </w:p>
        </w:tc>
        <w:tc>
          <w:tcPr>
            <w:tcW w:w="6137" w:type="dxa"/>
          </w:tcPr>
          <w:p w14:paraId="3D672F0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企业整理规则、字段对应规则、智能匹配规则配置</w:t>
            </w:r>
          </w:p>
        </w:tc>
      </w:tr>
      <w:tr w14:paraId="124974A6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23" w:type="dxa"/>
            <w:shd w:val="clear" w:color="auto" w:fill="D9E2F3"/>
          </w:tcPr>
          <w:p w14:paraId="618F74F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7</w:t>
            </w:r>
          </w:p>
        </w:tc>
        <w:tc>
          <w:tcPr>
            <w:tcW w:w="2279" w:type="dxa"/>
            <w:shd w:val="clear" w:color="auto" w:fill="D9E2F3"/>
          </w:tcPr>
          <w:p w14:paraId="176F931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报表定制和管理</w:t>
            </w:r>
          </w:p>
        </w:tc>
        <w:tc>
          <w:tcPr>
            <w:tcW w:w="6137" w:type="dxa"/>
            <w:shd w:val="clear" w:color="auto" w:fill="D9E2F3"/>
          </w:tcPr>
          <w:p w14:paraId="23D2FE8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目录结构定义、管理表单样式设计，支持一键生成工作简报、考核报表</w:t>
            </w:r>
          </w:p>
        </w:tc>
      </w:tr>
      <w:tr w14:paraId="2FCAD64F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823" w:type="dxa"/>
          </w:tcPr>
          <w:p w14:paraId="0FD8C94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8</w:t>
            </w:r>
          </w:p>
        </w:tc>
        <w:tc>
          <w:tcPr>
            <w:tcW w:w="2279" w:type="dxa"/>
          </w:tcPr>
          <w:p w14:paraId="4BE15EA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索引库管理</w:t>
            </w:r>
          </w:p>
        </w:tc>
        <w:tc>
          <w:tcPr>
            <w:tcW w:w="6137" w:type="dxa"/>
          </w:tcPr>
          <w:p w14:paraId="47AEC90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目录索引与全文内容索引创建，支撑快速检索</w:t>
            </w:r>
          </w:p>
        </w:tc>
      </w:tr>
      <w:tr w14:paraId="5171045E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23" w:type="dxa"/>
            <w:shd w:val="clear" w:color="auto" w:fill="D9E2F3"/>
          </w:tcPr>
          <w:p w14:paraId="6E1B31E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9</w:t>
            </w:r>
          </w:p>
        </w:tc>
        <w:tc>
          <w:tcPr>
            <w:tcW w:w="2279" w:type="dxa"/>
            <w:shd w:val="clear" w:color="auto" w:fill="D9E2F3"/>
          </w:tcPr>
          <w:p w14:paraId="64BD9EF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流程定制和管理</w:t>
            </w:r>
          </w:p>
        </w:tc>
        <w:tc>
          <w:tcPr>
            <w:tcW w:w="6137" w:type="dxa"/>
            <w:shd w:val="clear" w:color="auto" w:fill="D9E2F3"/>
          </w:tcPr>
          <w:p w14:paraId="06AAFAF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企业入驻、需求发布、项目移交、服务申请等审批流程定义与执行</w:t>
            </w:r>
          </w:p>
        </w:tc>
      </w:tr>
      <w:tr w14:paraId="561745A1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23" w:type="dxa"/>
          </w:tcPr>
          <w:p w14:paraId="51FACDF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10</w:t>
            </w:r>
          </w:p>
        </w:tc>
        <w:tc>
          <w:tcPr>
            <w:tcW w:w="2279" w:type="dxa"/>
          </w:tcPr>
          <w:p w14:paraId="20FA4C9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组织管理</w:t>
            </w:r>
          </w:p>
        </w:tc>
        <w:tc>
          <w:tcPr>
            <w:tcW w:w="6137" w:type="dxa"/>
          </w:tcPr>
          <w:p w14:paraId="0F637AE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贸促系统、商协会、企业、采购商、服务机构等人员、组、角色维护与账户分配</w:t>
            </w:r>
          </w:p>
        </w:tc>
      </w:tr>
      <w:tr w14:paraId="00E91F17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23" w:type="dxa"/>
            <w:shd w:val="clear" w:color="auto" w:fill="D9E2F3"/>
          </w:tcPr>
          <w:p w14:paraId="0C7F6D5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11</w:t>
            </w:r>
          </w:p>
        </w:tc>
        <w:tc>
          <w:tcPr>
            <w:tcW w:w="2279" w:type="dxa"/>
            <w:shd w:val="clear" w:color="auto" w:fill="D9E2F3"/>
          </w:tcPr>
          <w:p w14:paraId="3E1AB0B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防扩散管理</w:t>
            </w:r>
          </w:p>
        </w:tc>
        <w:tc>
          <w:tcPr>
            <w:tcW w:w="6137" w:type="dxa"/>
            <w:shd w:val="clear" w:color="auto" w:fill="D9E2F3"/>
          </w:tcPr>
          <w:p w14:paraId="0D982F3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电子文件添加静态或动态水印，含利用人员、利用IP、利用时间等信息</w:t>
            </w:r>
          </w:p>
        </w:tc>
      </w:tr>
      <w:tr w14:paraId="6ADA44E5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23" w:type="dxa"/>
          </w:tcPr>
          <w:p w14:paraId="737FC0C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12</w:t>
            </w:r>
          </w:p>
        </w:tc>
        <w:tc>
          <w:tcPr>
            <w:tcW w:w="2279" w:type="dxa"/>
          </w:tcPr>
          <w:p w14:paraId="6D47814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-SA"/>
              </w:rPr>
              <w:t>虚拟展厅及国家馆管理</w:t>
            </w:r>
          </w:p>
        </w:tc>
        <w:tc>
          <w:tcPr>
            <w:tcW w:w="6137" w:type="dxa"/>
          </w:tcPr>
          <w:p w14:paraId="78C20A0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展馆、区域、展位设置与管理，虚拟展示与真实数据一一对应</w:t>
            </w:r>
          </w:p>
        </w:tc>
      </w:tr>
      <w:tr w14:paraId="23F16DA0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23" w:type="dxa"/>
            <w:shd w:val="clear" w:color="auto" w:fill="D9E2F3"/>
          </w:tcPr>
          <w:p w14:paraId="45FAA23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13</w:t>
            </w:r>
          </w:p>
        </w:tc>
        <w:tc>
          <w:tcPr>
            <w:tcW w:w="2279" w:type="dxa"/>
            <w:shd w:val="clear" w:color="auto" w:fill="D9E2F3"/>
          </w:tcPr>
          <w:p w14:paraId="152B25E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权限设置</w:t>
            </w:r>
          </w:p>
        </w:tc>
        <w:tc>
          <w:tcPr>
            <w:tcW w:w="6137" w:type="dxa"/>
            <w:shd w:val="clear" w:color="auto" w:fill="D9E2F3"/>
          </w:tcPr>
          <w:p w14:paraId="354DF1F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功能权限、数据权限、检索权限、电子文件权限精细化管理</w:t>
            </w:r>
          </w:p>
        </w:tc>
      </w:tr>
      <w:tr w14:paraId="2A814483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23" w:type="dxa"/>
          </w:tcPr>
          <w:p w14:paraId="3CCA27B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14</w:t>
            </w:r>
          </w:p>
        </w:tc>
        <w:tc>
          <w:tcPr>
            <w:tcW w:w="2279" w:type="dxa"/>
          </w:tcPr>
          <w:p w14:paraId="59EA5F2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日志管理</w:t>
            </w:r>
          </w:p>
        </w:tc>
        <w:tc>
          <w:tcPr>
            <w:tcW w:w="6137" w:type="dxa"/>
          </w:tcPr>
          <w:p w14:paraId="7448CD5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登录日志、操作行为日志、安全管理日志、审计日志记录与精确筛查</w:t>
            </w:r>
          </w:p>
        </w:tc>
      </w:tr>
      <w:tr w14:paraId="76701A3A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23" w:type="dxa"/>
            <w:shd w:val="clear" w:color="auto" w:fill="D9E2F3"/>
          </w:tcPr>
          <w:p w14:paraId="4721BA7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15</w:t>
            </w:r>
          </w:p>
        </w:tc>
        <w:tc>
          <w:tcPr>
            <w:tcW w:w="2279" w:type="dxa"/>
            <w:shd w:val="clear" w:color="auto" w:fill="D9E2F3"/>
          </w:tcPr>
          <w:p w14:paraId="68D0274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企业目录著录</w:t>
            </w:r>
          </w:p>
        </w:tc>
        <w:tc>
          <w:tcPr>
            <w:tcW w:w="6137" w:type="dxa"/>
            <w:shd w:val="clear" w:color="auto" w:fill="D9E2F3"/>
          </w:tcPr>
          <w:p w14:paraId="13A7934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企业、产品、需求等信息数字化采集，支持手动录入与Excel批量导入</w:t>
            </w:r>
          </w:p>
        </w:tc>
      </w:tr>
      <w:tr w14:paraId="4724BA1C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23" w:type="dxa"/>
          </w:tcPr>
          <w:p w14:paraId="3C024CF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16</w:t>
            </w:r>
          </w:p>
        </w:tc>
        <w:tc>
          <w:tcPr>
            <w:tcW w:w="2279" w:type="dxa"/>
          </w:tcPr>
          <w:p w14:paraId="77DD84D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-SA"/>
              </w:rPr>
              <w:t>电子文件挂接与OCR</w:t>
            </w:r>
          </w:p>
        </w:tc>
        <w:tc>
          <w:tcPr>
            <w:tcW w:w="6137" w:type="dxa"/>
          </w:tcPr>
          <w:p w14:paraId="7F770CC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文件与目录一一对应挂接，OCR识别率≥90%，支持辅助修正</w:t>
            </w:r>
          </w:p>
        </w:tc>
      </w:tr>
      <w:tr w14:paraId="7228FC9F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23" w:type="dxa"/>
            <w:shd w:val="clear" w:color="auto" w:fill="D9E2F3"/>
          </w:tcPr>
          <w:p w14:paraId="7923201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17</w:t>
            </w:r>
          </w:p>
        </w:tc>
        <w:tc>
          <w:tcPr>
            <w:tcW w:w="2279" w:type="dxa"/>
            <w:shd w:val="clear" w:color="auto" w:fill="D9E2F3"/>
          </w:tcPr>
          <w:p w14:paraId="7D7D97D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供需匹配与撮合管理</w:t>
            </w:r>
          </w:p>
        </w:tc>
        <w:tc>
          <w:tcPr>
            <w:tcW w:w="6137" w:type="dxa"/>
            <w:shd w:val="clear" w:color="auto" w:fill="D9E2F3"/>
          </w:tcPr>
          <w:p w14:paraId="207CF6D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需求发布、智能匹配、询盘核验、白名单、线上洽谈、远程验厂、订单签订、留痕统计</w:t>
            </w:r>
          </w:p>
        </w:tc>
      </w:tr>
      <w:tr w14:paraId="2840857E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23" w:type="dxa"/>
          </w:tcPr>
          <w:p w14:paraId="0108439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18</w:t>
            </w:r>
          </w:p>
        </w:tc>
        <w:tc>
          <w:tcPr>
            <w:tcW w:w="2279" w:type="dxa"/>
          </w:tcPr>
          <w:p w14:paraId="0286A68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项目全周期管理</w:t>
            </w:r>
          </w:p>
        </w:tc>
        <w:tc>
          <w:tcPr>
            <w:tcW w:w="6137" w:type="dxa"/>
          </w:tcPr>
          <w:p w14:paraId="38B59D9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项目登记、节点管理、凭证存证、区块链留痕、成果展示、查询统计</w:t>
            </w:r>
          </w:p>
        </w:tc>
      </w:tr>
      <w:tr w14:paraId="7313EA12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823" w:type="dxa"/>
            <w:shd w:val="clear" w:color="auto" w:fill="D9E2F3"/>
          </w:tcPr>
          <w:p w14:paraId="0B3B34C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19</w:t>
            </w:r>
          </w:p>
        </w:tc>
        <w:tc>
          <w:tcPr>
            <w:tcW w:w="2279" w:type="dxa"/>
            <w:shd w:val="clear" w:color="auto" w:fill="D9E2F3"/>
          </w:tcPr>
          <w:p w14:paraId="7B29F85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外贸综合服务入口</w:t>
            </w:r>
          </w:p>
        </w:tc>
        <w:tc>
          <w:tcPr>
            <w:tcW w:w="6137" w:type="dxa"/>
            <w:shd w:val="clear" w:color="auto" w:fill="D9E2F3"/>
          </w:tcPr>
          <w:p w14:paraId="2853ED4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对接单一窗口，覆盖主流出口监管模式</w:t>
            </w:r>
          </w:p>
        </w:tc>
      </w:tr>
      <w:tr w14:paraId="1937C249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23" w:type="dxa"/>
          </w:tcPr>
          <w:p w14:paraId="06F7E06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20</w:t>
            </w:r>
          </w:p>
        </w:tc>
        <w:tc>
          <w:tcPr>
            <w:tcW w:w="2279" w:type="dxa"/>
          </w:tcPr>
          <w:p w14:paraId="6A623BC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跨境物流统筹服务</w:t>
            </w:r>
          </w:p>
        </w:tc>
        <w:tc>
          <w:tcPr>
            <w:tcW w:w="6137" w:type="dxa"/>
          </w:tcPr>
          <w:p w14:paraId="5622FE6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预留中欧班列仓位、国际公路专线、海外仓节点、末端配送跟踪接口</w:t>
            </w:r>
          </w:p>
        </w:tc>
      </w:tr>
      <w:tr w14:paraId="28BFE8D0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23" w:type="dxa"/>
            <w:shd w:val="clear" w:color="auto" w:fill="D9E2F3"/>
          </w:tcPr>
          <w:p w14:paraId="77A339D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21</w:t>
            </w:r>
          </w:p>
        </w:tc>
        <w:tc>
          <w:tcPr>
            <w:tcW w:w="2279" w:type="dxa"/>
            <w:shd w:val="clear" w:color="auto" w:fill="D9E2F3"/>
          </w:tcPr>
          <w:p w14:paraId="404B0A0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数字智能研判服务</w:t>
            </w:r>
          </w:p>
        </w:tc>
        <w:tc>
          <w:tcPr>
            <w:tcW w:w="6137" w:type="dxa"/>
            <w:shd w:val="clear" w:color="auto" w:fill="D9E2F3"/>
          </w:tcPr>
          <w:p w14:paraId="2653399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AI贸易管家、多语种咨询、政策测算、VR远程验厂、商机解读、风险预警</w:t>
            </w:r>
          </w:p>
        </w:tc>
      </w:tr>
      <w:tr w14:paraId="04BDD4FF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23" w:type="dxa"/>
          </w:tcPr>
          <w:p w14:paraId="3A5054C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22</w:t>
            </w:r>
          </w:p>
        </w:tc>
        <w:tc>
          <w:tcPr>
            <w:tcW w:w="2279" w:type="dxa"/>
          </w:tcPr>
          <w:p w14:paraId="6DD8555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跨境供应链金融服务</w:t>
            </w:r>
          </w:p>
        </w:tc>
        <w:tc>
          <w:tcPr>
            <w:tcW w:w="6137" w:type="dxa"/>
          </w:tcPr>
          <w:p w14:paraId="3BCC1B9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预留信用贷款、存货质押、跨境信用证、汇率避险接口</w:t>
            </w:r>
          </w:p>
        </w:tc>
      </w:tr>
      <w:tr w14:paraId="1CA4D3D6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23" w:type="dxa"/>
            <w:shd w:val="clear" w:color="auto" w:fill="D9E2F3"/>
          </w:tcPr>
          <w:p w14:paraId="649D52F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23</w:t>
            </w:r>
          </w:p>
        </w:tc>
        <w:tc>
          <w:tcPr>
            <w:tcW w:w="2279" w:type="dxa"/>
            <w:shd w:val="clear" w:color="auto" w:fill="D9E2F3"/>
          </w:tcPr>
          <w:p w14:paraId="3A6E8EB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数据驾驶舱</w:t>
            </w:r>
          </w:p>
        </w:tc>
        <w:tc>
          <w:tcPr>
            <w:tcW w:w="6137" w:type="dxa"/>
            <w:shd w:val="clear" w:color="auto" w:fill="D9E2F3"/>
          </w:tcPr>
          <w:p w14:paraId="4AF1ACD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综合全景总览、趋势研判、国别穿透查询、市场风险预警可视化</w:t>
            </w:r>
          </w:p>
        </w:tc>
      </w:tr>
      <w:tr w14:paraId="285CFD59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823" w:type="dxa"/>
          </w:tcPr>
          <w:p w14:paraId="1011362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24</w:t>
            </w:r>
          </w:p>
        </w:tc>
        <w:tc>
          <w:tcPr>
            <w:tcW w:w="2279" w:type="dxa"/>
          </w:tcPr>
          <w:p w14:paraId="5BDFF08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统计功能</w:t>
            </w:r>
          </w:p>
        </w:tc>
        <w:tc>
          <w:tcPr>
            <w:tcW w:w="6137" w:type="dxa"/>
          </w:tcPr>
          <w:p w14:paraId="46DFB52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按国别、行业、企业、产品、时间、项目等条件多维统计</w:t>
            </w:r>
          </w:p>
        </w:tc>
      </w:tr>
      <w:tr w14:paraId="486EFAAC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823" w:type="dxa"/>
            <w:shd w:val="clear" w:color="auto" w:fill="D9E2F3"/>
          </w:tcPr>
          <w:p w14:paraId="5B4EFD1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25</w:t>
            </w:r>
          </w:p>
        </w:tc>
        <w:tc>
          <w:tcPr>
            <w:tcW w:w="2279" w:type="dxa"/>
            <w:shd w:val="clear" w:color="auto" w:fill="D9E2F3"/>
          </w:tcPr>
          <w:p w14:paraId="7075B20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利用统计</w:t>
            </w:r>
          </w:p>
        </w:tc>
        <w:tc>
          <w:tcPr>
            <w:tcW w:w="6137" w:type="dxa"/>
            <w:shd w:val="clear" w:color="auto" w:fill="D9E2F3"/>
          </w:tcPr>
          <w:p w14:paraId="1F5276C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检索、浏览、打印、下载、对接、成交等行为统计</w:t>
            </w:r>
          </w:p>
        </w:tc>
      </w:tr>
      <w:tr w14:paraId="4E2D5FCB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23" w:type="dxa"/>
          </w:tcPr>
          <w:p w14:paraId="2B10470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26</w:t>
            </w:r>
          </w:p>
        </w:tc>
        <w:tc>
          <w:tcPr>
            <w:tcW w:w="2279" w:type="dxa"/>
          </w:tcPr>
          <w:p w14:paraId="06AC56D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移动端及小程序</w:t>
            </w:r>
          </w:p>
        </w:tc>
        <w:tc>
          <w:tcPr>
            <w:tcW w:w="6137" w:type="dxa"/>
          </w:tcPr>
          <w:p w14:paraId="070E963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企业入驻、需求发布、信息查询、消息提醒、撮合对接移动化操作</w:t>
            </w:r>
          </w:p>
        </w:tc>
      </w:tr>
      <w:tr w14:paraId="013C177B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823" w:type="dxa"/>
            <w:shd w:val="clear" w:color="auto" w:fill="D9E2F3"/>
          </w:tcPr>
          <w:p w14:paraId="5D417D2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27</w:t>
            </w:r>
          </w:p>
        </w:tc>
        <w:tc>
          <w:tcPr>
            <w:tcW w:w="2279" w:type="dxa"/>
            <w:shd w:val="clear" w:color="auto" w:fill="D9E2F3"/>
          </w:tcPr>
          <w:p w14:paraId="3677A47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接口管理</w:t>
            </w:r>
          </w:p>
        </w:tc>
        <w:tc>
          <w:tcPr>
            <w:tcW w:w="6137" w:type="dxa"/>
            <w:shd w:val="clear" w:color="auto" w:fill="D9E2F3"/>
          </w:tcPr>
          <w:p w14:paraId="203B601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接口注册、授权、白名单、调用日志、监控告警</w:t>
            </w:r>
          </w:p>
        </w:tc>
      </w:tr>
      <w:tr w14:paraId="68C6CD88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823" w:type="dxa"/>
          </w:tcPr>
          <w:p w14:paraId="03DD6B6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28</w:t>
            </w:r>
          </w:p>
        </w:tc>
        <w:tc>
          <w:tcPr>
            <w:tcW w:w="2279" w:type="dxa"/>
          </w:tcPr>
          <w:p w14:paraId="6105C97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备份恢复</w:t>
            </w:r>
          </w:p>
        </w:tc>
        <w:tc>
          <w:tcPr>
            <w:tcW w:w="6137" w:type="dxa"/>
          </w:tcPr>
          <w:p w14:paraId="2A884CA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定期全量备份、增量备份、恢复演练、容灾管理</w:t>
            </w:r>
          </w:p>
        </w:tc>
      </w:tr>
      <w:tr w14:paraId="79778C1A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23" w:type="dxa"/>
            <w:shd w:val="clear" w:color="auto" w:fill="D9E2F3"/>
          </w:tcPr>
          <w:p w14:paraId="15B06A3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29</w:t>
            </w:r>
          </w:p>
        </w:tc>
        <w:tc>
          <w:tcPr>
            <w:tcW w:w="2279" w:type="dxa"/>
            <w:shd w:val="clear" w:color="auto" w:fill="D9E2F3"/>
          </w:tcPr>
          <w:p w14:paraId="74BB99C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数据活化更新</w:t>
            </w:r>
          </w:p>
        </w:tc>
        <w:tc>
          <w:tcPr>
            <w:tcW w:w="6137" w:type="dxa"/>
            <w:shd w:val="clear" w:color="auto" w:fill="D9E2F3"/>
          </w:tcPr>
          <w:p w14:paraId="1B83625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企业自主更新、活动对接、供需发布、项目跟踪自动沉淀动态数据</w:t>
            </w:r>
          </w:p>
        </w:tc>
      </w:tr>
      <w:tr w14:paraId="1A49084B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823" w:type="dxa"/>
          </w:tcPr>
          <w:p w14:paraId="5D05A5F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30</w:t>
            </w:r>
          </w:p>
        </w:tc>
        <w:tc>
          <w:tcPr>
            <w:tcW w:w="2279" w:type="dxa"/>
          </w:tcPr>
          <w:p w14:paraId="768F028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数据治理与合规</w:t>
            </w:r>
          </w:p>
        </w:tc>
        <w:tc>
          <w:tcPr>
            <w:tcW w:w="6137" w:type="dxa"/>
          </w:tcPr>
          <w:p w14:paraId="0735BB6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物理归集、逻辑隔离、脱敏处理、分类分级、跨境合规技术支撑</w:t>
            </w:r>
          </w:p>
        </w:tc>
      </w:tr>
    </w:tbl>
    <w:p w14:paraId="1F557915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23" w:name="_Toc242798671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3.6 外部系统对接要求</w:t>
      </w:r>
      <w:bookmarkEnd w:id="23"/>
    </w:p>
    <w:p w14:paraId="61252DB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平台须具备与以下系统的对接能力，具体对接范围及深度在项目实施阶段由采购人确认：</w:t>
      </w:r>
    </w:p>
    <w:p w14:paraId="631B243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政务系统：贸企通、贸法通、陕企通、陕西国际贸易单一窗口、省大数据局相关系统； </w:t>
      </w:r>
    </w:p>
    <w:p w14:paraId="0825C87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金融服务：银行系统、跨境结算平台、供应链金融机构； </w:t>
      </w:r>
    </w:p>
    <w:p w14:paraId="1ACB6A0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物流服务：中欧班列运营平台、国际货代系统、海外仓管理系统； </w:t>
      </w:r>
    </w:p>
    <w:p w14:paraId="300AFE5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监管服务：海关、税务、出口信用保险； </w:t>
      </w:r>
    </w:p>
    <w:p w14:paraId="10427EB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专业服务：律师事务所、知识产权机构、认证机构。</w:t>
      </w:r>
    </w:p>
    <w:p w14:paraId="07B19BD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对接方式支持API接口调用、数据交换、单点登录等，提供接口注册、授权管理、白名单控制、调用日志与监控功能。</w:t>
      </w:r>
    </w:p>
    <w:p w14:paraId="237866B6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24" w:name="_Toc242798672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3.7 系统角色与权限</w:t>
      </w:r>
      <w:bookmarkEnd w:id="24"/>
    </w:p>
    <w:p w14:paraId="72F3156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默认角色：系统须预置不少于11类角色：平台管理员、系统管理员、安全（保密）管理员、安全审计员、数据管理员、贸促业务管理员、文献/资料管理员、企业用户、中亚采购商用户、第三方服务机构用户、政府监管及决策用户。</w:t>
      </w:r>
    </w:p>
    <w:p w14:paraId="689DB25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权限管理要求：</w:t>
      </w:r>
    </w:p>
    <w:p w14:paraId="296E972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支持自定义角色及角色权限配置；</w:t>
      </w:r>
    </w:p>
    <w:p w14:paraId="3541DAE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支持按陕西省贸促会、市县贸促系统、商协会、企业、境外采购商、第三方服务机构等组织层级配置权限；</w:t>
      </w:r>
    </w:p>
    <w:p w14:paraId="195B69F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实现功能权限、数据权限、检索权限、电子文件权限、操作权限的精细化管理；</w:t>
      </w:r>
    </w:p>
    <w:p w14:paraId="3044961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支持三员分立（系统管理员、安全管理员、安全审计员）的基本要求。</w:t>
      </w:r>
    </w:p>
    <w:p w14:paraId="760AF84D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25" w:name="_Toc242798673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3.8 性能与扩展性要求</w:t>
      </w:r>
      <w:bookmarkEnd w:id="25"/>
    </w:p>
    <w:p w14:paraId="41B834D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（1）支持全省贸促系统、企业、境外采购商及第三方服务机构多角色并发使用，具备良好的响应速度与稳定性；</w:t>
      </w:r>
    </w:p>
    <w:p w14:paraId="50A953A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（2）数据库具备高可用性，故障或停机情况下保障数据可恢复、服务可延续；</w:t>
      </w:r>
    </w:p>
    <w:p w14:paraId="5969603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（3）支持负载增加时通过横向扩展满足业务增长需求； </w:t>
      </w:r>
    </w:p>
    <w:p w14:paraId="0923C60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（4）支持国别扩展、语种扩展、接口扩展、业务流程扩展，满足中亚五国及"一带一路"沿线国家后续拓展需要；</w:t>
      </w:r>
    </w:p>
    <w:p w14:paraId="2630661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（5）系统模块化部署，后续功能迭代不推倒重来、不重复开发。</w:t>
      </w:r>
    </w:p>
    <w:p w14:paraId="085F65DE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jc w:val="center"/>
        <w:textAlignment w:val="auto"/>
        <w:outlineLvl w:val="1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26" w:name="_Toc316884015"/>
      <w:bookmarkStart w:id="27" w:name="_Toc65615966"/>
      <w:bookmarkStart w:id="28" w:name="_Toc242798674"/>
      <w:bookmarkStart w:id="29" w:name="_Toc393746378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第四节　合规与安全要求</w:t>
      </w:r>
      <w:bookmarkEnd w:id="26"/>
      <w:bookmarkEnd w:id="27"/>
      <w:bookmarkEnd w:id="28"/>
      <w:bookmarkEnd w:id="29"/>
    </w:p>
    <w:p w14:paraId="1A25B708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30" w:name="_Toc242798675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4.1 法律法规与标准规范依据</w:t>
      </w:r>
      <w:bookmarkEnd w:id="30"/>
    </w:p>
    <w:p w14:paraId="0F01086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平台设计、开发、部署、安全、数据治理和运维须符合以下现行有效规定：</w:t>
      </w:r>
    </w:p>
    <w:p w14:paraId="0B1F84D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《中华人民共和国网络安全法》；</w:t>
      </w:r>
    </w:p>
    <w:p w14:paraId="6EA2925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《中华人民共和国数据安全法》；</w:t>
      </w:r>
    </w:p>
    <w:p w14:paraId="5FDD4C8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《中华人民共和国个人信息保护法》；</w:t>
      </w:r>
    </w:p>
    <w:p w14:paraId="0BA478E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《中华人民共和国电子商务法》；</w:t>
      </w:r>
    </w:p>
    <w:p w14:paraId="18FD7ED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《数据出境安全评估办法》；</w:t>
      </w:r>
    </w:p>
    <w:p w14:paraId="444D112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《促进和规范数据跨境流动规定》；</w:t>
      </w:r>
    </w:p>
    <w:p w14:paraId="496B75B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GB/T 22239-2019《信息安全技术 网络安全等级保护基本要求》；</w:t>
      </w:r>
    </w:p>
    <w:p w14:paraId="0A0F6A5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GB/T 25070-2019《信息安全技术 网络安全等级保护安全设计技术要求》；</w:t>
      </w:r>
    </w:p>
    <w:p w14:paraId="1D1065C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GB/T 28448-2019《信息安全技术 网络安全等级保护测评要求》；</w:t>
      </w:r>
    </w:p>
    <w:p w14:paraId="5BF7672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GB/T 39786-2021《信息安全技术 信息系统密码应用基本要求》；</w:t>
      </w:r>
    </w:p>
    <w:p w14:paraId="7AD80E5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GB/T 35273-2020《信息安全技术 个人信息安全规范》；</w:t>
      </w:r>
    </w:p>
    <w:p w14:paraId="0F810B3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GB/T 36344-2018《信息技术 数据质量评价指标》；</w:t>
      </w:r>
    </w:p>
    <w:p w14:paraId="04B3F1A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GB/T 38672-2020《信息技术 大数据 接口基本要求》；</w:t>
      </w:r>
    </w:p>
    <w:p w14:paraId="7251786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GB/T 38667-2020《信息技术 大数据 数据分类指南》；</w:t>
      </w:r>
    </w:p>
    <w:p w14:paraId="069C538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国家及陕西省关于数字政府、政务数据、跨境数据流动、外经贸服务的其他现行有效规定。</w:t>
      </w:r>
    </w:p>
    <w:p w14:paraId="17E656F9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31" w:name="_Toc242798676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4.2 网络安全等级保护</w:t>
      </w:r>
      <w:bookmarkEnd w:id="31"/>
    </w:p>
    <w:p w14:paraId="1C587FF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（1）平台建设须按网络安全等级保护第三级要求设计和实施； </w:t>
      </w:r>
    </w:p>
    <w:p w14:paraId="168918C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（2）投标人须配合采购人完成定级备案、安全测评、差距整改及复测支撑工作，最终等保结论以公安机关备案及具备资质的测评机构出具报告为准。</w:t>
      </w:r>
    </w:p>
    <w:p w14:paraId="06EF0D87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32" w:name="_Toc242798677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4.3 商用密码应用</w:t>
      </w:r>
      <w:bookmarkEnd w:id="32"/>
    </w:p>
    <w:p w14:paraId="232E63A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（1）平台须按照GB/T 39786-2021要求设计密码应用方案，涵盖身份鉴别、访问控制、数据传输加密、存储加密、完整性保护、抗抵赖等密码应用场景； </w:t>
      </w:r>
    </w:p>
    <w:p w14:paraId="6A8D766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（2）投标人须配合采购人完成商用密码应用安全性评估相关工作。</w:t>
      </w:r>
    </w:p>
    <w:p w14:paraId="6F69AFDE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33" w:name="_Toc242798678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4.4 数据安全与跨境合规</w:t>
      </w:r>
      <w:bookmarkEnd w:id="33"/>
    </w:p>
    <w:p w14:paraId="1F4C3DF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（1）全量原始经贸数据统一归集至采购人指定政务云平台，实行集中脱敏治理； </w:t>
      </w:r>
    </w:p>
    <w:p w14:paraId="15E3D8C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（2）核心经贸数据加密存储，敏感个人信息脱敏处理，严格限制访问权限； </w:t>
      </w:r>
    </w:p>
    <w:p w14:paraId="5A558A0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（3）数据出境须依法依规履行安全评估、标准合同备案或认证程序，由采购人作为数据处理者按法定程序申报，平台提供技术支撑与配合； </w:t>
      </w:r>
    </w:p>
    <w:p w14:paraId="69DD324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（4）平台自身不擅自向境外传输原始经贸数据。</w:t>
      </w:r>
    </w:p>
    <w:p w14:paraId="68ADA7A5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34" w:name="_Toc242798679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4.5 部署环境</w:t>
      </w:r>
      <w:bookmarkEnd w:id="34"/>
    </w:p>
    <w:p w14:paraId="05D66A4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（1）系统部署于采购人指定的政务云或政务网络环境内； </w:t>
      </w:r>
    </w:p>
    <w:p w14:paraId="3B963DC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（2）云资源、基础硬件由采购人提供，投标人负责系统部署、适配及调优； </w:t>
      </w:r>
    </w:p>
    <w:p w14:paraId="4791FCD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（3）系统须满足指定环境下的等级保护、密码应用和数据安全边界要求。</w:t>
      </w:r>
    </w:p>
    <w:p w14:paraId="52555017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jc w:val="center"/>
        <w:textAlignment w:val="auto"/>
        <w:outlineLvl w:val="1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35" w:name="_Toc1148429651"/>
      <w:bookmarkStart w:id="36" w:name="_Toc1298258639"/>
      <w:bookmarkStart w:id="37" w:name="_Toc242798680"/>
      <w:bookmarkStart w:id="38" w:name="_Toc110195545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第五节　商务要求</w:t>
      </w:r>
      <w:bookmarkEnd w:id="35"/>
      <w:bookmarkEnd w:id="36"/>
      <w:bookmarkEnd w:id="37"/>
      <w:bookmarkEnd w:id="38"/>
    </w:p>
    <w:p w14:paraId="26C42DA5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39" w:name="_Toc242798681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5.1 交付时间节点</w:t>
      </w:r>
      <w:bookmarkEnd w:id="39"/>
    </w:p>
    <w:tbl>
      <w:tblPr>
        <w:tblStyle w:val="5"/>
        <w:tblW w:w="9859" w:type="dxa"/>
        <w:tblInd w:w="0" w:type="dxa"/>
        <w:tblBorders>
          <w:top w:val="single" w:color="8EAADB" w:sz="4" w:space="0"/>
          <w:left w:val="single" w:color="8EAADB" w:sz="4" w:space="0"/>
          <w:bottom w:val="single" w:color="8EAADB" w:sz="4" w:space="0"/>
          <w:right w:val="single" w:color="8EAADB" w:sz="4" w:space="0"/>
          <w:insideH w:val="single" w:color="8EAADB" w:sz="4" w:space="0"/>
          <w:insideV w:val="single" w:color="8EAADB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4"/>
        <w:gridCol w:w="2299"/>
        <w:gridCol w:w="5546"/>
      </w:tblGrid>
      <w:tr w14:paraId="25F08AC4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</w:trPr>
        <w:tc>
          <w:tcPr>
            <w:tcW w:w="2014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nil"/>
              <w:insideH w:val="single" w:sz="4" w:space="0"/>
              <w:insideV w:val="nil"/>
            </w:tcBorders>
            <w:shd w:val="clear" w:color="auto" w:fill="4472C4"/>
          </w:tcPr>
          <w:p w14:paraId="1F5A82A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t>里程碑</w:t>
            </w:r>
          </w:p>
        </w:tc>
        <w:tc>
          <w:tcPr>
            <w:tcW w:w="2299" w:type="dxa"/>
            <w:tcBorders>
              <w:top w:val="single" w:color="4472C4" w:sz="4" w:space="0"/>
              <w:bottom w:val="single" w:color="4472C4" w:sz="4" w:space="0"/>
              <w:right w:val="nil"/>
              <w:insideH w:val="single" w:sz="4" w:space="0"/>
              <w:insideV w:val="nil"/>
            </w:tcBorders>
            <w:shd w:val="clear" w:color="auto" w:fill="4472C4"/>
          </w:tcPr>
          <w:p w14:paraId="5058722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t>完成时限</w:t>
            </w:r>
          </w:p>
        </w:tc>
        <w:tc>
          <w:tcPr>
            <w:tcW w:w="5546" w:type="dxa"/>
            <w:tcBorders>
              <w:top w:val="single" w:color="4472C4" w:sz="4" w:space="0"/>
              <w:bottom w:val="single" w:color="4472C4" w:sz="4" w:space="0"/>
              <w:right w:val="single" w:color="4472C4" w:sz="4" w:space="0"/>
              <w:insideH w:val="single" w:sz="4" w:space="0"/>
              <w:insideV w:val="nil"/>
            </w:tcBorders>
            <w:shd w:val="clear" w:color="auto" w:fill="4472C4"/>
          </w:tcPr>
          <w:p w14:paraId="08C02CB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t>交付内容</w:t>
            </w:r>
          </w:p>
        </w:tc>
      </w:tr>
      <w:tr w14:paraId="288E318A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1" w:hRule="atLeast"/>
        </w:trPr>
        <w:tc>
          <w:tcPr>
            <w:tcW w:w="2014" w:type="dxa"/>
            <w:shd w:val="clear" w:color="auto" w:fill="D9E2F3"/>
          </w:tcPr>
          <w:p w14:paraId="6C81A12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-SA"/>
              </w:rPr>
              <w:t>首期基础底座上线试运行</w:t>
            </w:r>
          </w:p>
        </w:tc>
        <w:tc>
          <w:tcPr>
            <w:tcW w:w="2299" w:type="dxa"/>
            <w:shd w:val="clear" w:color="auto" w:fill="D9E2F3"/>
          </w:tcPr>
          <w:p w14:paraId="3FB2020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合同正式签订之日起1.5个月内</w:t>
            </w:r>
          </w:p>
        </w:tc>
        <w:tc>
          <w:tcPr>
            <w:tcW w:w="5546" w:type="dxa"/>
            <w:shd w:val="clear" w:color="auto" w:fill="D9E2F3"/>
          </w:tcPr>
          <w:p w14:paraId="3BE37B6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中国—中亚企业合作数据库上线；"三库一清单"基础数据归集；基础供需撮合功能；基础政策查询；基础商事服务入口；基础数据驾驶舱</w:t>
            </w:r>
          </w:p>
        </w:tc>
      </w:tr>
      <w:tr w14:paraId="475D63D5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</w:trPr>
        <w:tc>
          <w:tcPr>
            <w:tcW w:w="2014" w:type="dxa"/>
          </w:tcPr>
          <w:p w14:paraId="174D59E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全部建设内容交付</w:t>
            </w:r>
          </w:p>
        </w:tc>
        <w:tc>
          <w:tcPr>
            <w:tcW w:w="2299" w:type="dxa"/>
          </w:tcPr>
          <w:p w14:paraId="2AD0990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合同正式签订之日起2个月内</w:t>
            </w:r>
          </w:p>
        </w:tc>
        <w:tc>
          <w:tcPr>
            <w:tcW w:w="5546" w:type="dxa"/>
          </w:tcPr>
          <w:p w14:paraId="2676CE9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全量功能模块上线；全部外部接口对接联调完成；数据治理完成；培训完成；具备竣工验收条件</w:t>
            </w:r>
          </w:p>
        </w:tc>
      </w:tr>
    </w:tbl>
    <w:p w14:paraId="067C3399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en-US" w:bidi="ar-SA"/>
        </w:rPr>
      </w:pPr>
      <w:bookmarkStart w:id="40" w:name="_Toc242798682"/>
      <w:r>
        <w:rPr>
          <w:rFonts w:hint="eastAsia" w:ascii="仿宋" w:hAnsi="仿宋" w:eastAsia="仿宋" w:cs="仿宋"/>
          <w:b/>
          <w:sz w:val="24"/>
          <w:szCs w:val="24"/>
          <w:lang w:val="en-US" w:eastAsia="en-US" w:bidi="ar-SA"/>
        </w:rPr>
        <w:t>5.2 实施要求</w:t>
      </w:r>
      <w:bookmarkEnd w:id="40"/>
    </w:p>
    <w:tbl>
      <w:tblPr>
        <w:tblStyle w:val="5"/>
        <w:tblW w:w="9339" w:type="dxa"/>
        <w:tblInd w:w="0" w:type="dxa"/>
        <w:tblBorders>
          <w:top w:val="single" w:color="8EAADB" w:sz="4" w:space="0"/>
          <w:left w:val="single" w:color="8EAADB" w:sz="4" w:space="0"/>
          <w:bottom w:val="single" w:color="8EAADB" w:sz="4" w:space="0"/>
          <w:right w:val="single" w:color="8EAADB" w:sz="4" w:space="0"/>
          <w:insideH w:val="single" w:color="8EAADB" w:sz="4" w:space="0"/>
          <w:insideV w:val="single" w:color="8EAADB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0"/>
        <w:gridCol w:w="7569"/>
      </w:tblGrid>
      <w:tr w14:paraId="48EACA72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770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nil"/>
              <w:insideH w:val="single" w:sz="4" w:space="0"/>
              <w:insideV w:val="nil"/>
            </w:tcBorders>
            <w:shd w:val="clear" w:color="auto" w:fill="4472C4"/>
          </w:tcPr>
          <w:p w14:paraId="4136859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t>阶段</w:t>
            </w:r>
          </w:p>
        </w:tc>
        <w:tc>
          <w:tcPr>
            <w:tcW w:w="7569" w:type="dxa"/>
            <w:tcBorders>
              <w:top w:val="single" w:color="4472C4" w:sz="4" w:space="0"/>
              <w:bottom w:val="single" w:color="4472C4" w:sz="4" w:space="0"/>
              <w:right w:val="single" w:color="4472C4" w:sz="4" w:space="0"/>
              <w:insideH w:val="single" w:sz="4" w:space="0"/>
              <w:insideV w:val="nil"/>
            </w:tcBorders>
            <w:shd w:val="clear" w:color="auto" w:fill="4472C4"/>
          </w:tcPr>
          <w:p w14:paraId="02C9171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t>具体要求</w:t>
            </w:r>
          </w:p>
        </w:tc>
      </w:tr>
      <w:tr w14:paraId="04B294E3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770" w:type="dxa"/>
            <w:shd w:val="clear" w:color="auto" w:fill="D9E2F3"/>
          </w:tcPr>
          <w:p w14:paraId="0B7DA31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项目计划</w:t>
            </w:r>
          </w:p>
        </w:tc>
        <w:tc>
          <w:tcPr>
            <w:tcW w:w="7569" w:type="dxa"/>
            <w:shd w:val="clear" w:color="auto" w:fill="D9E2F3"/>
          </w:tcPr>
          <w:p w14:paraId="0B365B2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制定详细实施计划，明确时间节点、任务分工、进度控制措施，编制风险识别与应对预案</w:t>
            </w:r>
          </w:p>
        </w:tc>
      </w:tr>
      <w:tr w14:paraId="60B444C0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770" w:type="dxa"/>
          </w:tcPr>
          <w:p w14:paraId="7C1AD53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环境部署</w:t>
            </w:r>
          </w:p>
        </w:tc>
        <w:tc>
          <w:tcPr>
            <w:tcW w:w="7569" w:type="dxa"/>
          </w:tcPr>
          <w:p w14:paraId="3DE772A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在采购人指定环境中完成系统安装部署、适配及基础配置调优</w:t>
            </w:r>
          </w:p>
        </w:tc>
      </w:tr>
      <w:tr w14:paraId="4FA39BA9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770" w:type="dxa"/>
            <w:shd w:val="clear" w:color="auto" w:fill="D9E2F3"/>
          </w:tcPr>
          <w:p w14:paraId="49C0F43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技术实施</w:t>
            </w:r>
          </w:p>
        </w:tc>
        <w:tc>
          <w:tcPr>
            <w:tcW w:w="7569" w:type="dxa"/>
            <w:shd w:val="clear" w:color="auto" w:fill="D9E2F3"/>
          </w:tcPr>
          <w:p w14:paraId="689865E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完成业务定制、系统参数设置、历史数据迁移、外部接口对接联调、数据治理、安全加固</w:t>
            </w:r>
          </w:p>
        </w:tc>
      </w:tr>
      <w:tr w14:paraId="07F77ACB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770" w:type="dxa"/>
          </w:tcPr>
          <w:p w14:paraId="508A23D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系统测试</w:t>
            </w:r>
          </w:p>
        </w:tc>
        <w:tc>
          <w:tcPr>
            <w:tcW w:w="7569" w:type="dxa"/>
          </w:tcPr>
          <w:p w14:paraId="607F85D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执行集成测试、性能测试、安全测试，出具测试报告，根据测试结果完成系统调优</w:t>
            </w:r>
          </w:p>
        </w:tc>
      </w:tr>
      <w:tr w14:paraId="1B383E75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770" w:type="dxa"/>
            <w:shd w:val="clear" w:color="auto" w:fill="D9E2F3"/>
          </w:tcPr>
          <w:p w14:paraId="4C32BB2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培训交付</w:t>
            </w:r>
          </w:p>
        </w:tc>
        <w:tc>
          <w:tcPr>
            <w:tcW w:w="7569" w:type="dxa"/>
            <w:shd w:val="clear" w:color="auto" w:fill="D9E2F3"/>
          </w:tcPr>
          <w:p w14:paraId="3E064F8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对贸促业务人员、数据管理人员、系统运维人员进行操作培训与维护培训，直至熟练使用</w:t>
            </w:r>
          </w:p>
        </w:tc>
      </w:tr>
    </w:tbl>
    <w:p w14:paraId="743A318E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41" w:name="_Toc242798683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5.3 交付成果</w:t>
      </w:r>
      <w:bookmarkEnd w:id="41"/>
    </w:p>
    <w:p w14:paraId="6DF9FD3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投标人须交付以下成果，所有文档语言为中文，采用国际单位制：</w:t>
      </w:r>
    </w:p>
    <w:p w14:paraId="22B9967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软件系统文档：概要设计说明书、详细设计说明书、数据库设计说明书、接口设计说明书；操作手册、用户手册、系统部署手册、系统运维手册。</w:t>
      </w:r>
    </w:p>
    <w:p w14:paraId="78AC3BF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项目管理文档：项目计划、实施方案、施工报告、施工日志及相关批准文件。</w:t>
      </w:r>
    </w:p>
    <w:p w14:paraId="0B35842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数据相关文档：数据字典、数据治理规则说明、接口文档、安全配置说明。</w:t>
      </w:r>
    </w:p>
    <w:p w14:paraId="6E3A0A1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合规与培训材料：等保测评配合材料、商用密码应用安全性评估配合材料、培训教材及考核记录。</w:t>
      </w:r>
    </w:p>
    <w:p w14:paraId="0DC5AEA5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42" w:name="_Toc242798684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5.4 培训要求</w:t>
      </w:r>
      <w:bookmarkEnd w:id="42"/>
    </w:p>
    <w:p w14:paraId="2D07351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（1）提供不限次数的操作与维护培训，直至采购人相关人员能够熟练使用和维护系统；</w:t>
      </w:r>
    </w:p>
    <w:p w14:paraId="3449B14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（2）培训方式包括线上与线下，其中线下集中培训不少于2次； </w:t>
      </w:r>
    </w:p>
    <w:p w14:paraId="0B9EDA0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（3）提供详细的培训计划与培训大纲。</w:t>
      </w:r>
    </w:p>
    <w:p w14:paraId="400579C8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en-US" w:bidi="ar-SA"/>
        </w:rPr>
      </w:pPr>
      <w:bookmarkStart w:id="43" w:name="_Toc242798685"/>
      <w:r>
        <w:rPr>
          <w:rFonts w:hint="eastAsia" w:ascii="仿宋" w:hAnsi="仿宋" w:eastAsia="仿宋" w:cs="仿宋"/>
          <w:b/>
          <w:sz w:val="24"/>
          <w:szCs w:val="24"/>
          <w:lang w:val="en-US" w:eastAsia="en-US" w:bidi="ar-SA"/>
        </w:rPr>
        <w:t>5.5 质保与售后服务</w:t>
      </w:r>
      <w:bookmarkEnd w:id="43"/>
    </w:p>
    <w:tbl>
      <w:tblPr>
        <w:tblStyle w:val="5"/>
        <w:tblW w:w="9459" w:type="dxa"/>
        <w:tblInd w:w="0" w:type="dxa"/>
        <w:tblBorders>
          <w:top w:val="single" w:color="8EAADB" w:sz="4" w:space="0"/>
          <w:left w:val="single" w:color="8EAADB" w:sz="4" w:space="0"/>
          <w:bottom w:val="single" w:color="8EAADB" w:sz="4" w:space="0"/>
          <w:right w:val="single" w:color="8EAADB" w:sz="4" w:space="0"/>
          <w:insideH w:val="single" w:color="8EAADB" w:sz="4" w:space="0"/>
          <w:insideV w:val="single" w:color="8EAADB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4"/>
        <w:gridCol w:w="7925"/>
      </w:tblGrid>
      <w:tr w14:paraId="25D8B3B6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1534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nil"/>
              <w:insideH w:val="single" w:sz="4" w:space="0"/>
              <w:insideV w:val="nil"/>
            </w:tcBorders>
            <w:shd w:val="clear" w:color="auto" w:fill="4472C4"/>
          </w:tcPr>
          <w:p w14:paraId="0B68901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t>项目</w:t>
            </w:r>
          </w:p>
        </w:tc>
        <w:tc>
          <w:tcPr>
            <w:tcW w:w="7925" w:type="dxa"/>
            <w:tcBorders>
              <w:top w:val="single" w:color="4472C4" w:sz="4" w:space="0"/>
              <w:bottom w:val="single" w:color="4472C4" w:sz="4" w:space="0"/>
              <w:right w:val="single" w:color="4472C4" w:sz="4" w:space="0"/>
              <w:insideH w:val="single" w:sz="4" w:space="0"/>
              <w:insideV w:val="nil"/>
            </w:tcBorders>
            <w:shd w:val="clear" w:color="auto" w:fill="4472C4"/>
          </w:tcPr>
          <w:p w14:paraId="5645AEA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t>具体要求</w:t>
            </w:r>
          </w:p>
        </w:tc>
      </w:tr>
      <w:tr w14:paraId="0F3D3D9C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1534" w:type="dxa"/>
            <w:shd w:val="clear" w:color="auto" w:fill="D9E2F3"/>
          </w:tcPr>
          <w:p w14:paraId="4D343A3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质保期限</w:t>
            </w:r>
          </w:p>
        </w:tc>
        <w:tc>
          <w:tcPr>
            <w:tcW w:w="7925" w:type="dxa"/>
            <w:shd w:val="clear" w:color="auto" w:fill="D9E2F3"/>
          </w:tcPr>
          <w:p w14:paraId="6E6E458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自双方签署项目竣工验收单之日起1年</w:t>
            </w:r>
          </w:p>
        </w:tc>
      </w:tr>
      <w:tr w14:paraId="2AF8E180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1534" w:type="dxa"/>
          </w:tcPr>
          <w:p w14:paraId="41B52A1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服务方式</w:t>
            </w:r>
          </w:p>
        </w:tc>
        <w:tc>
          <w:tcPr>
            <w:tcW w:w="7925" w:type="dxa"/>
          </w:tcPr>
          <w:p w14:paraId="268C274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社交媒体沟通指导、电话沟通指导、网络远程指导、现场服务</w:t>
            </w:r>
          </w:p>
        </w:tc>
      </w:tr>
      <w:tr w14:paraId="174432D1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1534" w:type="dxa"/>
            <w:shd w:val="clear" w:color="auto" w:fill="D9E2F3"/>
          </w:tcPr>
          <w:p w14:paraId="56BE7B0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远程响应</w:t>
            </w:r>
          </w:p>
        </w:tc>
        <w:tc>
          <w:tcPr>
            <w:tcW w:w="7925" w:type="dxa"/>
            <w:shd w:val="clear" w:color="auto" w:fill="D9E2F3"/>
          </w:tcPr>
          <w:p w14:paraId="50E6892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收到技术服务请求后20分钟内响应，2小时内提出具体解决办法</w:t>
            </w:r>
          </w:p>
        </w:tc>
      </w:tr>
      <w:tr w14:paraId="507026E2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1534" w:type="dxa"/>
          </w:tcPr>
          <w:p w14:paraId="45E58A5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现场响应</w:t>
            </w:r>
          </w:p>
        </w:tc>
        <w:tc>
          <w:tcPr>
            <w:tcW w:w="7925" w:type="dxa"/>
          </w:tcPr>
          <w:p w14:paraId="31D4AD9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收到现场服务请求后24小时内响应，与采购人协商后商定到场时间，服务完成后须经采购人确认方可离开</w:t>
            </w:r>
          </w:p>
        </w:tc>
      </w:tr>
      <w:tr w14:paraId="7752C773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1534" w:type="dxa"/>
            <w:shd w:val="clear" w:color="auto" w:fill="D9E2F3"/>
          </w:tcPr>
          <w:p w14:paraId="246AE95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服务人员</w:t>
            </w:r>
          </w:p>
        </w:tc>
        <w:tc>
          <w:tcPr>
            <w:tcW w:w="7925" w:type="dxa"/>
            <w:shd w:val="clear" w:color="auto" w:fill="D9E2F3"/>
          </w:tcPr>
          <w:p w14:paraId="57DCC26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派出人员须具备独立解决问题的能力，熟悉系统架构与业务逻辑，遵守采购人现场规章制度</w:t>
            </w:r>
          </w:p>
        </w:tc>
      </w:tr>
      <w:tr w14:paraId="268BF01B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1534" w:type="dxa"/>
          </w:tcPr>
          <w:p w14:paraId="1337B2D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费用承担</w:t>
            </w:r>
          </w:p>
        </w:tc>
        <w:tc>
          <w:tcPr>
            <w:tcW w:w="7925" w:type="dxa"/>
          </w:tcPr>
          <w:p w14:paraId="1FC35B5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服务期间发生的交通、食宿、通讯、保险等费用包含在合同总价中，不另行列支</w:t>
            </w:r>
          </w:p>
        </w:tc>
      </w:tr>
    </w:tbl>
    <w:p w14:paraId="561E7932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textAlignment w:val="auto"/>
        <w:outlineLvl w:val="2"/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</w:pPr>
      <w:bookmarkStart w:id="44" w:name="_Toc242798686"/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5.6 质量要求</w:t>
      </w:r>
      <w:bookmarkEnd w:id="44"/>
    </w:p>
    <w:p w14:paraId="24B851B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（1）所提供的软件系统须为正版授权产品，无知识产权纠纷，符合国家及行业相关标准； </w:t>
      </w:r>
    </w:p>
    <w:p w14:paraId="2FFA2F3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（2）系统须满足网络安全等级保护第三级要求，配合采购人完成相关测评、备案和整改； </w:t>
      </w:r>
    </w:p>
    <w:p w14:paraId="5BF39DD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 xml:space="preserve">（3）系统运行须稳定可靠，在采购人指定环境中满足性能与并发要求； </w:t>
      </w:r>
    </w:p>
    <w:p w14:paraId="3CAC890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（4）数据质量须符合GB/T 36344-2018《信息技术 数据质量评价指标》相关要求。</w:t>
      </w:r>
    </w:p>
    <w:p w14:paraId="477B27F0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jc w:val="center"/>
        <w:textAlignment w:val="auto"/>
        <w:outlineLvl w:val="1"/>
        <w:rPr>
          <w:rFonts w:hint="eastAsia" w:ascii="仿宋" w:hAnsi="仿宋" w:eastAsia="仿宋" w:cs="仿宋"/>
          <w:b/>
          <w:sz w:val="24"/>
          <w:szCs w:val="24"/>
          <w:lang w:val="en-US" w:eastAsia="en-US" w:bidi="ar-SA"/>
        </w:rPr>
      </w:pPr>
      <w:bookmarkStart w:id="45" w:name="_Toc74125121"/>
      <w:bookmarkStart w:id="46" w:name="_Toc242798687"/>
      <w:bookmarkStart w:id="47" w:name="_Toc925621101"/>
      <w:bookmarkStart w:id="48" w:name="_Toc1399092153"/>
      <w:r>
        <w:rPr>
          <w:rFonts w:hint="eastAsia" w:ascii="仿宋" w:hAnsi="仿宋" w:eastAsia="仿宋" w:cs="仿宋"/>
          <w:b/>
          <w:sz w:val="24"/>
          <w:szCs w:val="24"/>
          <w:lang w:val="en-US" w:eastAsia="en-US" w:bidi="ar-SA"/>
        </w:rPr>
        <w:t>第六</w:t>
      </w:r>
      <w:r>
        <w:rPr>
          <w:rFonts w:hint="eastAsia" w:ascii="仿宋" w:hAnsi="仿宋" w:eastAsia="仿宋" w:cs="仿宋"/>
          <w:b/>
          <w:sz w:val="24"/>
          <w:szCs w:val="24"/>
          <w:lang w:val="en-US" w:eastAsia="zh-CN" w:bidi="ar-SA"/>
        </w:rPr>
        <w:t>节</w:t>
      </w:r>
      <w:r>
        <w:rPr>
          <w:rFonts w:hint="eastAsia" w:ascii="仿宋" w:hAnsi="仿宋" w:eastAsia="仿宋" w:cs="仿宋"/>
          <w:b/>
          <w:sz w:val="24"/>
          <w:szCs w:val="24"/>
          <w:lang w:val="en-US" w:eastAsia="en-US" w:bidi="ar-SA"/>
        </w:rPr>
        <w:t>　验收标准</w:t>
      </w:r>
      <w:bookmarkEnd w:id="45"/>
      <w:bookmarkEnd w:id="46"/>
      <w:bookmarkEnd w:id="47"/>
      <w:bookmarkEnd w:id="48"/>
    </w:p>
    <w:tbl>
      <w:tblPr>
        <w:tblStyle w:val="5"/>
        <w:tblW w:w="9539" w:type="dxa"/>
        <w:tblInd w:w="0" w:type="dxa"/>
        <w:tblBorders>
          <w:top w:val="single" w:color="8EAADB" w:sz="4" w:space="0"/>
          <w:left w:val="single" w:color="8EAADB" w:sz="4" w:space="0"/>
          <w:bottom w:val="single" w:color="8EAADB" w:sz="4" w:space="0"/>
          <w:right w:val="single" w:color="8EAADB" w:sz="4" w:space="0"/>
          <w:insideH w:val="single" w:color="8EAADB" w:sz="4" w:space="0"/>
          <w:insideV w:val="single" w:color="8EAADB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4073"/>
        <w:gridCol w:w="3918"/>
      </w:tblGrid>
      <w:tr w14:paraId="1D8A1EB3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548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nil"/>
              <w:insideH w:val="single" w:sz="4" w:space="0"/>
              <w:insideV w:val="nil"/>
            </w:tcBorders>
            <w:shd w:val="clear" w:color="auto" w:fill="4472C4"/>
          </w:tcPr>
          <w:p w14:paraId="6FCAA05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br w:type="page"/>
            </w: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t>验收阶段</w:t>
            </w:r>
          </w:p>
        </w:tc>
        <w:tc>
          <w:tcPr>
            <w:tcW w:w="4073" w:type="dxa"/>
            <w:tcBorders>
              <w:top w:val="single" w:color="4472C4" w:sz="4" w:space="0"/>
              <w:bottom w:val="single" w:color="4472C4" w:sz="4" w:space="0"/>
              <w:right w:val="nil"/>
              <w:insideH w:val="single" w:sz="4" w:space="0"/>
              <w:insideV w:val="nil"/>
            </w:tcBorders>
            <w:shd w:val="clear" w:color="auto" w:fill="4472C4"/>
          </w:tcPr>
          <w:p w14:paraId="1701DDA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t>验收内容</w:t>
            </w:r>
          </w:p>
        </w:tc>
        <w:tc>
          <w:tcPr>
            <w:tcW w:w="3918" w:type="dxa"/>
            <w:tcBorders>
              <w:top w:val="single" w:color="4472C4" w:sz="4" w:space="0"/>
              <w:bottom w:val="single" w:color="4472C4" w:sz="4" w:space="0"/>
              <w:right w:val="single" w:color="4472C4" w:sz="4" w:space="0"/>
              <w:insideH w:val="single" w:sz="4" w:space="0"/>
              <w:insideV w:val="nil"/>
            </w:tcBorders>
            <w:shd w:val="clear" w:color="auto" w:fill="4472C4"/>
          </w:tcPr>
          <w:p w14:paraId="12D96B5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ind w:firstLine="482" w:firstLineChars="200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FFFF"/>
                <w:sz w:val="24"/>
                <w:szCs w:val="24"/>
                <w:lang w:val="en-US" w:eastAsia="en-US" w:bidi="ar-SA"/>
              </w:rPr>
              <w:t>验收依据</w:t>
            </w:r>
          </w:p>
        </w:tc>
      </w:tr>
      <w:tr w14:paraId="63782E1A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1548" w:type="dxa"/>
            <w:shd w:val="clear" w:color="auto" w:fill="D9E2F3"/>
          </w:tcPr>
          <w:p w14:paraId="196D951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初步验收</w:t>
            </w:r>
          </w:p>
        </w:tc>
        <w:tc>
          <w:tcPr>
            <w:tcW w:w="4073" w:type="dxa"/>
            <w:shd w:val="clear" w:color="auto" w:fill="D9E2F3"/>
          </w:tcPr>
          <w:p w14:paraId="261C6E5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首期基础底座上线试运行，核心数据库及基础功能可用</w:t>
            </w:r>
          </w:p>
        </w:tc>
        <w:tc>
          <w:tcPr>
            <w:tcW w:w="3918" w:type="dxa"/>
            <w:shd w:val="clear" w:color="auto" w:fill="D9E2F3"/>
          </w:tcPr>
          <w:p w14:paraId="10DC3F5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需求文档、实施方案、上线报告</w:t>
            </w:r>
          </w:p>
        </w:tc>
      </w:tr>
      <w:tr w14:paraId="60C10979">
        <w:tblPrEx>
          <w:tblBorders>
            <w:top w:val="single" w:color="8EAADB" w:sz="4" w:space="0"/>
            <w:left w:val="single" w:color="8EAADB" w:sz="4" w:space="0"/>
            <w:bottom w:val="single" w:color="8EAADB" w:sz="4" w:space="0"/>
            <w:right w:val="single" w:color="8EAADB" w:sz="4" w:space="0"/>
            <w:insideH w:val="single" w:color="8EAADB" w:sz="4" w:space="0"/>
            <w:insideV w:val="single" w:color="8EAADB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7" w:hRule="atLeast"/>
        </w:trPr>
        <w:tc>
          <w:tcPr>
            <w:tcW w:w="1548" w:type="dxa"/>
          </w:tcPr>
          <w:p w14:paraId="40346E4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en-US" w:bidi="ar-SA"/>
              </w:rPr>
              <w:t>竣工验收</w:t>
            </w:r>
          </w:p>
        </w:tc>
        <w:tc>
          <w:tcPr>
            <w:tcW w:w="4073" w:type="dxa"/>
          </w:tcPr>
          <w:p w14:paraId="4D09157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全量功能交付、接口联调完成、数据治理达标、培训完成、文档齐全、等保及密评配合到位</w:t>
            </w:r>
          </w:p>
        </w:tc>
        <w:tc>
          <w:tcPr>
            <w:tcW w:w="3918" w:type="dxa"/>
          </w:tcPr>
          <w:p w14:paraId="1E8B109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-SA"/>
              </w:rPr>
              <w:t>采购需求、合同、测试报告、交付文档清单、用户确认单</w:t>
            </w:r>
          </w:p>
        </w:tc>
      </w:tr>
    </w:tbl>
    <w:p w14:paraId="6575717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验收由采购人组织，投标人配合。验收通过后双方签署竣工验收单，质保期自签署之日起算。</w:t>
      </w:r>
    </w:p>
    <w:p w14:paraId="78ED1481">
      <w:pPr>
        <w:keepNext/>
        <w:keepLines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482" w:firstLineChars="200"/>
        <w:jc w:val="center"/>
        <w:textAlignment w:val="auto"/>
        <w:outlineLvl w:val="1"/>
        <w:rPr>
          <w:rFonts w:hint="eastAsia" w:ascii="仿宋" w:hAnsi="仿宋" w:eastAsia="仿宋" w:cs="仿宋"/>
          <w:b/>
          <w:sz w:val="24"/>
          <w:szCs w:val="24"/>
          <w:highlight w:val="none"/>
          <w:lang w:val="en-US" w:eastAsia="zh-CN" w:bidi="ar-SA"/>
        </w:rPr>
      </w:pPr>
      <w:bookmarkStart w:id="49" w:name="_Toc280393387"/>
      <w:bookmarkStart w:id="50" w:name="_Toc1743364468"/>
      <w:bookmarkStart w:id="51" w:name="_Toc242798688"/>
      <w:bookmarkStart w:id="52" w:name="_Toc542305639"/>
      <w:r>
        <w:rPr>
          <w:rFonts w:hint="eastAsia" w:ascii="仿宋" w:hAnsi="仿宋" w:eastAsia="仿宋" w:cs="仿宋"/>
          <w:b/>
          <w:sz w:val="24"/>
          <w:szCs w:val="24"/>
          <w:highlight w:val="none"/>
          <w:lang w:val="en-US" w:eastAsia="zh-CN" w:bidi="ar-SA"/>
        </w:rPr>
        <w:t>第七章　特别说明</w:t>
      </w:r>
      <w:bookmarkEnd w:id="49"/>
      <w:bookmarkEnd w:id="50"/>
      <w:bookmarkEnd w:id="51"/>
      <w:bookmarkEnd w:id="52"/>
    </w:p>
    <w:p w14:paraId="60B45DA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eastAsia="zh-CN"/>
        </w:rPr>
        <w:t>（1）本平台定位为第四方数字贸易基础设施，投标方案不得包含自营贸易、货权控制或资金池运营设计，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否则按照无效响应文件处理。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eastAsia="zh-CN"/>
        </w:rPr>
        <w:t xml:space="preserve"> </w:t>
      </w:r>
    </w:p>
    <w:p w14:paraId="07DE189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eastAsia="zh-CN"/>
        </w:rPr>
        <w:t xml:space="preserve"> （2）数据安全与跨境合规为项目核心合规底线 。</w:t>
      </w:r>
    </w:p>
    <w:p w14:paraId="002D7B1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eastAsia="zh-CN"/>
        </w:rPr>
        <w:t>（3）国产化适配为硬性要求，投标方</w:t>
      </w:r>
      <w:bookmarkStart w:id="53" w:name="_GoBack"/>
      <w:bookmarkEnd w:id="53"/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eastAsia="zh-CN"/>
        </w:rPr>
        <w:t xml:space="preserve">案须明确适配范围与实施路径；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A64DD"/>
    <w:rsid w:val="15A342CF"/>
    <w:rsid w:val="1A116D4C"/>
    <w:rsid w:val="1AD34DED"/>
    <w:rsid w:val="21251257"/>
    <w:rsid w:val="2144419F"/>
    <w:rsid w:val="24873493"/>
    <w:rsid w:val="24CE0B6E"/>
    <w:rsid w:val="28702016"/>
    <w:rsid w:val="32D84510"/>
    <w:rsid w:val="343725ED"/>
    <w:rsid w:val="39BC00D9"/>
    <w:rsid w:val="44582691"/>
    <w:rsid w:val="58ED6463"/>
    <w:rsid w:val="5EB7307F"/>
    <w:rsid w:val="63C64C1E"/>
    <w:rsid w:val="7102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样式1"/>
    <w:basedOn w:val="1"/>
    <w:next w:val="1"/>
    <w:uiPriority w:val="0"/>
    <w:pPr>
      <w:keepNext/>
      <w:keepLines/>
      <w:spacing w:before="260" w:beforeLines="0" w:after="260" w:afterLines="0" w:line="413" w:lineRule="auto"/>
      <w:jc w:val="center"/>
      <w:outlineLvl w:val="1"/>
    </w:pPr>
    <w:rPr>
      <w:rFonts w:ascii="Arial" w:hAnsi="Arial" w:eastAsia="黑体" w:cs="Arial"/>
      <w:b/>
      <w:snapToGrid w:val="0"/>
      <w:color w:val="000000"/>
      <w:kern w:val="0"/>
      <w:sz w:val="32"/>
      <w:szCs w:val="21"/>
      <w:lang w:eastAsia="en-US"/>
    </w:rPr>
  </w:style>
  <w:style w:type="table" w:customStyle="1" w:styleId="5">
    <w:name w:val="Grid Table 4 Accent 1"/>
    <w:qFormat/>
    <w:uiPriority w:val="49"/>
    <w:tblPr>
      <w:tblBorders>
        <w:top w:val="single" w:color="8EAADB" w:sz="4" w:space="0"/>
        <w:left w:val="single" w:color="8EAADB" w:sz="4" w:space="0"/>
        <w:bottom w:val="single" w:color="8EAADB" w:sz="4" w:space="0"/>
        <w:right w:val="single" w:color="8EAADB" w:sz="4" w:space="0"/>
        <w:insideH w:val="single" w:color="8EAADB" w:sz="4" w:space="0"/>
        <w:insideV w:val="single" w:color="8EAADB" w:sz="4" w:space="0"/>
      </w:tblBorders>
    </w:tblPr>
    <w:tblStylePr w:type="firstRow">
      <w:rPr>
        <w:b/>
        <w:bCs/>
        <w:color w:val="FFFFFF"/>
      </w:rPr>
      <w:tcPr>
        <w:tcBorders>
          <w:top w:val="single" w:color="4472C4" w:sz="4" w:space="0"/>
          <w:left w:val="single" w:color="4472C4" w:sz="4" w:space="0"/>
          <w:bottom w:val="single" w:color="4472C4" w:sz="4" w:space="0"/>
          <w:right w:val="single" w:color="4472C4" w:sz="4" w:space="0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cPr>
        <w:tcBorders>
          <w:top w:val="double" w:color="4472C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9E2F3"/>
      </w:tcPr>
    </w:tblStylePr>
    <w:tblStylePr w:type="band1Horz">
      <w:tcPr>
        <w:shd w:val="clear" w:color="auto" w:fill="D9E2F3"/>
      </w:tcPr>
    </w:tblStyle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2026-03-23T03:17:00Z</dcterms:created>
  <dc:creator>34819</dc:creator>
  <cp:lastModifiedBy>心静如水</cp:lastModifiedBy>
  <dcterms:modified xsi:type="dcterms:W3CDTF">2026-10-26T08:57:44Z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F7A16F4B812B4437B83386305F4CA7D6_12</vt:lpwstr>
  </property>
  <property fmtid="{D5CDD505-2E9C-101B-9397-08002B2CF9AE}" pid="4" name="KSOTemplateDocerSaveRecord">
    <vt:lpwstr>eyJoZGlkIjoiZDU1ZjVkMzExYjNmNDkwYmIwMTQxMDM0OWM2NTcyMjciLCJ1c2VySWQiOiIyMzkzNjg4MzcifQ==</vt:lpwstr>
  </property>
</Properties>
</file>