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版本号：DQA-2026044--CS20260515001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低空经济创新赋能中心改造项目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DQA-2026044--CS</w:t>
      </w:r>
      <w:r>
        <w:br/>
      </w:r>
      <w:r>
        <w:br/>
      </w:r>
      <w:r>
        <w:br/>
      </w:r>
    </w:p>
    <w:p>
      <w:pPr>
        <w:pStyle w:val="null3"/>
        <w:jc w:val="center"/>
        <w:outlineLvl w:val="2"/>
      </w:pPr>
      <w:r>
        <w:rPr>
          <w:rFonts w:ascii="仿宋_GB2312" w:hAnsi="仿宋_GB2312" w:cs="仿宋_GB2312" w:eastAsia="仿宋_GB2312"/>
          <w:sz w:val="28"/>
          <w:b/>
        </w:rPr>
        <w:t>西安航空学院</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低空经济创新赋能中心改造项目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DQA-2026044--CS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低空经济创新赋能中心改造项目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2024年“低空经济”首次被写入政府工作报告，将其定位为战略性新兴产业。低空经济被视为破解城市拥堵、拉动新质生产力的关键，为经济增长提供新动能。我校为顺应时代发展，现拟建设低空经济创新赋能中心项目，需对现有空间进行改造升级，以满足相关方日常使用需求。（具体设计图及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采购包1（低空经济创新赋能中心改造项目）：属于专门面向中小企业采购。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4、社保缴纳证明：提供开标前一年内任意时段已缴纳的社会保障资金缴存单据或社保机构开具的社会保险参保缴费情况证明；依法不需要缴纳社会保障资金的应提供相关文件证明。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8、控股和管理关系：提供直接控股和管理关系清单。若与其他供应商存在单位负责人为同一人或者存在直接控股、管理关系的，则响应无效。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pPr>
      <w:r>
        <w:rPr>
          <w:rFonts w:ascii="仿宋_GB2312" w:hAnsi="仿宋_GB2312" w:cs="仿宋_GB2312" w:eastAsia="仿宋_GB2312"/>
        </w:rPr>
        <w:t>11、企业资质：供应商应具有建设行政主管部门颁发的建筑工程施工总承包三级及以上或建筑装修装修二级及以上资质，且具有建设行政主管部门颁发的安全生产许可证。</w:t>
      </w:r>
    </w:p>
    <w:p>
      <w:pPr>
        <w:pStyle w:val="null3"/>
      </w:pPr>
      <w:r>
        <w:rPr>
          <w:rFonts w:ascii="仿宋_GB2312" w:hAnsi="仿宋_GB2312" w:cs="仿宋_GB2312" w:eastAsia="仿宋_GB2312"/>
        </w:rPr>
        <w:t>12、项目经理：拟派项目经理需具备（注册建造师二级）建筑工程专业及以上执业资格，具备有效的安全生产考核合格B证，在本单位注册且无在建项目，提供无在建承诺书（内容格式自拟）。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西二环259号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029-81672802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银行账号：52880188000158622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说明：签订合同前成交供应商须向采购人缴纳合同额5％的履约保证金。 合同如期履约完成且保修期届满，采购人扣除相关费用后，采购人免息原缴费账户退还履约保证金余额。</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及国家发展和改革委员会办公厅颁发的《关于招标代理服务收费有关问题的通知》（发改办价格〔2003〕857号）的有关规定执行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踏勘时间：2026-05-25 09:30:00</w:t>
            </w:r>
          </w:p>
          <w:p>
            <w:pPr>
              <w:pStyle w:val="null3"/>
              <w:ind w:firstLine="975"/>
            </w:pPr>
            <w:r>
              <w:rPr>
                <w:rFonts w:ascii="仿宋_GB2312" w:hAnsi="仿宋_GB2312" w:cs="仿宋_GB2312" w:eastAsia="仿宋_GB2312"/>
              </w:rPr>
              <w:t>踏勘地点：西安市莲湖区西二环259号西安航空学院莲湖校区</w:t>
            </w:r>
          </w:p>
          <w:p>
            <w:pPr>
              <w:pStyle w:val="null3"/>
              <w:ind w:firstLine="975"/>
            </w:pPr>
            <w:r>
              <w:rPr>
                <w:rFonts w:ascii="仿宋_GB2312" w:hAnsi="仿宋_GB2312" w:cs="仿宋_GB2312" w:eastAsia="仿宋_GB2312"/>
              </w:rPr>
              <w:t>联系人：秦老师</w:t>
            </w:r>
          </w:p>
          <w:p>
            <w:pPr>
              <w:pStyle w:val="null3"/>
              <w:ind w:firstLine="975"/>
            </w:pPr>
            <w:r>
              <w:rPr>
                <w:rFonts w:ascii="仿宋_GB2312" w:hAnsi="仿宋_GB2312" w:cs="仿宋_GB2312" w:eastAsia="仿宋_GB2312"/>
              </w:rPr>
              <w:t>联系电话号码：15102956000</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西安航空学院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详见采购文件及采购合同要求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 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低空经济创新赋能中心改造项目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标的名称：低空经济创新赋能中心改造项目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color w:val="000000"/>
              </w:rPr>
              <w:t>一、工程概况</w:t>
            </w:r>
          </w:p>
          <w:p>
            <w:pPr>
              <w:pStyle w:val="null3"/>
              <w:ind w:firstLine="480"/>
              <w:jc w:val="both"/>
            </w:pPr>
            <w:r>
              <w:rPr>
                <w:rFonts w:ascii="仿宋_GB2312" w:hAnsi="仿宋_GB2312" w:cs="仿宋_GB2312" w:eastAsia="仿宋_GB2312"/>
              </w:rPr>
              <w:t>2024</w:t>
            </w:r>
            <w:r>
              <w:rPr>
                <w:rFonts w:ascii="仿宋_GB2312" w:hAnsi="仿宋_GB2312" w:cs="仿宋_GB2312" w:eastAsia="仿宋_GB2312"/>
              </w:rPr>
              <w:t>年“低空经济”首次被写入政府工作报告，将其定位为战略性新兴产业。低空经济被视为破解城市拥堵、拉动新质生产力的关键，为经济增长提供新动能。我校为顺应时代发展，现拟建设低空经济创新赋能中心项目，需对现有空间进行改造升级，以满足相关方日常使用需求。</w:t>
            </w:r>
          </w:p>
          <w:p>
            <w:pPr>
              <w:pStyle w:val="null3"/>
              <w:ind w:firstLine="480"/>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项目范围或内容：</w:t>
            </w:r>
          </w:p>
          <w:p>
            <w:pPr>
              <w:pStyle w:val="null3"/>
              <w:ind w:firstLine="480"/>
              <w:jc w:val="both"/>
            </w:pPr>
            <w:r>
              <w:rPr>
                <w:rFonts w:ascii="仿宋_GB2312" w:hAnsi="仿宋_GB2312" w:cs="仿宋_GB2312" w:eastAsia="仿宋_GB2312"/>
              </w:rPr>
              <w:t>教学主楼部分楼层（一楼北侧、二楼大厅及三楼镂空部分、十二楼）的内部装修和设施及教学主楼低空经济产业园视觉形象与导视系统提升实施改造升级。主要工程内容涵盖一楼北侧部分非承重墙拆除、门窗改造、电气系统改造、控电模块改造、空调新风系统等工程，具体以学校要求的实际工程情况为准。</w:t>
            </w:r>
          </w:p>
          <w:p>
            <w:pPr>
              <w:pStyle w:val="null3"/>
              <w:ind w:firstLine="480"/>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、技术要求</w:t>
            </w:r>
            <w:r>
              <w:rPr>
                <w:rFonts w:ascii="仿宋_GB2312" w:hAnsi="仿宋_GB2312" w:cs="仿宋_GB2312" w:eastAsia="仿宋_GB2312"/>
                <w:sz w:val="24"/>
                <w:b/>
                <w:color w:val="000000"/>
              </w:rPr>
              <w:t>及做法工艺</w:t>
            </w:r>
            <w:r>
              <w:rPr>
                <w:rFonts w:ascii="仿宋_GB2312" w:hAnsi="仿宋_GB2312" w:cs="仿宋_GB2312" w:eastAsia="仿宋_GB2312"/>
                <w:sz w:val="24"/>
                <w:b/>
                <w:color w:val="000000"/>
              </w:rPr>
              <w:t>：</w:t>
            </w:r>
          </w:p>
          <w:p>
            <w:pPr>
              <w:pStyle w:val="null3"/>
              <w:ind w:firstLine="480"/>
              <w:jc w:val="both"/>
            </w:pPr>
            <w:r>
              <w:rPr>
                <w:rFonts w:ascii="仿宋_GB2312" w:hAnsi="仿宋_GB2312" w:cs="仿宋_GB2312" w:eastAsia="仿宋_GB2312"/>
                <w:b/>
              </w:rPr>
              <w:t>1.</w:t>
            </w:r>
            <w:r>
              <w:rPr>
                <w:rFonts w:ascii="仿宋_GB2312" w:hAnsi="仿宋_GB2312" w:cs="仿宋_GB2312" w:eastAsia="仿宋_GB2312"/>
                <w:b/>
              </w:rPr>
              <w:t>装修做法工艺：</w:t>
            </w:r>
          </w:p>
          <w:p>
            <w:pPr>
              <w:pStyle w:val="null3"/>
              <w:ind w:firstLine="480"/>
              <w:jc w:val="both"/>
            </w:pPr>
            <w:r>
              <w:rPr>
                <w:rFonts w:ascii="仿宋_GB2312" w:hAnsi="仿宋_GB2312" w:cs="仿宋_GB2312" w:eastAsia="仿宋_GB2312"/>
                <w:b/>
              </w:rPr>
              <w:t>第一部分</w:t>
            </w:r>
            <w:r>
              <w:rPr>
                <w:rFonts w:ascii="仿宋_GB2312" w:hAnsi="仿宋_GB2312" w:cs="仿宋_GB2312" w:eastAsia="仿宋_GB2312"/>
                <w:b/>
              </w:rPr>
              <w:t>:</w:t>
            </w:r>
            <w:r>
              <w:rPr>
                <w:rFonts w:ascii="仿宋_GB2312" w:hAnsi="仿宋_GB2312" w:cs="仿宋_GB2312" w:eastAsia="仿宋_GB2312"/>
                <w:b/>
              </w:rPr>
              <w:t>低空经济概念验证中心（一楼北侧）及视觉形象与导视系统提升</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 xml:space="preserve">）原墙体拆除，垃圾清运；  </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）地面铺装防静电地板；</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）吊顶为</w:t>
            </w:r>
            <w:r>
              <w:rPr>
                <w:rFonts w:ascii="仿宋_GB2312" w:hAnsi="仿宋_GB2312" w:cs="仿宋_GB2312" w:eastAsia="仿宋_GB2312"/>
              </w:rPr>
              <w:t>600*600</w:t>
            </w:r>
            <w:r>
              <w:rPr>
                <w:rFonts w:ascii="仿宋_GB2312" w:hAnsi="仿宋_GB2312" w:cs="仿宋_GB2312" w:eastAsia="仿宋_GB2312"/>
              </w:rPr>
              <w:t>铝板吊顶</w:t>
            </w:r>
            <w:r>
              <w:rPr>
                <w:rFonts w:ascii="仿宋_GB2312" w:hAnsi="仿宋_GB2312" w:cs="仿宋_GB2312" w:eastAsia="仿宋_GB2312"/>
              </w:rPr>
              <w:t>,LED</w:t>
            </w:r>
            <w:r>
              <w:rPr>
                <w:rFonts w:ascii="仿宋_GB2312" w:hAnsi="仿宋_GB2312" w:cs="仿宋_GB2312" w:eastAsia="仿宋_GB2312"/>
              </w:rPr>
              <w:t>平板灯</w:t>
            </w:r>
            <w:r>
              <w:rPr>
                <w:rFonts w:ascii="仿宋_GB2312" w:hAnsi="仿宋_GB2312" w:cs="仿宋_GB2312" w:eastAsia="仿宋_GB2312"/>
              </w:rPr>
              <w:t>(</w:t>
            </w:r>
            <w:r>
              <w:rPr>
                <w:rFonts w:ascii="仿宋_GB2312" w:hAnsi="仿宋_GB2312" w:cs="仿宋_GB2312" w:eastAsia="仿宋_GB2312"/>
              </w:rPr>
              <w:t>防爆</w:t>
            </w:r>
            <w:r>
              <w:rPr>
                <w:rFonts w:ascii="仿宋_GB2312" w:hAnsi="仿宋_GB2312" w:cs="仿宋_GB2312" w:eastAsia="仿宋_GB2312"/>
              </w:rPr>
              <w:t>)</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）墙面为防火板</w:t>
            </w:r>
            <w:r>
              <w:rPr>
                <w:rFonts w:ascii="仿宋_GB2312" w:hAnsi="仿宋_GB2312" w:cs="仿宋_GB2312" w:eastAsia="仿宋_GB2312"/>
              </w:rPr>
              <w:t>(A</w:t>
            </w:r>
            <w:r>
              <w:rPr>
                <w:rFonts w:ascii="仿宋_GB2312" w:hAnsi="仿宋_GB2312" w:cs="仿宋_GB2312" w:eastAsia="仿宋_GB2312"/>
              </w:rPr>
              <w:t>级</w:t>
            </w:r>
            <w:r>
              <w:rPr>
                <w:rFonts w:ascii="仿宋_GB2312" w:hAnsi="仿宋_GB2312" w:cs="仿宋_GB2312" w:eastAsia="仿宋_GB2312"/>
              </w:rPr>
              <w:t>)</w:t>
            </w:r>
            <w:r>
              <w:rPr>
                <w:rFonts w:ascii="仿宋_GB2312" w:hAnsi="仿宋_GB2312" w:cs="仿宋_GB2312" w:eastAsia="仿宋_GB2312"/>
              </w:rPr>
              <w:t>，基层冰火板饰面；</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）教学主楼低空经济产业园视觉形象与导视系统提升；</w:t>
            </w:r>
          </w:p>
          <w:p>
            <w:pPr>
              <w:pStyle w:val="null3"/>
              <w:ind w:firstLine="480"/>
              <w:jc w:val="both"/>
            </w:pPr>
            <w:r>
              <w:rPr>
                <w:rFonts w:ascii="仿宋_GB2312" w:hAnsi="仿宋_GB2312" w:cs="仿宋_GB2312" w:eastAsia="仿宋_GB2312"/>
                <w:b/>
              </w:rPr>
              <w:t>第二部分</w:t>
            </w:r>
            <w:r>
              <w:rPr>
                <w:rFonts w:ascii="仿宋_GB2312" w:hAnsi="仿宋_GB2312" w:cs="仿宋_GB2312" w:eastAsia="仿宋_GB2312"/>
                <w:b/>
              </w:rPr>
              <w:t>:</w:t>
            </w:r>
            <w:r>
              <w:rPr>
                <w:rFonts w:ascii="仿宋_GB2312" w:hAnsi="仿宋_GB2312" w:cs="仿宋_GB2312" w:eastAsia="仿宋_GB2312"/>
                <w:b/>
              </w:rPr>
              <w:t>西航低空科技产业</w:t>
            </w:r>
            <w:r>
              <w:rPr>
                <w:rFonts w:ascii="仿宋_GB2312" w:hAnsi="仿宋_GB2312" w:cs="仿宋_GB2312" w:eastAsia="仿宋_GB2312"/>
                <w:b/>
              </w:rPr>
              <w:t>生态体验中心</w:t>
            </w:r>
            <w:r>
              <w:rPr>
                <w:rFonts w:ascii="仿宋_GB2312" w:hAnsi="仿宋_GB2312" w:cs="仿宋_GB2312" w:eastAsia="仿宋_GB2312"/>
                <w:b/>
              </w:rPr>
              <w:t>（二楼大厅及三楼镂空部分）</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）原墙顶地装饰层拆除</w:t>
            </w:r>
            <w:r>
              <w:rPr>
                <w:rFonts w:ascii="仿宋_GB2312" w:hAnsi="仿宋_GB2312" w:cs="仿宋_GB2312" w:eastAsia="仿宋_GB2312"/>
              </w:rPr>
              <w:t>,</w:t>
            </w:r>
            <w:r>
              <w:rPr>
                <w:rFonts w:ascii="仿宋_GB2312" w:hAnsi="仿宋_GB2312" w:cs="仿宋_GB2312" w:eastAsia="仿宋_GB2312"/>
              </w:rPr>
              <w:t>垃圾清运；</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）地面铺贴磨石搭配航空蓝线性灯；</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）吊顶为金属覆膜板</w:t>
            </w:r>
            <w:r>
              <w:rPr>
                <w:rFonts w:ascii="仿宋_GB2312" w:hAnsi="仿宋_GB2312" w:cs="仿宋_GB2312" w:eastAsia="仿宋_GB2312"/>
              </w:rPr>
              <w:t>,</w:t>
            </w:r>
            <w:r>
              <w:rPr>
                <w:rFonts w:ascii="仿宋_GB2312" w:hAnsi="仿宋_GB2312" w:cs="仿宋_GB2312" w:eastAsia="仿宋_GB2312"/>
              </w:rPr>
              <w:t>悬浮灯光透射无人机影像，营造沉浸式氛围；</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）墙面采用铝板和嵌入式</w:t>
            </w:r>
            <w:r>
              <w:rPr>
                <w:rFonts w:ascii="仿宋_GB2312" w:hAnsi="仿宋_GB2312" w:cs="仿宋_GB2312" w:eastAsia="仿宋_GB2312"/>
              </w:rPr>
              <w:t>LED</w:t>
            </w:r>
            <w:r>
              <w:rPr>
                <w:rFonts w:ascii="仿宋_GB2312" w:hAnsi="仿宋_GB2312" w:cs="仿宋_GB2312" w:eastAsia="仿宋_GB2312"/>
              </w:rPr>
              <w:t>屏</w:t>
            </w:r>
            <w:r>
              <w:rPr>
                <w:rFonts w:ascii="仿宋_GB2312" w:hAnsi="仿宋_GB2312" w:cs="仿宋_GB2312" w:eastAsia="仿宋_GB2312"/>
              </w:rPr>
              <w:t>,</w:t>
            </w:r>
            <w:r>
              <w:rPr>
                <w:rFonts w:ascii="仿宋_GB2312" w:hAnsi="仿宋_GB2312" w:cs="仿宋_GB2312" w:eastAsia="仿宋_GB2312"/>
              </w:rPr>
              <w:t>打造富有科技感的产业会</w:t>
            </w:r>
            <w:r>
              <w:rPr>
                <w:rFonts w:ascii="仿宋_GB2312" w:hAnsi="仿宋_GB2312" w:cs="仿宋_GB2312" w:eastAsia="仿宋_GB2312"/>
              </w:rPr>
              <w:t>客厅；</w:t>
            </w:r>
          </w:p>
          <w:p>
            <w:pPr>
              <w:pStyle w:val="null3"/>
              <w:ind w:firstLine="402"/>
              <w:jc w:val="both"/>
            </w:pPr>
            <w:r>
              <w:rPr>
                <w:rFonts w:ascii="仿宋_GB2312" w:hAnsi="仿宋_GB2312" w:cs="仿宋_GB2312" w:eastAsia="仿宋_GB2312"/>
                <w:b/>
              </w:rPr>
              <w:t>第三部分</w:t>
            </w:r>
            <w:r>
              <w:rPr>
                <w:rFonts w:ascii="仿宋_GB2312" w:hAnsi="仿宋_GB2312" w:cs="仿宋_GB2312" w:eastAsia="仿宋_GB2312"/>
                <w:b/>
              </w:rPr>
              <w:t>:</w:t>
            </w:r>
            <w:r>
              <w:rPr>
                <w:rFonts w:ascii="仿宋_GB2312" w:hAnsi="仿宋_GB2312" w:cs="仿宋_GB2312" w:eastAsia="仿宋_GB2312"/>
                <w:b/>
              </w:rPr>
              <w:t>低空协同研发空间（十二楼）</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）原墙体拆除，垃圾清运；</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）地面铺装塑胶地板；</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）吊顶为石膏板造型顶</w:t>
            </w:r>
            <w:r>
              <w:rPr>
                <w:rFonts w:ascii="仿宋_GB2312" w:hAnsi="仿宋_GB2312" w:cs="仿宋_GB2312" w:eastAsia="仿宋_GB2312"/>
              </w:rPr>
              <w:t>,</w:t>
            </w:r>
            <w:r>
              <w:rPr>
                <w:rFonts w:ascii="仿宋_GB2312" w:hAnsi="仿宋_GB2312" w:cs="仿宋_GB2312" w:eastAsia="仿宋_GB2312"/>
              </w:rPr>
              <w:t xml:space="preserve">灯具更换；   </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）墙面为白色乳胶漆</w:t>
            </w:r>
            <w:r>
              <w:rPr>
                <w:rFonts w:ascii="仿宋_GB2312" w:hAnsi="仿宋_GB2312" w:cs="仿宋_GB2312" w:eastAsia="仿宋_GB2312"/>
              </w:rPr>
              <w:t>,</w:t>
            </w:r>
            <w:r>
              <w:rPr>
                <w:rFonts w:ascii="仿宋_GB2312" w:hAnsi="仿宋_GB2312" w:cs="仿宋_GB2312" w:eastAsia="仿宋_GB2312"/>
              </w:rPr>
              <w:t>局部木饰面板；</w:t>
            </w:r>
          </w:p>
          <w:p>
            <w:pPr>
              <w:pStyle w:val="null3"/>
              <w:ind w:firstLine="480"/>
              <w:jc w:val="both"/>
            </w:pPr>
            <w:r>
              <w:rPr>
                <w:rFonts w:ascii="仿宋_GB2312" w:hAnsi="仿宋_GB2312" w:cs="仿宋_GB2312" w:eastAsia="仿宋_GB2312"/>
                <w:b/>
              </w:rPr>
              <w:t>2</w:t>
            </w:r>
            <w:r>
              <w:rPr>
                <w:rFonts w:ascii="仿宋_GB2312" w:hAnsi="仿宋_GB2312" w:cs="仿宋_GB2312" w:eastAsia="仿宋_GB2312"/>
                <w:b/>
              </w:rPr>
              <w:t>、技术要求</w:t>
            </w:r>
            <w:r>
              <w:rPr>
                <w:rFonts w:ascii="仿宋_GB2312" w:hAnsi="仿宋_GB2312" w:cs="仿宋_GB2312" w:eastAsia="仿宋_GB2312"/>
                <w:b/>
              </w:rPr>
              <w:t>:</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项目的材料、设备、施工均须达到中华人民共和国现行及省、自治区、直辖市或行业的工程建设标准、强制性条文、规范的要求。</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若项目的材料、设备、施工无上述标准，订货、采购及施工、安装时，应提供生产厂家或施工企业、安装企业在技术监督部门备案的企业标准，并经监理单位和采购人认定质量合格后方可实施。</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施工单位须遵循后勤管理部门规定，经采购人同意可使用水电，并安装独立计量装置计量缴费，相关费用由施工方承担。电费按</w:t>
            </w:r>
            <w:r>
              <w:rPr>
                <w:rFonts w:ascii="仿宋_GB2312" w:hAnsi="仿宋_GB2312" w:cs="仿宋_GB2312" w:eastAsia="仿宋_GB2312"/>
              </w:rPr>
              <w:t>1.00</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度、水费按</w:t>
            </w:r>
            <w:r>
              <w:rPr>
                <w:rFonts w:ascii="仿宋_GB2312" w:hAnsi="仿宋_GB2312" w:cs="仿宋_GB2312" w:eastAsia="仿宋_GB2312"/>
              </w:rPr>
              <w:t>5.8</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吨收取。施工前须办理用水用电手续并缴纳保证金，工程完工且结清水电费后，保证金无息退还。</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工期及总造价已明确，供应商在响应时应合理确定赶工措施费，确保成交后不因赶工向发包人提出额外经济补偿。</w:t>
            </w:r>
          </w:p>
          <w:p>
            <w:pPr>
              <w:pStyle w:val="null3"/>
              <w:ind w:firstLine="480"/>
              <w:jc w:val="both"/>
            </w:pPr>
            <w:r>
              <w:rPr>
                <w:rFonts w:ascii="仿宋_GB2312" w:hAnsi="仿宋_GB2312" w:cs="仿宋_GB2312" w:eastAsia="仿宋_GB2312"/>
              </w:rPr>
              <w:t>(5)</w:t>
            </w:r>
            <w:r>
              <w:rPr>
                <w:rFonts w:ascii="仿宋_GB2312" w:hAnsi="仿宋_GB2312" w:cs="仿宋_GB2312" w:eastAsia="仿宋_GB2312"/>
              </w:rPr>
              <w:t>施工过程中如遇其他工程交叉，应主动沟通协调，无条件服从校方安排。</w:t>
            </w:r>
          </w:p>
          <w:p>
            <w:pPr>
              <w:pStyle w:val="null3"/>
              <w:ind w:firstLine="480"/>
              <w:jc w:val="both"/>
            </w:pPr>
            <w:r>
              <w:rPr>
                <w:rFonts w:ascii="仿宋_GB2312" w:hAnsi="仿宋_GB2312" w:cs="仿宋_GB2312" w:eastAsia="仿宋_GB2312"/>
              </w:rPr>
              <w:t>(6)</w:t>
            </w:r>
            <w:r>
              <w:rPr>
                <w:rFonts w:ascii="仿宋_GB2312" w:hAnsi="仿宋_GB2312" w:cs="仿宋_GB2312" w:eastAsia="仿宋_GB2312"/>
              </w:rPr>
              <w:t>工程资料收集整理须与施工进度同步，确保顺利通过竣工验收，按时提交完整资料。</w:t>
            </w:r>
          </w:p>
          <w:p>
            <w:pPr>
              <w:pStyle w:val="null3"/>
              <w:ind w:firstLine="480"/>
              <w:jc w:val="both"/>
            </w:pPr>
            <w:r>
              <w:rPr>
                <w:rFonts w:ascii="仿宋_GB2312" w:hAnsi="仿宋_GB2312" w:cs="仿宋_GB2312" w:eastAsia="仿宋_GB2312"/>
              </w:rPr>
              <w:t>(7)</w:t>
            </w:r>
            <w:r>
              <w:rPr>
                <w:rFonts w:ascii="仿宋_GB2312" w:hAnsi="仿宋_GB2312" w:cs="仿宋_GB2312" w:eastAsia="仿宋_GB2312"/>
              </w:rPr>
              <w:t>施工须满足政府相关部门要求，尽量减少对周边环境影响。</w:t>
            </w:r>
          </w:p>
          <w:p>
            <w:pPr>
              <w:pStyle w:val="null3"/>
              <w:ind w:firstLine="480"/>
              <w:jc w:val="both"/>
            </w:pPr>
            <w:r>
              <w:rPr>
                <w:rFonts w:ascii="仿宋_GB2312" w:hAnsi="仿宋_GB2312" w:cs="仿宋_GB2312" w:eastAsia="仿宋_GB2312"/>
              </w:rPr>
              <w:t>(8)</w:t>
            </w:r>
            <w:r>
              <w:rPr>
                <w:rFonts w:ascii="仿宋_GB2312" w:hAnsi="仿宋_GB2312" w:cs="仿宋_GB2312" w:eastAsia="仿宋_GB2312"/>
              </w:rPr>
              <w:t>建筑垃圾严禁长时间校内堆放，应及时外运并铺设防尘网</w:t>
            </w:r>
            <w:r>
              <w:rPr>
                <w:rFonts w:ascii="仿宋_GB2312" w:hAnsi="仿宋_GB2312" w:cs="仿宋_GB2312" w:eastAsia="仿宋_GB2312"/>
              </w:rPr>
              <w:t>;</w:t>
            </w:r>
            <w:r>
              <w:rPr>
                <w:rFonts w:ascii="仿宋_GB2312" w:hAnsi="仿宋_GB2312" w:cs="仿宋_GB2312" w:eastAsia="仿宋_GB2312"/>
              </w:rPr>
              <w:t>外运须遵守《西安市建筑垃圾管理条例》等相关规定，并负责与街办、城管等部门协调。</w:t>
            </w:r>
          </w:p>
          <w:p>
            <w:pPr>
              <w:pStyle w:val="null3"/>
              <w:ind w:firstLine="480"/>
              <w:jc w:val="both"/>
            </w:pPr>
            <w:r>
              <w:rPr>
                <w:rFonts w:ascii="仿宋_GB2312" w:hAnsi="仿宋_GB2312" w:cs="仿宋_GB2312" w:eastAsia="仿宋_GB2312"/>
              </w:rPr>
              <w:t>(9)</w:t>
            </w:r>
            <w:r>
              <w:rPr>
                <w:rFonts w:ascii="仿宋_GB2312" w:hAnsi="仿宋_GB2312" w:cs="仿宋_GB2312" w:eastAsia="仿宋_GB2312"/>
              </w:rPr>
              <w:t>材料进场需实施三方联合验收，否则不可用于本工程。</w:t>
            </w:r>
          </w:p>
          <w:p>
            <w:pPr>
              <w:pStyle w:val="null3"/>
              <w:ind w:firstLine="480"/>
              <w:jc w:val="both"/>
            </w:pPr>
            <w:r>
              <w:rPr>
                <w:rFonts w:ascii="仿宋_GB2312" w:hAnsi="仿宋_GB2312" w:cs="仿宋_GB2312" w:eastAsia="仿宋_GB2312"/>
              </w:rPr>
              <w:t>(10)</w:t>
            </w:r>
            <w:r>
              <w:rPr>
                <w:rFonts w:ascii="仿宋_GB2312" w:hAnsi="仿宋_GB2312" w:cs="仿宋_GB2312" w:eastAsia="仿宋_GB2312"/>
              </w:rPr>
              <w:t>项目完工后，需进行全面保洁，达到“工完、料净、场地清”标准。</w:t>
            </w:r>
          </w:p>
          <w:p>
            <w:pPr>
              <w:pStyle w:val="null3"/>
              <w:ind w:firstLine="480"/>
              <w:jc w:val="both"/>
            </w:pPr>
            <w:r>
              <w:rPr>
                <w:rFonts w:ascii="仿宋_GB2312" w:hAnsi="仿宋_GB2312" w:cs="仿宋_GB2312" w:eastAsia="仿宋_GB2312"/>
              </w:rPr>
              <w:t>(11)</w:t>
            </w:r>
            <w:r>
              <w:rPr>
                <w:rFonts w:ascii="仿宋_GB2312" w:hAnsi="仿宋_GB2312" w:cs="仿宋_GB2312" w:eastAsia="仿宋_GB2312"/>
              </w:rPr>
              <w:t>乙方须按法律法规及合同约定完成施工，并在竣工后的缺陷责任期及质量保修期内承担保修责任。</w:t>
            </w:r>
          </w:p>
          <w:p>
            <w:pPr>
              <w:pStyle w:val="null3"/>
              <w:ind w:firstLine="480"/>
              <w:jc w:val="both"/>
            </w:pPr>
            <w:r>
              <w:rPr>
                <w:rFonts w:ascii="仿宋_GB2312" w:hAnsi="仿宋_GB2312" w:cs="仿宋_GB2312" w:eastAsia="仿宋_GB2312"/>
              </w:rPr>
              <w:t>(12)</w:t>
            </w:r>
            <w:r>
              <w:rPr>
                <w:rFonts w:ascii="仿宋_GB2312" w:hAnsi="仿宋_GB2312" w:cs="仿宋_GB2312" w:eastAsia="仿宋_GB2312"/>
              </w:rPr>
              <w:t>质量标准</w:t>
            </w:r>
            <w:r>
              <w:rPr>
                <w:rFonts w:ascii="仿宋_GB2312" w:hAnsi="仿宋_GB2312" w:cs="仿宋_GB2312" w:eastAsia="仿宋_GB2312"/>
              </w:rPr>
              <w:t>:</w:t>
            </w:r>
            <w:r>
              <w:rPr>
                <w:rFonts w:ascii="仿宋_GB2312" w:hAnsi="仿宋_GB2312" w:cs="仿宋_GB2312" w:eastAsia="仿宋_GB2312"/>
              </w:rPr>
              <w:t>合格。</w:t>
            </w:r>
          </w:p>
          <w:p>
            <w:pPr>
              <w:pStyle w:val="null3"/>
              <w:ind w:firstLine="482"/>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编制依据</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）国家现行有关法律、法规及工时制定实施办法。</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）现行建筑安装工程设计标准、施工验收规范、安装操作规程、质量评定标准等。</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）历年已完工程合同工期、实际工期等调研资料。</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）《建筑装饰装修工程施工质量验收规范》</w:t>
            </w:r>
            <w:r>
              <w:rPr>
                <w:rFonts w:ascii="仿宋_GB2312" w:hAnsi="仿宋_GB2312" w:cs="仿宋_GB2312" w:eastAsia="仿宋_GB2312"/>
              </w:rPr>
              <w:t>GB50210-2001</w:t>
            </w:r>
            <w:r>
              <w:rPr>
                <w:rFonts w:ascii="仿宋_GB2312" w:hAnsi="仿宋_GB2312" w:cs="仿宋_GB2312" w:eastAsia="仿宋_GB2312"/>
              </w:rPr>
              <w:t>等规范。</w:t>
            </w:r>
          </w:p>
          <w:p>
            <w:pPr>
              <w:pStyle w:val="null3"/>
              <w:ind w:firstLine="480"/>
              <w:jc w:val="both"/>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、商务要求</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）工期：中标通知书下发后</w:t>
            </w:r>
            <w:r>
              <w:rPr>
                <w:rFonts w:ascii="仿宋_GB2312" w:hAnsi="仿宋_GB2312" w:cs="仿宋_GB2312" w:eastAsia="仿宋_GB2312"/>
              </w:rPr>
              <w:t>75</w:t>
            </w:r>
            <w:r>
              <w:rPr>
                <w:rFonts w:ascii="仿宋_GB2312" w:hAnsi="仿宋_GB2312" w:cs="仿宋_GB2312" w:eastAsia="仿宋_GB2312"/>
              </w:rPr>
              <w:t>个日历日，施工方每延误交工一天，学校按</w:t>
            </w:r>
            <w:r>
              <w:rPr>
                <w:rFonts w:ascii="仿宋_GB2312" w:hAnsi="仿宋_GB2312" w:cs="仿宋_GB2312" w:eastAsia="仿宋_GB2312"/>
              </w:rPr>
              <w:t>5000/</w:t>
            </w:r>
            <w:r>
              <w:rPr>
                <w:rFonts w:ascii="仿宋_GB2312" w:hAnsi="仿宋_GB2312" w:cs="仿宋_GB2312" w:eastAsia="仿宋_GB2312"/>
              </w:rPr>
              <w:t>天扣除施工方工程款</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）质保期：本项目自竣工验收合格通过之日起，整体质保</w:t>
            </w:r>
            <w:r>
              <w:rPr>
                <w:rFonts w:ascii="仿宋_GB2312" w:hAnsi="仿宋_GB2312" w:cs="仿宋_GB2312" w:eastAsia="仿宋_GB2312"/>
              </w:rPr>
              <w:t>2</w:t>
            </w:r>
            <w:r>
              <w:rPr>
                <w:rFonts w:ascii="仿宋_GB2312" w:hAnsi="仿宋_GB2312" w:cs="仿宋_GB2312" w:eastAsia="仿宋_GB2312"/>
              </w:rPr>
              <w:t>年。</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）保修要求：属于保修范围和内容的项目，承包人应在接到维修通知后，</w:t>
            </w:r>
            <w:r>
              <w:rPr>
                <w:rFonts w:ascii="仿宋_GB2312" w:hAnsi="仿宋_GB2312" w:cs="仿宋_GB2312" w:eastAsia="仿宋_GB2312"/>
              </w:rPr>
              <w:t xml:space="preserve">3 </w:t>
            </w:r>
            <w:r>
              <w:rPr>
                <w:rFonts w:ascii="仿宋_GB2312" w:hAnsi="仿宋_GB2312" w:cs="仿宋_GB2312" w:eastAsia="仿宋_GB2312"/>
              </w:rPr>
              <w:t xml:space="preserve">天内派人维修。发生紧急抢修事故（如上水管跑水、爆裂，供电设施漏、断电等），承包人应在接到事故通知后 </w:t>
            </w:r>
            <w:r>
              <w:rPr>
                <w:rFonts w:ascii="仿宋_GB2312" w:hAnsi="仿宋_GB2312" w:cs="仿宋_GB2312" w:eastAsia="仿宋_GB2312"/>
              </w:rPr>
              <w:t xml:space="preserve">2  </w:t>
            </w:r>
            <w:r>
              <w:rPr>
                <w:rFonts w:ascii="仿宋_GB2312" w:hAnsi="仿宋_GB2312" w:cs="仿宋_GB2312" w:eastAsia="仿宋_GB2312"/>
              </w:rPr>
              <w:t>小时内到达事故现场并于</w:t>
            </w:r>
            <w:r>
              <w:rPr>
                <w:rFonts w:ascii="仿宋_GB2312" w:hAnsi="仿宋_GB2312" w:cs="仿宋_GB2312" w:eastAsia="仿宋_GB2312"/>
              </w:rPr>
              <w:t>3</w:t>
            </w:r>
            <w:r>
              <w:rPr>
                <w:rFonts w:ascii="仿宋_GB2312" w:hAnsi="仿宋_GB2312" w:cs="仿宋_GB2312" w:eastAsia="仿宋_GB2312"/>
              </w:rPr>
              <w:t>小时内完成应急维修；</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）合同价款支付方式：</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结算单位：采购人结算，在付款前必须开具等额发票给采购人。</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付款方式</w:t>
            </w:r>
          </w:p>
          <w:p>
            <w:pPr>
              <w:pStyle w:val="null3"/>
              <w:ind w:firstLine="480"/>
              <w:jc w:val="both"/>
            </w:pPr>
            <w:r>
              <w:rPr>
                <w:rFonts w:ascii="仿宋_GB2312" w:hAnsi="仿宋_GB2312" w:cs="仿宋_GB2312" w:eastAsia="仿宋_GB2312"/>
              </w:rPr>
              <w:t>2.1</w:t>
            </w:r>
            <w:r>
              <w:rPr>
                <w:rFonts w:ascii="仿宋_GB2312" w:hAnsi="仿宋_GB2312" w:cs="仿宋_GB2312" w:eastAsia="仿宋_GB2312"/>
              </w:rPr>
              <w:t>成交供应商在采购合同签订前</w:t>
            </w:r>
            <w:r>
              <w:rPr>
                <w:rFonts w:ascii="仿宋_GB2312" w:hAnsi="仿宋_GB2312" w:cs="仿宋_GB2312" w:eastAsia="仿宋_GB2312"/>
              </w:rPr>
              <w:t>5</w:t>
            </w:r>
            <w:r>
              <w:rPr>
                <w:rFonts w:ascii="仿宋_GB2312" w:hAnsi="仿宋_GB2312" w:cs="仿宋_GB2312" w:eastAsia="仿宋_GB2312"/>
              </w:rPr>
              <w:t>个工作日内，向采购人缴纳合同总价</w:t>
            </w:r>
            <w:r>
              <w:rPr>
                <w:rFonts w:ascii="仿宋_GB2312" w:hAnsi="仿宋_GB2312" w:cs="仿宋_GB2312" w:eastAsia="仿宋_GB2312"/>
              </w:rPr>
              <w:t>5%</w:t>
            </w:r>
            <w:r>
              <w:rPr>
                <w:rFonts w:ascii="仿宋_GB2312" w:hAnsi="仿宋_GB2312" w:cs="仿宋_GB2312" w:eastAsia="仿宋_GB2312"/>
              </w:rPr>
              <w:t>的履约保证金；</w:t>
            </w:r>
          </w:p>
          <w:p>
            <w:pPr>
              <w:pStyle w:val="null3"/>
              <w:ind w:firstLine="480"/>
              <w:jc w:val="both"/>
            </w:pPr>
            <w:r>
              <w:rPr>
                <w:rFonts w:ascii="仿宋_GB2312" w:hAnsi="仿宋_GB2312" w:cs="仿宋_GB2312" w:eastAsia="仿宋_GB2312"/>
              </w:rPr>
              <w:t>2.2</w:t>
            </w:r>
            <w:r>
              <w:rPr>
                <w:rFonts w:ascii="仿宋_GB2312" w:hAnsi="仿宋_GB2312" w:cs="仿宋_GB2312" w:eastAsia="仿宋_GB2312"/>
              </w:rPr>
              <w:t>合同签订后支付施工合同价款的</w:t>
            </w:r>
            <w:r>
              <w:rPr>
                <w:rFonts w:ascii="仿宋_GB2312" w:hAnsi="仿宋_GB2312" w:cs="仿宋_GB2312" w:eastAsia="仿宋_GB2312"/>
              </w:rPr>
              <w:t>30%</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2.3</w:t>
            </w:r>
            <w:r>
              <w:rPr>
                <w:rFonts w:ascii="仿宋_GB2312" w:hAnsi="仿宋_GB2312" w:cs="仿宋_GB2312" w:eastAsia="仿宋_GB2312"/>
              </w:rPr>
              <w:t>主要材料进场验收后支付至施工合同价款</w:t>
            </w:r>
            <w:r>
              <w:rPr>
                <w:rFonts w:ascii="仿宋_GB2312" w:hAnsi="仿宋_GB2312" w:cs="仿宋_GB2312" w:eastAsia="仿宋_GB2312"/>
              </w:rPr>
              <w:t>60%</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2.4</w:t>
            </w:r>
            <w:r>
              <w:rPr>
                <w:rFonts w:ascii="仿宋_GB2312" w:hAnsi="仿宋_GB2312" w:cs="仿宋_GB2312" w:eastAsia="仿宋_GB2312"/>
              </w:rPr>
              <w:t>竣工验收合格后支付施工合同价款</w:t>
            </w:r>
            <w:r>
              <w:rPr>
                <w:rFonts w:ascii="仿宋_GB2312" w:hAnsi="仿宋_GB2312" w:cs="仿宋_GB2312" w:eastAsia="仿宋_GB2312"/>
              </w:rPr>
              <w:t>80%</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2.5</w:t>
            </w:r>
            <w:r>
              <w:rPr>
                <w:rFonts w:ascii="仿宋_GB2312" w:hAnsi="仿宋_GB2312" w:cs="仿宋_GB2312" w:eastAsia="仿宋_GB2312"/>
              </w:rPr>
              <w:t>待审计结算后按审定金额支付至</w:t>
            </w:r>
            <w:r>
              <w:rPr>
                <w:rFonts w:ascii="仿宋_GB2312" w:hAnsi="仿宋_GB2312" w:cs="仿宋_GB2312" w:eastAsia="仿宋_GB2312"/>
              </w:rPr>
              <w:t>97%</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2.6</w:t>
            </w:r>
            <w:r>
              <w:rPr>
                <w:rFonts w:ascii="仿宋_GB2312" w:hAnsi="仿宋_GB2312" w:cs="仿宋_GB2312" w:eastAsia="仿宋_GB2312"/>
              </w:rPr>
              <w:t>项目终验合格后支付剩余</w:t>
            </w:r>
            <w:r>
              <w:rPr>
                <w:rFonts w:ascii="仿宋_GB2312" w:hAnsi="仿宋_GB2312" w:cs="仿宋_GB2312" w:eastAsia="仿宋_GB2312"/>
              </w:rPr>
              <w:t>3%,</w:t>
            </w:r>
            <w:r>
              <w:rPr>
                <w:rFonts w:ascii="仿宋_GB2312" w:hAnsi="仿宋_GB2312" w:cs="仿宋_GB2312" w:eastAsia="仿宋_GB2312"/>
              </w:rPr>
              <w:t>无质保金。</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7</w:t>
            </w:r>
            <w:r>
              <w:rPr>
                <w:rFonts w:ascii="仿宋_GB2312" w:hAnsi="仿宋_GB2312" w:cs="仿宋_GB2312" w:eastAsia="仿宋_GB2312"/>
              </w:rPr>
              <w:t>每次付款时，</w:t>
            </w:r>
            <w:r>
              <w:rPr>
                <w:rFonts w:ascii="仿宋_GB2312" w:hAnsi="仿宋_GB2312" w:cs="仿宋_GB2312" w:eastAsia="仿宋_GB2312"/>
              </w:rPr>
              <w:t>成交供应商</w:t>
            </w:r>
            <w:r>
              <w:rPr>
                <w:rFonts w:ascii="仿宋_GB2312" w:hAnsi="仿宋_GB2312" w:cs="仿宋_GB2312" w:eastAsia="仿宋_GB2312"/>
              </w:rPr>
              <w:t>向</w:t>
            </w:r>
            <w:r>
              <w:rPr>
                <w:rFonts w:ascii="仿宋_GB2312" w:hAnsi="仿宋_GB2312" w:cs="仿宋_GB2312" w:eastAsia="仿宋_GB2312"/>
              </w:rPr>
              <w:t>采购人</w:t>
            </w:r>
            <w:r>
              <w:rPr>
                <w:rFonts w:ascii="仿宋_GB2312" w:hAnsi="仿宋_GB2312" w:cs="仿宋_GB2312" w:eastAsia="仿宋_GB2312"/>
              </w:rPr>
              <w:t>提供等额的增值税发票（如遇学校寒暑假，则顺延至学校开学后无息支付</w:t>
            </w:r>
            <w:r>
              <w:rPr>
                <w:rFonts w:ascii="仿宋_GB2312" w:hAnsi="仿宋_GB2312" w:cs="仿宋_GB2312" w:eastAsia="仿宋_GB2312"/>
              </w:rPr>
              <w:t>)</w:t>
            </w:r>
            <w:r>
              <w:rPr>
                <w:rFonts w:ascii="仿宋_GB2312" w:hAnsi="仿宋_GB2312" w:cs="仿宋_GB2312" w:eastAsia="仿宋_GB2312"/>
              </w:rPr>
              <w:t>。</w:t>
            </w:r>
          </w:p>
          <w:p>
            <w:pPr>
              <w:pStyle w:val="null3"/>
              <w:ind w:firstLine="480"/>
              <w:jc w:val="both"/>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其他</w:t>
            </w:r>
            <w:r>
              <w:rPr>
                <w:rFonts w:ascii="仿宋_GB2312" w:hAnsi="仿宋_GB2312" w:cs="仿宋_GB2312" w:eastAsia="仿宋_GB2312"/>
                <w:sz w:val="24"/>
                <w:b/>
                <w:color w:val="000000"/>
              </w:rPr>
              <w:t>要求</w:t>
            </w:r>
          </w:p>
          <w:p>
            <w:pPr>
              <w:pStyle w:val="null3"/>
              <w:ind w:firstLine="480"/>
              <w:jc w:val="both"/>
            </w:pPr>
            <w:r>
              <w:rPr>
                <w:rFonts w:ascii="仿宋_GB2312" w:hAnsi="仿宋_GB2312" w:cs="仿宋_GB2312" w:eastAsia="仿宋_GB2312"/>
              </w:rPr>
              <w:t>施工单位须满足遵守以下法规条例：</w:t>
            </w:r>
          </w:p>
          <w:p>
            <w:pPr>
              <w:pStyle w:val="null3"/>
              <w:ind w:firstLine="480"/>
              <w:jc w:val="both"/>
            </w:pPr>
            <w:r>
              <w:rPr>
                <w:rFonts w:ascii="仿宋_GB2312" w:hAnsi="仿宋_GB2312" w:cs="仿宋_GB2312" w:eastAsia="仿宋_GB2312"/>
              </w:rPr>
              <w:t>《国务院办公厅关于建立政府强制采购节能产品制度的通知》（国发办（</w:t>
            </w:r>
            <w:r>
              <w:rPr>
                <w:rFonts w:ascii="仿宋_GB2312" w:hAnsi="仿宋_GB2312" w:cs="仿宋_GB2312" w:eastAsia="仿宋_GB2312"/>
              </w:rPr>
              <w:t>2007</w:t>
            </w:r>
            <w:r>
              <w:rPr>
                <w:rFonts w:ascii="仿宋_GB2312" w:hAnsi="仿宋_GB2312" w:cs="仿宋_GB2312" w:eastAsia="仿宋_GB2312"/>
              </w:rPr>
              <w:t>）</w:t>
            </w:r>
            <w:r>
              <w:rPr>
                <w:rFonts w:ascii="仿宋_GB2312" w:hAnsi="仿宋_GB2312" w:cs="仿宋_GB2312" w:eastAsia="仿宋_GB2312"/>
              </w:rPr>
              <w:t>51</w:t>
            </w:r>
            <w:r>
              <w:rPr>
                <w:rFonts w:ascii="仿宋_GB2312" w:hAnsi="仿宋_GB2312" w:cs="仿宋_GB2312" w:eastAsia="仿宋_GB2312"/>
              </w:rPr>
              <w:t>号）；</w:t>
            </w:r>
          </w:p>
          <w:p>
            <w:pPr>
              <w:pStyle w:val="null3"/>
              <w:ind w:firstLine="480"/>
              <w:jc w:val="both"/>
            </w:pPr>
            <w:r>
              <w:rPr>
                <w:rFonts w:ascii="仿宋_GB2312" w:hAnsi="仿宋_GB2312" w:cs="仿宋_GB2312" w:eastAsia="仿宋_GB2312"/>
              </w:rPr>
              <w:t>《关于调整优化节能产品、环境标志产品政府采购执行机制的通知》（财库（</w:t>
            </w:r>
            <w:r>
              <w:rPr>
                <w:rFonts w:ascii="仿宋_GB2312" w:hAnsi="仿宋_GB2312" w:cs="仿宋_GB2312" w:eastAsia="仿宋_GB2312"/>
              </w:rPr>
              <w:t>2019</w:t>
            </w: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号）。</w:t>
            </w:r>
          </w:p>
          <w:p>
            <w:pPr>
              <w:pStyle w:val="null3"/>
              <w:ind w:firstLine="480"/>
              <w:jc w:val="both"/>
            </w:pPr>
            <w:r>
              <w:rPr>
                <w:rFonts w:ascii="仿宋_GB2312" w:hAnsi="仿宋_GB2312" w:cs="仿宋_GB2312" w:eastAsia="仿宋_GB2312"/>
              </w:rPr>
              <w:t>《建筑工程绿色施工规范》</w:t>
            </w:r>
            <w:r>
              <w:rPr>
                <w:rFonts w:ascii="仿宋_GB2312" w:hAnsi="仿宋_GB2312" w:cs="仿宋_GB2312" w:eastAsia="仿宋_GB2312"/>
              </w:rPr>
              <w:t xml:space="preserve">GB/T 50905-2014 </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配套工作上，供应商需负责设备的运输、安装、调试以及后续的培训工作。在运输过程中要采取妥善的保护措施，防止设备受损。安装过程要严格按照相关标准和规范进行，确保设备安装牢固、连接正确。调试工作要全面、细致，确保设备各项功能正常运行。同时，要为使用方提供系统的操作培训，使相关人员能够熟练掌握设备的使用和维护方法。</w:t>
            </w:r>
          </w:p>
          <w:p>
            <w:pPr>
              <w:pStyle w:val="null3"/>
              <w:ind w:firstLine="480"/>
              <w:jc w:val="both"/>
            </w:pPr>
            <w:r>
              <w:rPr>
                <w:rFonts w:ascii="仿宋_GB2312" w:hAnsi="仿宋_GB2312" w:cs="仿宋_GB2312" w:eastAsia="仿宋_GB2312"/>
              </w:rPr>
              <w:t>绿色、节能、环保要求方面，项目所使用的材料应符合国家相关的环保标准，优先选用可回收、可再生的材料。在施工过程中，要尽量减少能源消耗，采用节能型的施工设备和工艺。对于施工过程中产生的废弃物，要进行分类处理，做到资源的合理利用和环境的有效保护。</w:t>
            </w:r>
          </w:p>
          <w:p>
            <w:pPr>
              <w:pStyle w:val="null3"/>
            </w:pPr>
            <w:r>
              <w:rPr>
                <w:rFonts w:ascii="仿宋_GB2312" w:hAnsi="仿宋_GB2312" w:cs="仿宋_GB2312" w:eastAsia="仿宋_GB2312"/>
                <w:sz w:val="21"/>
              </w:rPr>
              <w:t>其他需说明的情况，若在施工过程中遇到不可抗力因素或其他特殊情况，供应商应及时与项目单位沟通，共同协商解决方案。同时，供应商要严格遵守国家的法律法规和相关政策要求，确保项目的合法性和合规性。在项目实施过程中，要建立健全的质量管理制度和安全管理制度，保障项目的顺利进行和人员的安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本工程按国家和陕西省西安市现行质量评定标准和施工技术验收规范执行，在工程施工期间颁布新规范或新版本适用本工程的需遵照执行。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具体施工内容详见分部分项工程量清单。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（1）供应商需要在线提交所有通过电子化交易平台实施的政府采购项目的响应文件，同时，线下提交纸质响应文件正本壹份、副本壹份。若电子响应文件与纸质响应文件不一致的，以电子响应文件为准。 （2）响应文件，正、副本分别各自装订成册密封。在封口处加盖供应商公章。 （3）线下响应文件递交截止时间与线上开评标时间一致。 （4）纸质响应文件可邮寄递交，应于递交响应文件截止时间前邮寄到西安市高新区丈八一路1号汇鑫中心D座2206室（陕西德勤招标有限公司）。 3.磋商保证金注意事项：（1）磋商保证金须从供应商户名支付，如从个人户名或非供应商户名支付，将被拒绝，视为自动放弃磋商权利（该个人是供应商的情形除外）；以保函形式交纳磋商保证金的，供应商应在响应截止时间前将保函扫描成清晰的PDF文件，发送至邮箱deqinjxm@126.com（邮件命名：项目编号、包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提供开标前一年内任意时段已缴纳的社会保障资金缴存单据或社保机构开具的社会保险参保缴费情况证明；依法不需要缴纳社会保障资金的应提供相关文件证明。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控股和管理关系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供应商应具有建设行政主管部门颁发的建筑工程施工总承包三级及以上或建筑装修装修二级及以上资质，且具有建设行政主管部门颁发的安全生产许可证。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拟派项目经理需具备（注册建造师二级）建筑工程专业及以上执业资格，具备有效的安全生产考核合格B证，在本单位注册且无在建项目，提供无在建承诺书（内容格式自拟）。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1.1响应报价低于全部通过符合性审查供应商响应标报价平均值50%的，即响应报价&lt;全部通过符合性审查供应商响应报价平均值×50%； 1.2响应报价低于通过符合性审查的次低报价供应商投标报价50%的，即响应报价&lt;通过符合性审查的次低报价供应商投标报价×50%； 1.3响应报价低于采购项目最高限价45%的，即响应报价&lt;采购项目最高限价×45%； 1.4磋商小组基于专业判断，认为供应商报价过低，有可能影响产品质量或者不能诚信履约的其他情形。 2.相关法律法规对供应商报价有规定的，从其规定。 3.磋商小组启动异常低价响应审查后，属于（1）中第（1.1）项至第（1.4）项情形的，应当要求相关供应商在30分钟内对响应价格作出解释，提供项目具体成本测算等与报价合理性相关的书面说明及必要的证明材料，包括但不限于原材料成本、人工成本、制造费用等。其中，属于第（1.3）项情形，供应商已随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磋商小组不能提供书面说明、证明材料，或者提供的书面说明、证明材料不能证明其报价合理性的，磋商小组应当将其作为无效响应处理。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已标价工程量清单 法定代表人授权委托书 保证金汇款声明函 中小企业声明函 技术服务合同条款及其他商务要求应答表 供应商应提交的相关资格证明材料 控股管理关系 强制优先采购产品承诺函 非联合体不分包磋商声明 近三年无重大违法、违纪书面声明 响应文件封面 施工组织方案 项目管理机构组成表 残疾人福利性单位声明函 报价函 标的清单 供应商类似项目业绩一览表 响应函 书面声明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已标价工程量清单 法定代表人授权委托书 保证金汇款声明函 中小企业声明函 技术服务合同条款及其他商务要求应答表 供应商应提交的相关资格证明材料 控股管理关系 强制优先采购产品承诺函 响应文件封面 非联合体不分包磋商声明 近三年无重大违法、违纪书面声明 施工组织方案 项目管理机构组成表 残疾人福利性单位声明函 报价函 标的清单 供应商类似项目业绩一览表 响应函 书面声明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（2）报价函填写符合要求；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商务条款响应</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已标价工程量清单 法定代表人授权委托书 保证金汇款声明函 中小企业声明函 技术服务合同条款及其他商务要求应答表 供应商应提交的相关资格证明材料 控股管理关系 强制优先采购产品承诺函 响应文件封面 非联合体不分包磋商声明 近三年无重大违法、违纪书面声明 施工组织方案 项目管理机构组成表 残疾人福利性单位声明函 报价函 标的清单 供应商类似项目业绩一览表 响应函 书面声明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施工组织及项目管理设置合理、全面。对工程项目的实施具有有效地计划、组织、协调、控制，针对性强、可行性强，能完全确保实现项目的管理目标的得10分； 施工组织及项目管理设置合理、全面。对工程项目的实施具有一定的计划、组织、协调、控制效果，有一定的合理性和可行性的得6分； 施工组织及项目管理设置基本全面、合理，基本能确保实现项目管理目标的得3分； 施工组织或项目管理机构设置部分存在不合理，但总体基本能达到项目管理目标的得1分； 未提供或安排不合理，达不到管理目标的不得分。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施工方案全面、合理，施工方法先进，可行性强，完全满足工程施工要求的得10分； 施工方案全面、合理，施工方法较先进，有一定的可行性，能满足工程施工要求的得6分； 施工方案较完整、合理，施工方案有针对性，基本可行，满足工程施工要求的得3分； 施工方案存在部分不完整，施工方法针对本项目基本可行的得1分； 未提供或明显不合理的不得分。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针对本项目可能出现的问题及重大故障，（包括但不限于因施工造成的水、电、通信的中断抢修、恶劣天气、人为因素等情况）分析全面，应急措施和解决方案具体，可行性强的得5分； 针对本项目可能出现的问题及重大故障有较全面得分析，应急措施和解决方案有一定合理性和可行性的得3分； 针对本项目可能出现的问题及重大故障有基本全面得分析，应急措施和解决方案基本合理可行的得1分； 未提供或存在明显不合理的不得分。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质量保修承诺内容完善，合理得5分； 质量保修承诺内容基本完善，基本合理得3分； 质量保修承诺内容不完善，合理性较差得1分； 注：若出现缺项或只有标题无内容或内容有严重错误者，该项得0分。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进度计划安排，施工进度表和施工网络图</w:t>
            </w:r>
          </w:p>
        </w:tc>
        <w:tc>
          <w:tcPr>
            <w:tcW w:type="dxa" w:w="2492"/>
          </w:tcPr>
          <w:p>
            <w:pPr>
              <w:pStyle w:val="null3"/>
            </w:pPr>
            <w:r>
              <w:rPr>
                <w:rFonts w:ascii="仿宋_GB2312" w:hAnsi="仿宋_GB2312" w:cs="仿宋_GB2312" w:eastAsia="仿宋_GB2312"/>
              </w:rPr>
              <w:t>进度安排合理、可行、科学、符合项目实施需求，施工进度表或网络图表达清晰、合理的得5分； 进度安排较合理、较可行、较符合项目实施需求，施工进度表或网络图表达较不明确、较不清晰的得3分； 进度安排合理和可行较差的，施工进度表或网络图表达不明确、不清晰、较混乱的得1分；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投入本项目机械设备及劳动力安排</w:t>
            </w:r>
          </w:p>
        </w:tc>
        <w:tc>
          <w:tcPr>
            <w:tcW w:type="dxa" w:w="2492"/>
          </w:tcPr>
          <w:p>
            <w:pPr>
              <w:pStyle w:val="null3"/>
            </w:pPr>
            <w:r>
              <w:rPr>
                <w:rFonts w:ascii="仿宋_GB2312" w:hAnsi="仿宋_GB2312" w:cs="仿宋_GB2312" w:eastAsia="仿宋_GB2312"/>
              </w:rPr>
              <w:t>机械配备投入合且数量充足、投入计划紧贴项目进度，劳动力安排合理，可操作性强，能够确保项目如期保质完成的得5分； 机械配备投入计划基本合理，基本与项目进度匹配，劳动力数量基本合理，计划表基本清晰、可行，能保证项目建设进度的得3分； 机械配备投入数量存在部分不合理，与项目建设进度匹配度较差，劳动力数量存在部分不合理，计划表不清晰、可行性较差的得1分；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主要材料选型</w:t>
            </w:r>
          </w:p>
        </w:tc>
        <w:tc>
          <w:tcPr>
            <w:tcW w:type="dxa" w:w="2492"/>
          </w:tcPr>
          <w:p>
            <w:pPr>
              <w:pStyle w:val="null3"/>
            </w:pPr>
            <w:r>
              <w:rPr>
                <w:rFonts w:ascii="仿宋_GB2312" w:hAnsi="仿宋_GB2312" w:cs="仿宋_GB2312" w:eastAsia="仿宋_GB2312"/>
              </w:rPr>
              <w:t>依据供应商提供的本项目装修主要材料清单、选型说明、品牌档次、环保标准、技术参数、质量等级、样品匹配度及施工适配性进行综合评审： 主要材料选型齐全、品牌一线及以上、环保等级高于国标、整体用料品质高、完全贴合项目定位与使用需求，方案完善详实，得10分；主要材料选型齐全、品牌合规、参数满足采购要求、环保达标、方案完整合理，得6分；主要材料选型不全、品牌档次一般、参数仅基本达标、方案简略，得3分； 主要材料缺失关键品类、选型不符合招标要求、环保及质量不达标，本项不计分。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确保文明施工、环境保护的组织措施</w:t>
            </w:r>
          </w:p>
        </w:tc>
        <w:tc>
          <w:tcPr>
            <w:tcW w:type="dxa" w:w="2492"/>
          </w:tcPr>
          <w:p>
            <w:pPr>
              <w:pStyle w:val="null3"/>
            </w:pPr>
            <w:r>
              <w:rPr>
                <w:rFonts w:ascii="仿宋_GB2312" w:hAnsi="仿宋_GB2312" w:cs="仿宋_GB2312" w:eastAsia="仿宋_GB2312"/>
              </w:rPr>
              <w:t>措施全面、完整，能从多方面确保文明施工、考虑影响环境得因素，并提出相关解决和防治措施，实施度高、可落地性强，可确保达到环境保护的要求得5分； 措施基本全面、完整，基本有一定的可行性，能基本满足文明施工、环境保护要求的得3分 措施存在较大不合理性、内容简单的得1分；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措施完整全面，能够从多方面保证安全生产，且合理性、可行性强的得5分； 措施基本完整全面，能从多个方面确保安全生产，基本合理、可行的得3分； 措施不完整、全面，但有一定的可行性的得1分；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提供2023年1月1日以来同类项目业绩（以合同复印件加盖供应商公章为准，时间以签订时间为准），每提供1份得2分，本项满分10分。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施工组织方案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详见附件：施工组织方案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