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277D8C">
      <w:pPr>
        <w:pStyle w:val="4"/>
        <w:spacing w:line="360" w:lineRule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一、项目概况</w:t>
      </w:r>
    </w:p>
    <w:p w14:paraId="1C2374C3">
      <w:pPr>
        <w:pStyle w:val="4"/>
        <w:spacing w:line="360" w:lineRule="auto"/>
        <w:ind w:firstLine="400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本项目须严格遵循政府公务办会标准及财政采购规范开展，主要涵盖开闭幕式、平行分会等会场服务，配套活动统筹，嘉宾接待，会务翻译以及宣传推广等工作，需破解大会筹备与举办过程中的各类难点，保障大会各项议程有序推进，确保实现大会高标准、高质量举办的目标。</w:t>
      </w:r>
    </w:p>
    <w:p w14:paraId="12907100">
      <w:pPr>
        <w:pStyle w:val="4"/>
        <w:spacing w:line="360" w:lineRule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二、服务内容</w:t>
      </w:r>
    </w:p>
    <w:p w14:paraId="52848F2A">
      <w:pPr>
        <w:pStyle w:val="4"/>
        <w:spacing w:line="360" w:lineRule="auto"/>
        <w:ind w:firstLine="400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（一）服务期限</w:t>
      </w:r>
    </w:p>
    <w:p w14:paraId="2E142457">
      <w:pPr>
        <w:pStyle w:val="4"/>
        <w:spacing w:line="360" w:lineRule="auto"/>
        <w:ind w:firstLine="400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自合同签订之日起，至2026年12月31日且大会全部活动完成、项目验收及配套收尾工作全部办结为止。</w:t>
      </w:r>
    </w:p>
    <w:p w14:paraId="0C26E4CA">
      <w:pPr>
        <w:pStyle w:val="4"/>
        <w:spacing w:line="360" w:lineRule="auto"/>
        <w:ind w:firstLine="400"/>
        <w:rPr>
          <w:sz w:val="28"/>
          <w:szCs w:val="28"/>
          <w:highlight w:val="none"/>
        </w:rPr>
      </w:pPr>
      <w:r>
        <w:rPr>
          <w:rFonts w:ascii="仿宋_GB2312" w:hAnsi="仿宋_GB2312" w:eastAsia="仿宋_GB2312" w:cs="仿宋_GB2312"/>
          <w:sz w:val="28"/>
          <w:szCs w:val="28"/>
          <w:highlight w:val="none"/>
        </w:rPr>
        <w:t>（二）日程安排</w:t>
      </w:r>
    </w:p>
    <w:p w14:paraId="0EFE2131">
      <w:pPr>
        <w:pStyle w:val="4"/>
        <w:spacing w:line="360" w:lineRule="auto"/>
        <w:ind w:firstLine="400"/>
        <w:rPr>
          <w:rFonts w:ascii="仿宋_GB2312" w:hAnsi="仿宋_GB2312" w:eastAsia="仿宋_GB2312" w:cs="仿宋_GB2312"/>
          <w:sz w:val="28"/>
          <w:szCs w:val="28"/>
          <w:highlight w:val="none"/>
        </w:rPr>
      </w:pPr>
      <w:r>
        <w:rPr>
          <w:rFonts w:ascii="仿宋_GB2312" w:hAnsi="仿宋_GB2312" w:eastAsia="仿宋_GB2312" w:cs="仿宋_GB2312"/>
          <w:sz w:val="28"/>
          <w:szCs w:val="28"/>
          <w:highlight w:val="none"/>
        </w:rPr>
        <w:t>第一天嘉宾报到、欢迎晚宴、观看入城式表演；第二天开幕式暨主题大会、4场平行分论坛、3个配套活动；第三天闭幕式暨颁奖典礼、4个配套活动；</w:t>
      </w:r>
    </w:p>
    <w:p w14:paraId="1F1758B6">
      <w:pPr>
        <w:pStyle w:val="4"/>
        <w:spacing w:line="360" w:lineRule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三、</w:t>
      </w:r>
      <w:r>
        <w:rPr>
          <w:rFonts w:ascii="仿宋_GB2312" w:hAnsi="仿宋_GB2312" w:eastAsia="仿宋_GB2312" w:cs="仿宋_GB2312"/>
          <w:sz w:val="28"/>
          <w:szCs w:val="28"/>
        </w:rPr>
        <w:t>具体工作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内容</w:t>
      </w:r>
    </w:p>
    <w:p w14:paraId="68964ECB">
      <w:pPr>
        <w:pStyle w:val="4"/>
        <w:spacing w:line="360" w:lineRule="auto"/>
        <w:ind w:firstLine="400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包括</w:t>
      </w:r>
      <w:r>
        <w:rPr>
          <w:rFonts w:ascii="仿宋_GB2312" w:hAnsi="仿宋_GB2312" w:eastAsia="仿宋_GB2312" w:cs="仿宋_GB2312"/>
          <w:sz w:val="28"/>
          <w:szCs w:val="28"/>
          <w:highlight w:val="none"/>
        </w:rPr>
        <w:t>项目活动组织实施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、</w:t>
      </w:r>
      <w:r>
        <w:rPr>
          <w:rFonts w:ascii="仿宋_GB2312" w:hAnsi="仿宋_GB2312" w:eastAsia="仿宋_GB2312" w:cs="仿宋_GB2312"/>
          <w:sz w:val="28"/>
          <w:szCs w:val="28"/>
          <w:highlight w:val="none"/>
        </w:rPr>
        <w:t>视觉设计与会场搭建方案设计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、</w:t>
      </w:r>
      <w:r>
        <w:rPr>
          <w:rFonts w:ascii="仿宋_GB2312" w:hAnsi="仿宋_GB2312" w:eastAsia="仿宋_GB2312" w:cs="仿宋_GB2312"/>
          <w:sz w:val="28"/>
          <w:szCs w:val="28"/>
          <w:highlight w:val="none"/>
        </w:rPr>
        <w:t>项目统筹与质量管理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、</w:t>
      </w:r>
      <w:r>
        <w:rPr>
          <w:rFonts w:ascii="仿宋_GB2312" w:hAnsi="仿宋_GB2312" w:eastAsia="仿宋_GB2312" w:cs="仿宋_GB2312"/>
          <w:sz w:val="28"/>
          <w:szCs w:val="28"/>
          <w:highlight w:val="none"/>
        </w:rPr>
        <w:t>嘉宾接待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、</w:t>
      </w:r>
      <w:r>
        <w:rPr>
          <w:rFonts w:ascii="仿宋_GB2312" w:hAnsi="仿宋_GB2312" w:eastAsia="仿宋_GB2312" w:cs="仿宋_GB2312"/>
          <w:sz w:val="28"/>
          <w:szCs w:val="28"/>
          <w:highlight w:val="none"/>
        </w:rPr>
        <w:t>场地租赁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、</w:t>
      </w:r>
      <w:r>
        <w:rPr>
          <w:rFonts w:ascii="仿宋_GB2312" w:hAnsi="仿宋_GB2312" w:eastAsia="仿宋_GB2312" w:cs="仿宋_GB2312"/>
          <w:sz w:val="28"/>
          <w:szCs w:val="28"/>
          <w:highlight w:val="none"/>
        </w:rPr>
        <w:t>会务物料制作交付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、</w:t>
      </w:r>
      <w:r>
        <w:rPr>
          <w:rFonts w:ascii="仿宋_GB2312" w:hAnsi="仿宋_GB2312" w:eastAsia="仿宋_GB2312" w:cs="仿宋_GB2312"/>
          <w:sz w:val="28"/>
          <w:szCs w:val="28"/>
          <w:highlight w:val="none"/>
        </w:rPr>
        <w:t>专业岗位人员配置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、</w:t>
      </w:r>
      <w:r>
        <w:rPr>
          <w:rFonts w:ascii="仿宋_GB2312" w:hAnsi="仿宋_GB2312" w:eastAsia="仿宋_GB2312" w:cs="仿宋_GB2312"/>
          <w:sz w:val="28"/>
          <w:szCs w:val="28"/>
          <w:highlight w:val="none"/>
        </w:rPr>
        <w:t>会场搭建与拆除工程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、</w:t>
      </w:r>
      <w:r>
        <w:rPr>
          <w:rFonts w:ascii="仿宋_GB2312" w:hAnsi="仿宋_GB2312" w:eastAsia="仿宋_GB2312" w:cs="仿宋_GB2312"/>
          <w:sz w:val="28"/>
          <w:szCs w:val="28"/>
          <w:highlight w:val="none"/>
        </w:rPr>
        <w:t>全域氛围营造工程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、</w:t>
      </w:r>
      <w:r>
        <w:rPr>
          <w:rFonts w:ascii="仿宋_GB2312" w:hAnsi="仿宋_GB2312" w:eastAsia="仿宋_GB2312" w:cs="仿宋_GB2312"/>
          <w:sz w:val="28"/>
          <w:szCs w:val="28"/>
          <w:highlight w:val="none"/>
        </w:rPr>
        <w:t>整体宣传推广执行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、</w:t>
      </w:r>
      <w:r>
        <w:rPr>
          <w:rFonts w:ascii="仿宋_GB2312" w:hAnsi="仿宋_GB2312" w:eastAsia="仿宋_GB2312" w:cs="仿宋_GB2312"/>
          <w:sz w:val="28"/>
          <w:szCs w:val="28"/>
          <w:highlight w:val="none"/>
        </w:rPr>
        <w:t>会场音视频灯光硬件技术保障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、</w:t>
      </w:r>
      <w:r>
        <w:rPr>
          <w:rFonts w:ascii="仿宋_GB2312" w:hAnsi="仿宋_GB2312" w:eastAsia="仿宋_GB2312" w:cs="仿宋_GB2312"/>
          <w:sz w:val="28"/>
          <w:szCs w:val="28"/>
          <w:highlight w:val="none"/>
        </w:rPr>
        <w:t>同声传译系统硬件及人员服务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、</w:t>
      </w:r>
      <w:r>
        <w:rPr>
          <w:rFonts w:ascii="仿宋_GB2312" w:hAnsi="仿宋_GB2312" w:eastAsia="仿宋_GB2312" w:cs="仿宋_GB2312"/>
          <w:sz w:val="28"/>
          <w:szCs w:val="28"/>
          <w:highlight w:val="none"/>
        </w:rPr>
        <w:t>活动期间食宿保障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、</w:t>
      </w:r>
      <w:r>
        <w:rPr>
          <w:rFonts w:ascii="仿宋_GB2312" w:hAnsi="仿宋_GB2312" w:eastAsia="仿宋_GB2312" w:cs="仿宋_GB2312"/>
          <w:sz w:val="28"/>
          <w:szCs w:val="28"/>
          <w:highlight w:val="none"/>
        </w:rPr>
        <w:t>交通用车保障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、</w:t>
      </w:r>
      <w:r>
        <w:rPr>
          <w:rFonts w:ascii="仿宋_GB2312" w:hAnsi="仿宋_GB2312" w:eastAsia="仿宋_GB2312" w:cs="仿宋_GB2312"/>
          <w:sz w:val="28"/>
          <w:szCs w:val="28"/>
          <w:highlight w:val="none"/>
        </w:rPr>
        <w:t>报名注册与证件检录系统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等，具体要求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详见采购文件。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2D28CF"/>
    <w:rsid w:val="0A2D28CF"/>
    <w:rsid w:val="0F3A0931"/>
    <w:rsid w:val="27CB6172"/>
    <w:rsid w:val="32CB4565"/>
    <w:rsid w:val="40AF61D9"/>
    <w:rsid w:val="53BF0089"/>
    <w:rsid w:val="62BD432E"/>
    <w:rsid w:val="67B101D9"/>
    <w:rsid w:val="715C11B6"/>
    <w:rsid w:val="7A8F6158"/>
    <w:rsid w:val="7E4B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2026-09-07T11:20:00Z</dcterms:created>
  <dc:creator>白日梦</dc:creator>
  <cp:lastModifiedBy>白日梦</cp:lastModifiedBy>
  <dcterms:modified xsi:type="dcterms:W3CDTF">2026-09-07T11:27:05Z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4FAF6A6FB0FE4804BEE9258AEB9A1207_11</vt:lpwstr>
  </property>
  <property fmtid="{D5CDD505-2E9C-101B-9397-08002B2CF9AE}" pid="4" name="KSOTemplateDocerSaveRecord">
    <vt:lpwstr>eyJoZGlkIjoiZDg0MWZiNTA4OTQ1MDVkZjRjZDk2NTQ2ZWI1YjhmMWIiLCJ1c2VySWQiOiIzMTI3MDEwNzEifQ==</vt:lpwstr>
  </property>
</Properties>
</file>