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版本号：CGZC-2026-043（ZR20GN2026-CS-032）20260624001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工业项目招商咨询服务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CGZC-2026-043（ZR20GN2026-CS-032）</w:t>
      </w:r>
      <w:r>
        <w:br/>
      </w:r>
      <w:r>
        <w:br/>
      </w:r>
      <w:r>
        <w:br/>
      </w:r>
    </w:p>
    <w:p>
      <w:pPr>
        <w:pStyle w:val="null3"/>
        <w:jc w:val="center"/>
        <w:outlineLvl w:val="2"/>
      </w:pPr>
      <w:r>
        <w:rPr>
          <w:rFonts w:ascii="仿宋_GB2312" w:hAnsi="仿宋_GB2312" w:cs="仿宋_GB2312" w:eastAsia="仿宋_GB2312"/>
          <w:sz w:val="28"/>
          <w:b/>
        </w:rPr>
        <w:t>西安浐灞国际港产业促进局</w:t>
      </w:r>
    </w:p>
    <w:p>
      <w:pPr>
        <w:pStyle w:val="null3"/>
        <w:jc w:val="center"/>
        <w:outlineLvl w:val="2"/>
      </w:pPr>
      <w:r>
        <w:rPr>
          <w:rFonts w:ascii="仿宋_GB2312" w:hAnsi="仿宋_GB2312" w:cs="仿宋_GB2312" w:eastAsia="仿宋_GB2312"/>
          <w:sz w:val="28"/>
          <w:b/>
        </w:rPr>
        <w:t>陕西中润国际招标有限公司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陕西中润国际招标有限公司</w:t>
      </w:r>
      <w:r>
        <w:rPr>
          <w:rFonts w:ascii="仿宋_GB2312" w:hAnsi="仿宋_GB2312" w:cs="仿宋_GB2312" w:eastAsia="仿宋_GB2312"/>
        </w:rPr>
        <w:t>（以下简称“代理机构”）受</w:t>
      </w:r>
      <w:r>
        <w:rPr>
          <w:rFonts w:ascii="仿宋_GB2312" w:hAnsi="仿宋_GB2312" w:cs="仿宋_GB2312" w:eastAsia="仿宋_GB2312"/>
        </w:rPr>
        <w:t>西安浐灞国际港产业促进局</w:t>
      </w:r>
      <w:r>
        <w:rPr>
          <w:rFonts w:ascii="仿宋_GB2312" w:hAnsi="仿宋_GB2312" w:cs="仿宋_GB2312" w:eastAsia="仿宋_GB2312"/>
        </w:rPr>
        <w:t>委托，拟对</w:t>
      </w:r>
      <w:r>
        <w:rPr>
          <w:rFonts w:ascii="仿宋_GB2312" w:hAnsi="仿宋_GB2312" w:cs="仿宋_GB2312" w:eastAsia="仿宋_GB2312"/>
        </w:rPr>
        <w:t>工业项目招商咨询服务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CGZC-2026-043（ZR20GN2026-CS-032）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工业项目招商咨询服务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采购产业促进局工业项目招商咨询服务。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采购包1（工业项目招商咨询服务）：属于专门面向中小企业采购。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2、供应商基本资格条件承诺函：供应商需在项目电子化交易系统中按要求填写《基本资格条件承诺函》完成承诺并进行电子签章。</w:t>
      </w:r>
    </w:p>
    <w:p>
      <w:pPr>
        <w:pStyle w:val="null3"/>
      </w:pPr>
      <w:r>
        <w:rPr>
          <w:rFonts w:ascii="仿宋_GB2312" w:hAnsi="仿宋_GB2312" w:cs="仿宋_GB2312" w:eastAsia="仿宋_GB2312"/>
        </w:rPr>
        <w:t>3、身份证明文件：法定代表人或单位负责人参加磋商的，应提供法定代表人或单位负责人身份证明。授权代表参加磋商的，应提供法定代表人或单位负责人身份证明、授权委托书及授权代表在本单位的社保缴纳证明；供应商需在项目电子化交易系统中按要求上传相应证明文件并进行电子签章。</w:t>
      </w:r>
    </w:p>
    <w:p>
      <w:pPr>
        <w:pStyle w:val="null3"/>
      </w:pPr>
      <w:r>
        <w:rPr>
          <w:rFonts w:ascii="仿宋_GB2312" w:hAnsi="仿宋_GB2312" w:cs="仿宋_GB2312" w:eastAsia="仿宋_GB2312"/>
        </w:rPr>
        <w:t>4、联合体：本项目不接受联合体。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西安浐灞国际港产业促进局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029-83332490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陕西中润国际招标有限公司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西安市高新区唐延路1号旺座国际城A座12楼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张经理、王经理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029-88825655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 2、服务费由采购人与采购代理机构约定：参照《国家计委关于印发&lt;招标代理服务收费管理暂行办法&gt;的通知》（计价格[2002]1980号）和《关于招标代理服务收费有关问题的通知》（发改办价格[2003]857号）规定按标准收取。若按照标准收取不足6000元，按6000元计取。 3、成交单位的代理服务费交纳信息 银行户名：陕西中润国际招标有限公司 开户银行：中信银行西安曲江池北路支行 账 号：7251310182600086350 代理机构财务联系电话：029-87321229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西安浐灞国际港产业促进局</w:t>
      </w:r>
      <w:r>
        <w:rPr>
          <w:rFonts w:ascii="仿宋_GB2312" w:hAnsi="仿宋_GB2312" w:cs="仿宋_GB2312" w:eastAsia="仿宋_GB2312"/>
        </w:rPr>
        <w:t>和</w:t>
      </w:r>
      <w:r>
        <w:rPr>
          <w:rFonts w:ascii="仿宋_GB2312" w:hAnsi="仿宋_GB2312" w:cs="仿宋_GB2312" w:eastAsia="仿宋_GB2312"/>
        </w:rPr>
        <w:t>陕西中润国际招标有限公司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西安浐灞国际港产业促进局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陕西中润国际招标有限公司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西安浐灞国际港产业促进局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陕西中润国际招标有限公司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符合国家法律法规规定的标准、竞争性磋商文件和供应商竞争性磋商响应文件所要求的技术标准。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联系人：张经理 王经理</w:t>
      </w:r>
    </w:p>
    <w:p>
      <w:pPr>
        <w:pStyle w:val="null3"/>
      </w:pPr>
      <w:r>
        <w:rPr>
          <w:rFonts w:ascii="仿宋_GB2312" w:hAnsi="仿宋_GB2312" w:cs="仿宋_GB2312" w:eastAsia="仿宋_GB2312"/>
        </w:rPr>
        <w:t>联系电话：029-88825655</w:t>
      </w:r>
    </w:p>
    <w:p>
      <w:pPr>
        <w:pStyle w:val="null3"/>
      </w:pPr>
      <w:r>
        <w:rPr>
          <w:rFonts w:ascii="仿宋_GB2312" w:hAnsi="仿宋_GB2312" w:cs="仿宋_GB2312" w:eastAsia="仿宋_GB2312"/>
        </w:rPr>
        <w:t>地址：西安市高新区唐延路1号旺座国际城A座12楼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采购产业促进局工业项目招商咨询服务。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工业项目招商咨询服务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标的名称：工业项目招商咨询服务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一、服务内容</w:t>
            </w:r>
          </w:p>
          <w:p>
            <w:pPr>
              <w:pStyle w:val="null3"/>
            </w:pPr>
            <w:r>
              <w:rPr>
                <w:rFonts w:ascii="仿宋_GB2312" w:hAnsi="仿宋_GB2312" w:cs="仿宋_GB2312" w:eastAsia="仿宋_GB2312"/>
              </w:rPr>
              <w:t>配合采购人工作安排推进工业运行监测管理及相关专项工作（包括但不限于企业“小升规”、项目及资金申报、清欠、安全生产等），协助采购人开展工业领域招商引资、项目对接及落地服务相关工作，同时协助采购人协调解决浐灞国际港内企业发展存在的问题和困难等。形成专项工作台账等工作。</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1.工业运行监测管理</w:t>
            </w:r>
          </w:p>
          <w:p>
            <w:pPr>
              <w:pStyle w:val="null3"/>
            </w:pPr>
            <w:r>
              <w:rPr>
                <w:rFonts w:ascii="仿宋_GB2312" w:hAnsi="仿宋_GB2312" w:cs="仿宋_GB2312" w:eastAsia="仿宋_GB2312"/>
              </w:rPr>
              <w:t>组建专业服务团队，对浐灞国际港内所有工业经营单位进行调研，收集企业（经营户）基础信息、经营动态及营收规模，每月进行不少于一次的实地调研活动与动态信息校准服务，最终根据相关数据进行整合分析，形成基础台账，提供准确、及时、全面的工业运行监测数据和分析报告，持续完善行业数据库，为采购人决策提供可靠依据。</w:t>
            </w:r>
          </w:p>
          <w:p>
            <w:pPr>
              <w:pStyle w:val="null3"/>
            </w:pPr>
            <w:r>
              <w:rPr>
                <w:rFonts w:ascii="仿宋_GB2312" w:hAnsi="仿宋_GB2312" w:cs="仿宋_GB2312" w:eastAsia="仿宋_GB2312"/>
              </w:rPr>
              <w:t>2.专项工作推进</w:t>
            </w:r>
          </w:p>
          <w:p>
            <w:pPr>
              <w:pStyle w:val="null3"/>
            </w:pPr>
            <w:r>
              <w:rPr>
                <w:rFonts w:ascii="仿宋_GB2312" w:hAnsi="仿宋_GB2312" w:cs="仿宋_GB2312" w:eastAsia="仿宋_GB2312"/>
              </w:rPr>
              <w:t>①及时跟踪国家、省、市各级政策动态，为企业提供精准的政策解读服务，包括“小升规”标准、资金申报条件、清欠政策、安全生产法规等，帮助企业理解政策要求和申报流程。全年开展政策解读活动不低于6场次。对企业安全生产状况进行全面评估，识别潜在风险点，提出整改建议和措施，帮助企业建立健全安全生产管理体系。提供安全生产培训服务，提高企业员工的安全意识和操作技能，确保企业符合安全生产法规要求。</w:t>
            </w:r>
          </w:p>
          <w:p>
            <w:pPr>
              <w:pStyle w:val="null3"/>
            </w:pPr>
            <w:r>
              <w:rPr>
                <w:rFonts w:ascii="仿宋_GB2312" w:hAnsi="仿宋_GB2312" w:cs="仿宋_GB2312" w:eastAsia="仿宋_GB2312"/>
              </w:rPr>
              <w:t>②建立专项工作数据管理体系，对“小升规”企业信息、项目申报数据、清欠进度、安全生产数据等进行分类存储和分析，为企业决策提供数据支持。定期生成专项工作报告，总结工作进展、存在的问题及改进措施，为相关部门提供参考。</w:t>
            </w:r>
          </w:p>
          <w:p>
            <w:pPr>
              <w:pStyle w:val="null3"/>
            </w:pPr>
            <w:r>
              <w:rPr>
                <w:rFonts w:ascii="仿宋_GB2312" w:hAnsi="仿宋_GB2312" w:cs="仿宋_GB2312" w:eastAsia="仿宋_GB2312"/>
              </w:rPr>
              <w:t>③严格遵守保密协议，对企业提供的敏感信息（如财务数据、商业机密等）进行严格保密，不得泄露给任何第三方。</w:t>
            </w:r>
          </w:p>
          <w:p>
            <w:pPr>
              <w:pStyle w:val="null3"/>
            </w:pPr>
            <w:r>
              <w:rPr>
                <w:rFonts w:ascii="仿宋_GB2312" w:hAnsi="仿宋_GB2312" w:cs="仿宋_GB2312" w:eastAsia="仿宋_GB2312"/>
              </w:rPr>
              <w:t>3.招商引资与项目落地服务</w:t>
            </w:r>
          </w:p>
          <w:p>
            <w:pPr>
              <w:pStyle w:val="null3"/>
            </w:pPr>
            <w:r>
              <w:rPr>
                <w:rFonts w:ascii="仿宋_GB2312" w:hAnsi="仿宋_GB2312" w:cs="仿宋_GB2312" w:eastAsia="仿宋_GB2312"/>
              </w:rPr>
              <w:t>制定工业领域招商引资计划，筛选目标企业，开展项目对接和洽谈工作。精准解读国家及地方招商引资政策、产业扶持政策，为企业提供政策适配性分析，帮助制定符合政策导向的招商策略，吸引企业投资。分析目标产业趋势、竞争格局，为企业提供项目定位、产业布局建议。具备良好的沟通协调能力，能与政府、企业、投资者等多方主体有效沟通，协调各方利益，推动项目进展。</w:t>
            </w:r>
          </w:p>
          <w:p>
            <w:pPr>
              <w:pStyle w:val="null3"/>
            </w:pPr>
            <w:r>
              <w:rPr>
                <w:rFonts w:ascii="仿宋_GB2312" w:hAnsi="仿宋_GB2312" w:cs="仿宋_GB2312" w:eastAsia="仿宋_GB2312"/>
              </w:rPr>
              <w:t>4.企业问题协调解决</w:t>
            </w:r>
          </w:p>
          <w:p>
            <w:pPr>
              <w:pStyle w:val="null3"/>
            </w:pPr>
            <w:r>
              <w:rPr>
                <w:rFonts w:ascii="仿宋_GB2312" w:hAnsi="仿宋_GB2312" w:cs="仿宋_GB2312" w:eastAsia="仿宋_GB2312"/>
              </w:rPr>
              <w:t>建立有效的风险预警机制，提前识别和应对潜在风险，降低企业运营风险。对市场波动、供应链中断、设备故障、政策变化等风险进行监测和评估，并形成年度、季度、月度报告，便于相关人员理解和使用。及时跟踪问题解决的进度，确保企业问题得到有效解决。</w:t>
            </w:r>
          </w:p>
          <w:p>
            <w:pPr>
              <w:pStyle w:val="null3"/>
            </w:pPr>
            <w:r>
              <w:rPr>
                <w:rFonts w:ascii="仿宋_GB2312" w:hAnsi="仿宋_GB2312" w:cs="仿宋_GB2312" w:eastAsia="仿宋_GB2312"/>
              </w:rPr>
              <w:t>5.专项工作台账管理</w:t>
            </w:r>
          </w:p>
          <w:p>
            <w:pPr>
              <w:pStyle w:val="null3"/>
            </w:pPr>
            <w:r>
              <w:rPr>
                <w:rFonts w:ascii="仿宋_GB2312" w:hAnsi="仿宋_GB2312" w:cs="仿宋_GB2312" w:eastAsia="仿宋_GB2312"/>
              </w:rPr>
              <w:t>建立专项工作台账，根据采购人要求对工业运行监测、专项工作推进、招商引资、企业问题协调解决等工作进行详细记录，包括工作内容、时间节点、责任人、进展情况等信息。定期更新台账内容，确保台账数据真实、准确、完整，为采购人决策提供依据。</w:t>
            </w:r>
          </w:p>
          <w:p>
            <w:pPr>
              <w:pStyle w:val="null3"/>
            </w:pPr>
            <w:r>
              <w:rPr>
                <w:rFonts w:ascii="仿宋_GB2312" w:hAnsi="仿宋_GB2312" w:cs="仿宋_GB2312" w:eastAsia="仿宋_GB2312"/>
              </w:rPr>
              <w:t>三、商务要求</w:t>
            </w:r>
          </w:p>
          <w:p>
            <w:pPr>
              <w:pStyle w:val="null3"/>
            </w:pPr>
            <w:r>
              <w:rPr>
                <w:rFonts w:ascii="仿宋_GB2312" w:hAnsi="仿宋_GB2312" w:cs="仿宋_GB2312" w:eastAsia="仿宋_GB2312"/>
              </w:rPr>
              <w:t>(一)服务期限</w:t>
            </w:r>
          </w:p>
          <w:p>
            <w:pPr>
              <w:pStyle w:val="null3"/>
            </w:pPr>
            <w:r>
              <w:rPr>
                <w:rFonts w:ascii="仿宋_GB2312" w:hAnsi="仿宋_GB2312" w:cs="仿宋_GB2312" w:eastAsia="仿宋_GB2312"/>
              </w:rPr>
              <w:t>服务期：自合同签订之日起一年</w:t>
            </w:r>
          </w:p>
          <w:p>
            <w:pPr>
              <w:pStyle w:val="null3"/>
            </w:pPr>
            <w:r>
              <w:rPr>
                <w:rFonts w:ascii="仿宋_GB2312" w:hAnsi="仿宋_GB2312" w:cs="仿宋_GB2312" w:eastAsia="仿宋_GB2312"/>
              </w:rPr>
              <w:t>(二)款项结算</w:t>
            </w:r>
          </w:p>
          <w:p>
            <w:pPr>
              <w:pStyle w:val="null3"/>
            </w:pPr>
            <w:r>
              <w:rPr>
                <w:rFonts w:ascii="仿宋_GB2312" w:hAnsi="仿宋_GB2312" w:cs="仿宋_GB2312" w:eastAsia="仿宋_GB2312"/>
              </w:rPr>
              <w:t>1.预付款支付条款：</w:t>
            </w:r>
          </w:p>
          <w:p>
            <w:pPr>
              <w:pStyle w:val="null3"/>
            </w:pPr>
            <w:r>
              <w:rPr>
                <w:rFonts w:ascii="仿宋_GB2312" w:hAnsi="仿宋_GB2312" w:cs="仿宋_GB2312" w:eastAsia="仿宋_GB2312"/>
              </w:rPr>
              <w:t>(1)本项目设置预付款；</w:t>
            </w:r>
          </w:p>
          <w:p>
            <w:pPr>
              <w:pStyle w:val="null3"/>
            </w:pPr>
            <w:r>
              <w:rPr>
                <w:rFonts w:ascii="仿宋_GB2312" w:hAnsi="仿宋_GB2312" w:cs="仿宋_GB2312" w:eastAsia="仿宋_GB2312"/>
              </w:rPr>
              <w:t>(2)预付款金额：合同签订后预付合同总价款的40%；</w:t>
            </w:r>
          </w:p>
          <w:p>
            <w:pPr>
              <w:pStyle w:val="null3"/>
            </w:pPr>
            <w:r>
              <w:rPr>
                <w:rFonts w:ascii="仿宋_GB2312" w:hAnsi="仿宋_GB2312" w:cs="仿宋_GB2312" w:eastAsia="仿宋_GB2312"/>
              </w:rPr>
              <w:t>(3)预付款支付条件:合同签订后30日内；</w:t>
            </w:r>
          </w:p>
          <w:p>
            <w:pPr>
              <w:pStyle w:val="null3"/>
            </w:pPr>
            <w:r>
              <w:rPr>
                <w:rFonts w:ascii="仿宋_GB2312" w:hAnsi="仿宋_GB2312" w:cs="仿宋_GB2312" w:eastAsia="仿宋_GB2312"/>
              </w:rPr>
              <w:t>(4)其他:本项目预付款是根据政府采购相关政策规定要求，采购人为帮助成交供应商解决项目前期启动资金困难，保证成交供应商更有条件履行合同的保障性支援性资金。成交供应商应保证该资金用于项目前期各项工作费用，不得挪作他用，若因此项目进展受到影响，成交供应商承担由此引起的所有责任。</w:t>
            </w:r>
          </w:p>
          <w:p>
            <w:pPr>
              <w:pStyle w:val="null3"/>
            </w:pPr>
            <w:r>
              <w:rPr>
                <w:rFonts w:ascii="仿宋_GB2312" w:hAnsi="仿宋_GB2312" w:cs="仿宋_GB2312" w:eastAsia="仿宋_GB2312"/>
              </w:rPr>
              <w:t>2.剩余款项支付条款：</w:t>
            </w:r>
          </w:p>
          <w:p>
            <w:pPr>
              <w:pStyle w:val="null3"/>
            </w:pPr>
            <w:r>
              <w:rPr>
                <w:rFonts w:ascii="仿宋_GB2312" w:hAnsi="仿宋_GB2312" w:cs="仿宋_GB2312" w:eastAsia="仿宋_GB2312"/>
              </w:rPr>
              <w:t>项目验收后采购人在30日内将剩余合同总价款的60%一次性支付给成交供应商</w:t>
            </w:r>
          </w:p>
          <w:p>
            <w:pPr>
              <w:pStyle w:val="null3"/>
            </w:pPr>
            <w:r>
              <w:rPr>
                <w:rFonts w:ascii="仿宋_GB2312" w:hAnsi="仿宋_GB2312" w:cs="仿宋_GB2312" w:eastAsia="仿宋_GB2312"/>
              </w:rPr>
              <w:t>注:成交供应商应向采购人出具符合国家财税规定的增值税发票,否则采购人有权延迟履行付款义务。如因成交供应商缘故(如开具增值税发票延误等)导致采购人无法按时付款，采购人不承担违约责任。如遇突发事件，付款日期则以实际付款日期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满足本项目服务要求，按需配备。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满足本项目服务要求，按需配备。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符合国家法律法规规定的标准、竞争性磋商文件和供应商竞争性磋商响应文件所要求的技术标准。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预付款，合同签订后采购人支付给成交供应商预付款，达到付款条件起30个工作日内，支付合同总金额的40.0%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进度款，项目验收后将剩余合同价款一次性支付给成交供应商，达到付款条件起30个工作日内，支付合同总金额的60.0%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详见合同内容。</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成交供应商在领取成交通知书前须无偿为采购人提供盖章齐全的纸质版投标文件三套，正本1套，副本2套，纸质版应与电子投标文件保持一致。正本应为彩色打印件，副本可采用正本的复印件。纸质版文件与电子投标文件不一致由此造成的一切责任及后果由供应商自行承担。纸质版投标文件递交地址：西安市高新区唐延路1号旺座国际城座A座12楼，张经理 王经理，029-88825655。 3.4.2本项目专门面向中小企业，供应商应为中型、小型、微型企业或监狱企业或残疾人福利性单位。项目所属行业：（根据《工业和信息化部、国家统计局、国家发展和改革委员会、财政部关于印发中小企业划型标准规定的通知》（工信部联企业〔2011〕300 号）规定的划分标准：（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3.4.3落实政府采购政策： ①《关于进一步加大政府采购支持中小企业力度的通知》（财库〔2022〕19号）、《政府采购促进中小企业发展管理办法》（财库〔2020〕46号）、《财政部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②《国务院办公厅关于建立政府强制采购节能产品制度的通知》（国办发〔2007〕51号）、《财政部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③《关于运用政府采购政策支持乡村产业振兴的通知》（财库〔2021〕19 号）、《关于印发&lt;关于深入开展政府采购脱贫地区农副产品工作推进乡村产业振兴的实施意见&gt;的通知》（财库〔2021〕20 号）。 ④《国家互联网信息办公室 工业和信息化部 公安部 财政部 国家认证认可监督管理委员会关于调整网络安全专用产品安全管理有关事项的公告》（2023年第1号）。 ⑤《陕西省财政厅关于加快推进我省中小企业政府采购信用融资工作的通知》（陕财办采〔2020〕15 号）、《陕西省财政厅关于印发&lt;陕西省中小企业政府采购信用融资办法&gt;的通知》（陕财办采〔2018〕23 号）。 ⑥《关于扩大政府采购支持绿色建材促进建筑品质提升政策实施范围的通知》（财库〔2022〕35号）、《财政部办公厅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若享受以上政策优惠的企业，提供相应声明函或品目清单范围内产品的有效认证证书。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供应商需在项目电子化交易系统中按要求填写《响应函》、《基本资格条件承诺函》完成承诺，提交相应资格证明文件并进行电子签章。</w:t>
            </w:r>
          </w:p>
        </w:tc>
        <w:tc>
          <w:tcPr>
            <w:tcW w:type="dxa" w:w="1661"/>
          </w:tcPr>
          <w:p>
            <w:pPr>
              <w:pStyle w:val="null3"/>
            </w:pPr>
            <w:r>
              <w:rPr>
                <w:rFonts w:ascii="仿宋_GB2312" w:hAnsi="仿宋_GB2312" w:cs="仿宋_GB2312" w:eastAsia="仿宋_GB2312"/>
              </w:rPr>
              <w:t>供应商应提供的资格证明文件.docx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本项目为专门面向中小企业的项目，供应商应为中小微企业、监狱企业或残疾人福利性单位。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供应商需在项目电子化交易系统中按要求填写《基本资格条件承诺函》完成承诺并进行电子签章。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的社保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供应商应提供的资格证明文件.docx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2.供应商提交的相关证明材料，应当加盖供应商（法定名称）电子印章，在磋商小组要求的时间内通过项目电子化交易系统进行提交，否则提交的相关证明材料无效。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 报价表 商务应答表.docx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政府采购供应商拒绝政府采购领域商业贿赂承诺书.docx 供应商应提供的资格证明文件.docx 中小企业声明函 残疾人福利性单位声明函 首次磋商报价表及分项报价表.docx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有效期应符合磋商文件要求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供应商报价是固定价且未超过预算金额（磋商文件有最高限价（最高含税完全综合单价限价）的，报价未超过最高限价（最高含税完全综合单价限价））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首次磋商报价表及分项报价表.docx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应符合磋商文件规定的其他实质性要求</w:t>
            </w:r>
          </w:p>
        </w:tc>
        <w:tc>
          <w:tcPr>
            <w:tcW w:type="dxa" w:w="1661"/>
          </w:tcPr>
          <w:p>
            <w:pPr>
              <w:pStyle w:val="null3"/>
            </w:pPr>
            <w:r>
              <w:rPr>
                <w:rFonts w:ascii="仿宋_GB2312" w:hAnsi="仿宋_GB2312" w:cs="仿宋_GB2312" w:eastAsia="仿宋_GB2312"/>
              </w:rPr>
              <w:t>政府采购供应商拒绝政府采购领域商业贿赂承诺书.docx 服务内容及服务要求应答表.docx 商务应答表.docx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提供针对本项目的理解分析；能够结合项目背景准确理解项目意图，分析详尽 准确，对于项目需求的重点和难点有深入解析，对各项任务和基本要求能够进一步细化，形成完整的工作思路，得5分；能够在一定程度上理解项目意图，对项目需求的重点和难点进行解析，能够形成基本的工作思路，得3分；项目需求理解有欠缺，不能完全分析，对项目需求的重点和难点有片面性解析，对项目的工作思路描述简单得1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服务实施方案</w:t>
            </w:r>
          </w:p>
        </w:tc>
        <w:tc>
          <w:tcPr>
            <w:tcW w:type="dxa" w:w="2492"/>
          </w:tcPr>
          <w:p>
            <w:pPr>
              <w:pStyle w:val="null3"/>
            </w:pPr>
            <w:r>
              <w:rPr>
                <w:rFonts w:ascii="仿宋_GB2312" w:hAnsi="仿宋_GB2312" w:cs="仿宋_GB2312" w:eastAsia="仿宋_GB2312"/>
              </w:rPr>
              <w:t>供应商提供针对本项目的总体服务方案，服务内容至少包括： ①工业运行监测管理方案（3分）：内容全面、科学合理、阐述条理清晰、可实施性强，得3分；方案各项内容完整、阐述条理简单、具有可实施性，得2分；方案内容欠缺，阐述条理混乱、不具备可实施性的得1分；未提供不得分。 ②相关专项工作方案（包括但不限于企业“小升规”、项目及资金申报、清欠、安全生产等）（3分）：内容全面、科学合理、阐述条理清晰、可实施性强，得3分；方案各项内容完整、阐述条理简单、具有可实施性，得2分；方案内容欠缺，阐述条理混乱、不具备可实施性的得1分；未提供不得分。 ③工业领域招商引资方案（3分）：内容全面、科学合理、阐述条理清晰、可实施性强，得3分；方案各项内容完整、阐述条理简单、具有可实施性，得2分；方案内容欠缺，阐述条理混乱、不具备可实施性的得1分；未提供不得分。 ④项目对接及落地服务相关工作方案（3分）：内容全面、科学合理、阐述条理清晰、可实施性强，得3分；方案各项内容完整、阐述条理简单、具有可实施性，得2分；方案内容欠缺，阐述条理混乱、不具备可实施性的得1分；未提供不得分。 ⑤协调解决企业发展问题（3分）：内容全面、科学合理、阐述条理清晰、可实施性强，得3分；方案各项内容完整、阐述条理简单、具有可实施性，得2分；方案内容欠缺，阐述条理混乱、不具备可实施性的得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进度目标及保障措施</w:t>
            </w:r>
          </w:p>
        </w:tc>
        <w:tc>
          <w:tcPr>
            <w:tcW w:type="dxa" w:w="2492"/>
          </w:tcPr>
          <w:p>
            <w:pPr>
              <w:pStyle w:val="null3"/>
            </w:pPr>
            <w:r>
              <w:rPr>
                <w:rFonts w:ascii="仿宋_GB2312" w:hAnsi="仿宋_GB2312" w:cs="仿宋_GB2312" w:eastAsia="仿宋_GB2312"/>
              </w:rPr>
              <w:t>供应商针对本项目提供详细的进度目标及保障措施； ①进度目标：设置科学、符合实际，节点清晰，得5分；目标设置部分符合实际，部分节点设置清晰，得3分；目标设置节点欠佳，得1分； ②进度保障措施； 进度目标及保障措施详尽，能够保证服务质量，及时协调解决各类问题，得5分；进度目标及保障措施完整，能协调解决各类问题，得3分；进度目标及保障措施内容欠缺，解决各类问题的能力欠缺，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项目组成人员构成数量≥4人得8分；每多配备1人加1分，最多加2分；未提供不得分。（提供人员在响应文件递交截止时间前6个月内任意一个月的社保缴纳证明）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组织计划和人员构成</w:t>
            </w:r>
          </w:p>
        </w:tc>
        <w:tc>
          <w:tcPr>
            <w:tcW w:type="dxa" w:w="2492"/>
          </w:tcPr>
          <w:p>
            <w:pPr>
              <w:pStyle w:val="null3"/>
            </w:pPr>
            <w:r>
              <w:rPr>
                <w:rFonts w:ascii="仿宋_GB2312" w:hAnsi="仿宋_GB2312" w:cs="仿宋_GB2312" w:eastAsia="仿宋_GB2312"/>
              </w:rPr>
              <w:t>供应商提供针对本项目的组织机构和人员构成：有具体岗位人员配置表，项目团队组建完整，人员分工明确，团队管理措施合理可行，得5分；有具体岗位人员配置表，项目团队组建基本完整，人员分工简单，团队管理措施合理，可行性欠缺，得3分；有岗位人员配置表，无人员分工，团队管理措施不具备可行性，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供应商提供针对本项目的 保密措施，内容包含： ①供应商承诺对工作人员开展常态化安全保密教育； ②供应商组织签订安全保密承诺书，明确具体安全管理内容、安全保密义务和责任。 保密措施提供以上任意一项得2.5分，最高得5分，未提供不得分。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提供针对本项目的合理化建议；建议内容合理，针对性强、明确、全面得5分；建议内容有针对性，但尚有优化空间得3分；建议内容不完善、表述前后不一致、得1分；未提供不得分。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供应商针对本项目服务内容的响应速度及承诺完成时间；承诺在收到采购人工作安排后，24小时内制定详细工作计划并提交给采购人，得5分；承诺在48小时内启动相关工作，得3分；未明确响应时间或响应时间超过48小时，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提供2023年1月1日至今类似项目业绩，提供1份得5分，满分15分。（以合同签订时间为准，提供合同复印件）未提供不得分。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满足磋商文件要求且最后报价最低的供应商的价格为磋商基准价，其价格分为满分。其他供应商的价格分统一按照下列公式计算：磋商报价得分=（磋商基准价/最后磋商报价）×价格权值（25%）×100</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详见附件：首次磋商报价表及分项报价表.docx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详见附件：拟签订的合同文本-工业项目招商咨询服务.docx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