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C7A4B">
      <w:pPr>
        <w:pStyle w:val="2"/>
        <w:tabs>
          <w:tab w:val="left" w:pos="567"/>
        </w:tabs>
        <w:spacing w:line="240" w:lineRule="auto"/>
        <w:jc w:val="center"/>
        <w:rPr>
          <w:rFonts w:hint="eastAsia" w:ascii="仿宋" w:hAnsi="仿宋" w:eastAsia="仿宋" w:cs="仿宋"/>
          <w:b/>
          <w:bCs/>
          <w:sz w:val="40"/>
          <w:szCs w:val="40"/>
          <w:highlight w:val="none"/>
          <w:lang w:eastAsia="zh-CN"/>
        </w:rPr>
      </w:pPr>
      <w:r>
        <w:rPr>
          <w:rFonts w:hint="eastAsia" w:cs="仿宋"/>
          <w:b/>
          <w:bCs/>
          <w:sz w:val="40"/>
          <w:szCs w:val="40"/>
          <w:highlight w:val="none"/>
          <w:lang w:eastAsia="zh-CN"/>
        </w:rPr>
        <w:t>工业项目招商咨询服务</w:t>
      </w:r>
    </w:p>
    <w:p w14:paraId="3FC8B580">
      <w:pPr>
        <w:spacing w:line="240" w:lineRule="auto"/>
        <w:jc w:val="center"/>
        <w:rPr>
          <w:rFonts w:hint="eastAsia" w:ascii="仿宋" w:hAnsi="仿宋" w:eastAsia="仿宋" w:cs="仿宋"/>
          <w:b/>
          <w:sz w:val="40"/>
          <w:szCs w:val="40"/>
          <w:highlight w:val="none"/>
        </w:rPr>
      </w:pPr>
    </w:p>
    <w:p w14:paraId="0A395170">
      <w:pPr>
        <w:spacing w:line="240" w:lineRule="auto"/>
        <w:rPr>
          <w:rFonts w:hint="eastAsia" w:ascii="仿宋" w:hAnsi="仿宋" w:eastAsia="仿宋" w:cs="仿宋"/>
          <w:sz w:val="40"/>
          <w:szCs w:val="40"/>
          <w:highlight w:val="none"/>
        </w:rPr>
      </w:pPr>
    </w:p>
    <w:p w14:paraId="0B8AF2E5">
      <w:pPr>
        <w:spacing w:line="240" w:lineRule="auto"/>
        <w:rPr>
          <w:rFonts w:hint="eastAsia" w:ascii="仿宋" w:hAnsi="仿宋" w:eastAsia="仿宋" w:cs="仿宋"/>
          <w:sz w:val="40"/>
          <w:szCs w:val="40"/>
          <w:highlight w:val="none"/>
        </w:rPr>
      </w:pPr>
    </w:p>
    <w:p w14:paraId="087D67BE">
      <w:pPr>
        <w:spacing w:line="240" w:lineRule="auto"/>
        <w:rPr>
          <w:rFonts w:hint="eastAsia" w:ascii="仿宋" w:hAnsi="仿宋" w:eastAsia="仿宋" w:cs="仿宋"/>
          <w:sz w:val="40"/>
          <w:szCs w:val="40"/>
          <w:highlight w:val="none"/>
        </w:rPr>
      </w:pPr>
    </w:p>
    <w:p w14:paraId="49CA3C4E">
      <w:pPr>
        <w:spacing w:line="240" w:lineRule="auto"/>
        <w:rPr>
          <w:rFonts w:hint="eastAsia" w:ascii="仿宋" w:hAnsi="仿宋" w:eastAsia="仿宋" w:cs="仿宋"/>
          <w:sz w:val="40"/>
          <w:szCs w:val="40"/>
          <w:highlight w:val="none"/>
        </w:rPr>
      </w:pPr>
    </w:p>
    <w:p w14:paraId="65D61685">
      <w:pPr>
        <w:spacing w:line="24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合 同 书</w:t>
      </w:r>
    </w:p>
    <w:p w14:paraId="713D21A8">
      <w:pPr>
        <w:spacing w:line="24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（仅供参考，具体合同内容以甲乙双方签订为准）</w:t>
      </w:r>
    </w:p>
    <w:p w14:paraId="45393E53">
      <w:pPr>
        <w:spacing w:line="240" w:lineRule="auto"/>
        <w:jc w:val="center"/>
        <w:rPr>
          <w:rFonts w:hint="eastAsia" w:ascii="仿宋" w:hAnsi="仿宋" w:eastAsia="仿宋" w:cs="仿宋"/>
          <w:b/>
          <w:sz w:val="28"/>
          <w:szCs w:val="28"/>
          <w:highlight w:val="none"/>
        </w:rPr>
      </w:pPr>
    </w:p>
    <w:p w14:paraId="485131BE">
      <w:pPr>
        <w:spacing w:line="240" w:lineRule="auto"/>
        <w:rPr>
          <w:rFonts w:hint="eastAsia" w:ascii="仿宋" w:hAnsi="仿宋" w:eastAsia="仿宋" w:cs="仿宋"/>
          <w:b/>
          <w:sz w:val="28"/>
          <w:szCs w:val="28"/>
          <w:highlight w:val="none"/>
        </w:rPr>
      </w:pPr>
    </w:p>
    <w:p w14:paraId="27629D1E">
      <w:pPr>
        <w:spacing w:line="240" w:lineRule="auto"/>
        <w:rPr>
          <w:rFonts w:hint="eastAsia" w:ascii="仿宋" w:hAnsi="仿宋" w:eastAsia="仿宋" w:cs="仿宋"/>
          <w:sz w:val="28"/>
          <w:szCs w:val="28"/>
          <w:highlight w:val="none"/>
        </w:rPr>
      </w:pPr>
    </w:p>
    <w:p w14:paraId="249BB656">
      <w:pPr>
        <w:spacing w:line="240" w:lineRule="auto"/>
        <w:rPr>
          <w:rFonts w:hint="eastAsia" w:ascii="仿宋" w:hAnsi="仿宋" w:eastAsia="仿宋" w:cs="仿宋"/>
          <w:sz w:val="28"/>
          <w:szCs w:val="28"/>
          <w:highlight w:val="none"/>
        </w:rPr>
      </w:pPr>
    </w:p>
    <w:p w14:paraId="091DFF00">
      <w:pPr>
        <w:spacing w:line="240" w:lineRule="auto"/>
        <w:rPr>
          <w:rFonts w:hint="eastAsia" w:ascii="仿宋" w:hAnsi="仿宋" w:eastAsia="仿宋" w:cs="仿宋"/>
          <w:sz w:val="28"/>
          <w:szCs w:val="28"/>
          <w:highlight w:val="none"/>
        </w:rPr>
      </w:pPr>
    </w:p>
    <w:p w14:paraId="6C9047FC">
      <w:pPr>
        <w:spacing w:line="240" w:lineRule="auto"/>
        <w:rPr>
          <w:rFonts w:hint="eastAsia" w:ascii="仿宋" w:hAnsi="仿宋" w:eastAsia="仿宋" w:cs="仿宋"/>
          <w:sz w:val="28"/>
          <w:szCs w:val="28"/>
          <w:highlight w:val="none"/>
        </w:rPr>
      </w:pPr>
    </w:p>
    <w:p w14:paraId="15D840FD">
      <w:pPr>
        <w:spacing w:line="240" w:lineRule="auto"/>
        <w:rPr>
          <w:rFonts w:hint="eastAsia" w:ascii="仿宋" w:hAnsi="仿宋" w:eastAsia="仿宋" w:cs="仿宋"/>
          <w:sz w:val="28"/>
          <w:szCs w:val="28"/>
          <w:highlight w:val="none"/>
        </w:rPr>
      </w:pPr>
    </w:p>
    <w:p w14:paraId="28E31602">
      <w:pPr>
        <w:spacing w:line="240" w:lineRule="auto"/>
        <w:rPr>
          <w:rFonts w:hint="eastAsia" w:ascii="仿宋" w:hAnsi="仿宋" w:eastAsia="仿宋" w:cs="仿宋"/>
          <w:sz w:val="28"/>
          <w:szCs w:val="28"/>
          <w:highlight w:val="none"/>
        </w:rPr>
      </w:pPr>
    </w:p>
    <w:p w14:paraId="198CF361">
      <w:pPr>
        <w:spacing w:line="240" w:lineRule="auto"/>
        <w:rPr>
          <w:rFonts w:hint="eastAsia" w:ascii="仿宋" w:hAnsi="仿宋" w:eastAsia="仿宋" w:cs="仿宋"/>
          <w:sz w:val="28"/>
          <w:szCs w:val="28"/>
          <w:highlight w:val="none"/>
        </w:rPr>
      </w:pPr>
    </w:p>
    <w:p w14:paraId="62B9B677">
      <w:pPr>
        <w:spacing w:line="240" w:lineRule="auto"/>
        <w:rPr>
          <w:rFonts w:hint="eastAsia" w:ascii="仿宋" w:hAnsi="仿宋" w:eastAsia="仿宋" w:cs="仿宋"/>
          <w:sz w:val="28"/>
          <w:szCs w:val="28"/>
          <w:highlight w:val="none"/>
        </w:rPr>
      </w:pPr>
    </w:p>
    <w:p w14:paraId="233FEA26">
      <w:pPr>
        <w:spacing w:line="240" w:lineRule="auto"/>
        <w:rPr>
          <w:rFonts w:hint="eastAsia" w:ascii="仿宋" w:hAnsi="仿宋" w:eastAsia="仿宋" w:cs="仿宋"/>
          <w:sz w:val="28"/>
          <w:szCs w:val="28"/>
          <w:highlight w:val="none"/>
        </w:rPr>
      </w:pPr>
    </w:p>
    <w:p w14:paraId="3C1A864D">
      <w:pPr>
        <w:pStyle w:val="2"/>
        <w:tabs>
          <w:tab w:val="left" w:pos="567"/>
        </w:tabs>
        <w:spacing w:line="240" w:lineRule="auto"/>
        <w:rPr>
          <w:rFonts w:hint="eastAsia" w:ascii="仿宋" w:hAnsi="仿宋" w:eastAsia="仿宋" w:cs="仿宋"/>
          <w:sz w:val="28"/>
          <w:szCs w:val="28"/>
          <w:highlight w:val="none"/>
        </w:rPr>
      </w:pPr>
    </w:p>
    <w:p w14:paraId="23217FE5">
      <w:pPr>
        <w:spacing w:line="240" w:lineRule="auto"/>
        <w:ind w:left="987" w:hanging="1630" w:hangingChars="400"/>
        <w:jc w:val="center"/>
        <w:rPr>
          <w:rFonts w:hint="eastAsia" w:ascii="仿宋" w:hAnsi="仿宋" w:eastAsia="仿宋" w:cs="仿宋"/>
          <w:b/>
          <w:spacing w:val="23"/>
          <w:sz w:val="36"/>
          <w:szCs w:val="36"/>
          <w:highlight w:val="none"/>
        </w:rPr>
      </w:pPr>
    </w:p>
    <w:p w14:paraId="1A2AB344">
      <w:pPr>
        <w:spacing w:line="240" w:lineRule="auto"/>
        <w:ind w:left="1308" w:hanging="1630" w:hangingChars="400"/>
        <w:jc w:val="center"/>
        <w:rPr>
          <w:rFonts w:hint="eastAsia" w:ascii="仿宋" w:hAnsi="仿宋" w:eastAsia="仿宋" w:cs="仿宋"/>
          <w:b/>
          <w:spacing w:val="23"/>
          <w:sz w:val="36"/>
          <w:szCs w:val="36"/>
          <w:highlight w:val="none"/>
        </w:rPr>
      </w:pPr>
      <w:r>
        <w:rPr>
          <w:rFonts w:hint="eastAsia" w:ascii="仿宋" w:hAnsi="仿宋" w:eastAsia="仿宋" w:cs="仿宋"/>
          <w:b/>
          <w:spacing w:val="23"/>
          <w:sz w:val="36"/>
          <w:szCs w:val="36"/>
          <w:highlight w:val="none"/>
        </w:rPr>
        <w:t>甲方(</w:t>
      </w:r>
      <w:r>
        <w:rPr>
          <w:rFonts w:hint="eastAsia" w:ascii="仿宋" w:hAnsi="仿宋" w:eastAsia="仿宋" w:cs="仿宋"/>
          <w:sz w:val="36"/>
          <w:szCs w:val="36"/>
          <w:highlight w:val="none"/>
        </w:rPr>
        <w:fldChar w:fldCharType="begin"/>
      </w:r>
      <w:r>
        <w:rPr>
          <w:rFonts w:hint="eastAsia" w:ascii="仿宋" w:hAnsi="仿宋" w:eastAsia="仿宋" w:cs="仿宋"/>
          <w:sz w:val="36"/>
          <w:szCs w:val="36"/>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36"/>
          <w:szCs w:val="36"/>
          <w:highlight w:val="none"/>
        </w:rPr>
        <w:fldChar w:fldCharType="separate"/>
      </w:r>
      <w:r>
        <w:rPr>
          <w:rFonts w:hint="eastAsia" w:ascii="仿宋" w:hAnsi="仿宋" w:eastAsia="仿宋" w:cs="仿宋"/>
          <w:b/>
          <w:spacing w:val="23"/>
          <w:sz w:val="36"/>
          <w:szCs w:val="36"/>
          <w:highlight w:val="none"/>
        </w:rPr>
        <w:t>采购人</w:t>
      </w:r>
      <w:r>
        <w:rPr>
          <w:rFonts w:hint="eastAsia" w:ascii="仿宋" w:hAnsi="仿宋" w:eastAsia="仿宋" w:cs="仿宋"/>
          <w:b/>
          <w:spacing w:val="23"/>
          <w:sz w:val="36"/>
          <w:szCs w:val="36"/>
          <w:highlight w:val="none"/>
        </w:rPr>
        <w:fldChar w:fldCharType="end"/>
      </w:r>
      <w:r>
        <w:rPr>
          <w:rFonts w:hint="eastAsia" w:ascii="仿宋" w:hAnsi="仿宋" w:eastAsia="仿宋" w:cs="仿宋"/>
          <w:b/>
          <w:spacing w:val="23"/>
          <w:sz w:val="36"/>
          <w:szCs w:val="36"/>
          <w:highlight w:val="none"/>
        </w:rPr>
        <w:t>)：</w:t>
      </w:r>
      <w:r>
        <w:rPr>
          <w:rFonts w:hint="eastAsia" w:ascii="仿宋" w:hAnsi="仿宋" w:eastAsia="仿宋" w:cs="仿宋"/>
          <w:spacing w:val="23"/>
          <w:sz w:val="36"/>
          <w:szCs w:val="36"/>
          <w:highlight w:val="none"/>
          <w:u w:val="single"/>
        </w:rPr>
        <w:t></w:t>
      </w:r>
    </w:p>
    <w:p w14:paraId="79791161">
      <w:pPr>
        <w:spacing w:line="240" w:lineRule="auto"/>
        <w:ind w:left="840" w:hanging="1440" w:hangingChars="400"/>
        <w:jc w:val="center"/>
        <w:rPr>
          <w:rFonts w:hint="eastAsia" w:ascii="仿宋" w:hAnsi="仿宋" w:eastAsia="仿宋" w:cs="仿宋"/>
          <w:spacing w:val="23"/>
          <w:sz w:val="36"/>
          <w:szCs w:val="36"/>
          <w:highlight w:val="none"/>
          <w:u w:val="single"/>
        </w:rPr>
      </w:pPr>
      <w:r>
        <w:rPr>
          <w:rFonts w:hint="eastAsia" w:ascii="仿宋" w:hAnsi="仿宋" w:eastAsia="仿宋" w:cs="仿宋"/>
          <w:sz w:val="36"/>
          <w:szCs w:val="36"/>
          <w:highlight w:val="none"/>
        </w:rPr>
        <w:fldChar w:fldCharType="begin"/>
      </w:r>
      <w:r>
        <w:rPr>
          <w:rFonts w:hint="eastAsia" w:ascii="仿宋" w:hAnsi="仿宋" w:eastAsia="仿宋" w:cs="仿宋"/>
          <w:sz w:val="36"/>
          <w:szCs w:val="36"/>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36"/>
          <w:szCs w:val="36"/>
          <w:highlight w:val="none"/>
        </w:rPr>
        <w:fldChar w:fldCharType="separate"/>
      </w:r>
      <w:r>
        <w:rPr>
          <w:rFonts w:hint="eastAsia" w:ascii="仿宋" w:hAnsi="仿宋" w:eastAsia="仿宋" w:cs="仿宋"/>
          <w:b/>
          <w:spacing w:val="23"/>
          <w:sz w:val="36"/>
          <w:szCs w:val="36"/>
          <w:highlight w:val="none"/>
        </w:rPr>
        <w:t>乙方</w:t>
      </w:r>
      <w:r>
        <w:rPr>
          <w:rFonts w:hint="eastAsia" w:ascii="仿宋" w:hAnsi="仿宋" w:eastAsia="仿宋" w:cs="仿宋"/>
          <w:b/>
          <w:spacing w:val="23"/>
          <w:sz w:val="36"/>
          <w:szCs w:val="36"/>
          <w:highlight w:val="none"/>
        </w:rPr>
        <w:fldChar w:fldCharType="end"/>
      </w:r>
      <w:r>
        <w:rPr>
          <w:rFonts w:hint="eastAsia" w:ascii="仿宋" w:hAnsi="仿宋" w:eastAsia="仿宋" w:cs="仿宋"/>
          <w:b/>
          <w:spacing w:val="23"/>
          <w:sz w:val="36"/>
          <w:szCs w:val="36"/>
          <w:highlight w:val="none"/>
        </w:rPr>
        <w:t>(供应商)：</w:t>
      </w:r>
      <w:r>
        <w:rPr>
          <w:rFonts w:hint="eastAsia" w:ascii="仿宋" w:hAnsi="仿宋" w:eastAsia="仿宋" w:cs="仿宋"/>
          <w:spacing w:val="23"/>
          <w:sz w:val="36"/>
          <w:szCs w:val="36"/>
          <w:highlight w:val="none"/>
          <w:u w:val="single"/>
        </w:rPr>
        <w:t></w:t>
      </w:r>
    </w:p>
    <w:p w14:paraId="56756C65">
      <w:pPr>
        <w:tabs>
          <w:tab w:val="left" w:pos="1995"/>
        </w:tabs>
        <w:spacing w:line="240" w:lineRule="auto"/>
        <w:ind w:left="1308" w:hanging="1630" w:hangingChars="400"/>
        <w:jc w:val="center"/>
        <w:rPr>
          <w:rFonts w:hint="eastAsia" w:ascii="仿宋" w:hAnsi="仿宋" w:eastAsia="仿宋" w:cs="仿宋"/>
          <w:bCs/>
          <w:sz w:val="36"/>
          <w:szCs w:val="36"/>
          <w:highlight w:val="none"/>
        </w:rPr>
      </w:pPr>
      <w:r>
        <w:rPr>
          <w:rFonts w:hint="eastAsia" w:ascii="仿宋" w:hAnsi="仿宋" w:eastAsia="仿宋" w:cs="仿宋"/>
          <w:b/>
          <w:spacing w:val="23"/>
          <w:sz w:val="36"/>
          <w:szCs w:val="36"/>
          <w:highlight w:val="none"/>
        </w:rPr>
        <w:t>签订时间：</w:t>
      </w:r>
      <w:r>
        <w:rPr>
          <w:rFonts w:hint="eastAsia" w:ascii="仿宋" w:hAnsi="仿宋" w:eastAsia="仿宋" w:cs="仿宋"/>
          <w:spacing w:val="23"/>
          <w:sz w:val="36"/>
          <w:szCs w:val="36"/>
          <w:highlight w:val="none"/>
          <w:u w:val="single"/>
        </w:rPr>
        <w:t></w:t>
      </w:r>
      <w:r>
        <w:rPr>
          <w:rFonts w:hint="eastAsia" w:ascii="仿宋" w:hAnsi="仿宋" w:eastAsia="仿宋" w:cs="仿宋"/>
          <w:b/>
          <w:spacing w:val="23"/>
          <w:sz w:val="36"/>
          <w:szCs w:val="36"/>
          <w:highlight w:val="none"/>
        </w:rPr>
        <w:t>年</w:t>
      </w:r>
      <w:r>
        <w:rPr>
          <w:rFonts w:hint="eastAsia" w:ascii="仿宋" w:hAnsi="仿宋" w:eastAsia="仿宋" w:cs="仿宋"/>
          <w:spacing w:val="23"/>
          <w:sz w:val="36"/>
          <w:szCs w:val="36"/>
          <w:highlight w:val="none"/>
          <w:u w:val="single"/>
        </w:rPr>
        <w:t></w:t>
      </w:r>
      <w:r>
        <w:rPr>
          <w:rFonts w:hint="eastAsia" w:ascii="仿宋" w:hAnsi="仿宋" w:eastAsia="仿宋" w:cs="仿宋"/>
          <w:b/>
          <w:spacing w:val="23"/>
          <w:sz w:val="36"/>
          <w:szCs w:val="36"/>
          <w:highlight w:val="none"/>
        </w:rPr>
        <w:t>月</w:t>
      </w:r>
      <w:r>
        <w:rPr>
          <w:rFonts w:hint="eastAsia" w:ascii="仿宋" w:hAnsi="仿宋" w:eastAsia="仿宋" w:cs="仿宋"/>
          <w:spacing w:val="23"/>
          <w:sz w:val="36"/>
          <w:szCs w:val="36"/>
          <w:highlight w:val="none"/>
          <w:u w:val="single"/>
        </w:rPr>
        <w:t></w:t>
      </w:r>
      <w:r>
        <w:rPr>
          <w:rFonts w:hint="eastAsia" w:ascii="仿宋" w:hAnsi="仿宋" w:eastAsia="仿宋" w:cs="仿宋"/>
          <w:b/>
          <w:spacing w:val="23"/>
          <w:sz w:val="36"/>
          <w:szCs w:val="36"/>
          <w:highlight w:val="none"/>
        </w:rPr>
        <w:t>日</w:t>
      </w:r>
    </w:p>
    <w:p w14:paraId="3276B0B7">
      <w:pPr>
        <w:spacing w:line="240" w:lineRule="auto"/>
        <w:rPr>
          <w:rFonts w:hint="eastAsia" w:ascii="仿宋" w:hAnsi="仿宋" w:eastAsia="仿宋" w:cs="仿宋"/>
          <w:bCs/>
          <w:sz w:val="20"/>
          <w:szCs w:val="20"/>
          <w:highlight w:val="none"/>
        </w:rPr>
      </w:pPr>
    </w:p>
    <w:p w14:paraId="329363A2">
      <w:pPr>
        <w:spacing w:line="240" w:lineRule="auto"/>
        <w:rPr>
          <w:rFonts w:hint="eastAsia" w:ascii="仿宋" w:hAnsi="仿宋" w:eastAsia="仿宋" w:cs="仿宋"/>
          <w:bCs/>
          <w:sz w:val="20"/>
          <w:szCs w:val="20"/>
          <w:highlight w:val="none"/>
        </w:rPr>
      </w:pPr>
    </w:p>
    <w:p w14:paraId="78985DEE">
      <w:pPr>
        <w:widowControl/>
        <w:spacing w:line="240" w:lineRule="auto"/>
        <w:rPr>
          <w:rFonts w:hint="eastAsia" w:ascii="仿宋" w:hAnsi="仿宋" w:eastAsia="仿宋" w:cs="仿宋"/>
          <w:sz w:val="20"/>
          <w:szCs w:val="20"/>
          <w:highlight w:val="none"/>
        </w:rPr>
      </w:pPr>
      <w:bookmarkStart w:id="0" w:name="OLE_LINK48"/>
      <w:r>
        <w:rPr>
          <w:rFonts w:hint="eastAsia" w:ascii="仿宋" w:hAnsi="仿宋" w:eastAsia="仿宋" w:cs="仿宋"/>
          <w:sz w:val="20"/>
          <w:szCs w:val="20"/>
          <w:highlight w:val="none"/>
        </w:rPr>
        <w:br w:type="page"/>
      </w:r>
      <w:bookmarkEnd w:id="0"/>
    </w:p>
    <w:p w14:paraId="33CD50D6">
      <w:pPr>
        <w:widowControl/>
        <w:spacing w:after="240" w:afterLines="100" w:line="240" w:lineRule="auto"/>
        <w:jc w:val="center"/>
        <w:outlineLvl w:val="0"/>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rPr>
        <w:t>合同</w:t>
      </w:r>
      <w:r>
        <w:rPr>
          <w:rFonts w:hint="eastAsia" w:ascii="仿宋" w:hAnsi="仿宋" w:eastAsia="仿宋" w:cs="仿宋"/>
          <w:b/>
          <w:bCs/>
          <w:sz w:val="20"/>
          <w:szCs w:val="20"/>
          <w:highlight w:val="none"/>
          <w:lang w:val="en-US" w:eastAsia="zh-CN"/>
        </w:rPr>
        <w:t>书</w:t>
      </w:r>
    </w:p>
    <w:p w14:paraId="71505A40">
      <w:pPr>
        <w:pStyle w:val="7"/>
        <w:spacing w:line="240" w:lineRule="auto"/>
        <w:ind w:firstLine="48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采购人（甲方）：</w:t>
      </w:r>
      <w:r>
        <w:rPr>
          <w:rFonts w:hint="eastAsia" w:ascii="仿宋" w:hAnsi="仿宋" w:eastAsia="仿宋" w:cs="仿宋"/>
          <w:sz w:val="20"/>
          <w:szCs w:val="20"/>
          <w:highlight w:val="none"/>
          <w:u w:val="single"/>
          <w:lang w:val="en-US" w:eastAsia="zh-CN"/>
        </w:rPr>
        <w:t xml:space="preserve">            </w:t>
      </w:r>
    </w:p>
    <w:p w14:paraId="52CEDB24">
      <w:pPr>
        <w:pStyle w:val="7"/>
        <w:keepNext w:val="0"/>
        <w:keepLines w:val="0"/>
        <w:pageBreakBefore w:val="0"/>
        <w:widowControl/>
        <w:kinsoku w:val="0"/>
        <w:wordWrap/>
        <w:overflowPunct/>
        <w:topLinePunct w:val="0"/>
        <w:autoSpaceDE w:val="0"/>
        <w:autoSpaceDN w:val="0"/>
        <w:bidi w:val="0"/>
        <w:adjustRightInd w:val="0"/>
        <w:snapToGrid w:val="0"/>
        <w:spacing w:line="240" w:lineRule="auto"/>
        <w:ind w:firstLine="480"/>
        <w:jc w:val="left"/>
        <w:textAlignment w:val="baseline"/>
        <w:rPr>
          <w:rFonts w:hint="eastAsia" w:ascii="仿宋" w:hAnsi="仿宋" w:eastAsia="仿宋" w:cs="仿宋"/>
          <w:sz w:val="20"/>
          <w:szCs w:val="20"/>
          <w:highlight w:val="none"/>
        </w:rPr>
      </w:pPr>
      <w:r>
        <w:rPr>
          <w:rFonts w:hint="eastAsia" w:ascii="仿宋" w:hAnsi="仿宋" w:eastAsia="仿宋" w:cs="仿宋"/>
          <w:sz w:val="20"/>
          <w:szCs w:val="20"/>
          <w:highlight w:val="none"/>
        </w:rPr>
        <w:t>供应商（乙方）：</w:t>
      </w:r>
      <w:r>
        <w:rPr>
          <w:rFonts w:hint="eastAsia" w:ascii="仿宋" w:hAnsi="仿宋" w:eastAsia="仿宋" w:cs="仿宋"/>
          <w:sz w:val="20"/>
          <w:szCs w:val="20"/>
          <w:highlight w:val="none"/>
          <w:u w:val="single"/>
          <w:lang w:val="en-US" w:eastAsia="zh-CN"/>
        </w:rPr>
        <w:t xml:space="preserve">            </w:t>
      </w:r>
    </w:p>
    <w:p w14:paraId="17C3ACFF">
      <w:pPr>
        <w:pStyle w:val="7"/>
        <w:keepNext w:val="0"/>
        <w:keepLines w:val="0"/>
        <w:pageBreakBefore w:val="0"/>
        <w:widowControl/>
        <w:kinsoku w:val="0"/>
        <w:wordWrap/>
        <w:overflowPunct/>
        <w:topLinePunct w:val="0"/>
        <w:autoSpaceDE w:val="0"/>
        <w:autoSpaceDN w:val="0"/>
        <w:bidi w:val="0"/>
        <w:adjustRightInd w:val="0"/>
        <w:snapToGrid w:val="0"/>
        <w:spacing w:line="240" w:lineRule="auto"/>
        <w:ind w:firstLine="480"/>
        <w:jc w:val="left"/>
        <w:textAlignment w:val="baseline"/>
        <w:rPr>
          <w:rFonts w:hint="eastAsia" w:ascii="仿宋" w:hAnsi="仿宋" w:eastAsia="仿宋" w:cs="仿宋"/>
          <w:sz w:val="20"/>
          <w:szCs w:val="20"/>
          <w:highlight w:val="none"/>
        </w:rPr>
      </w:pPr>
      <w:r>
        <w:rPr>
          <w:rFonts w:hint="eastAsia" w:ascii="仿宋" w:hAnsi="仿宋" w:eastAsia="仿宋" w:cs="仿宋"/>
          <w:bCs/>
          <w:color w:val="auto"/>
          <w:sz w:val="20"/>
          <w:szCs w:val="20"/>
          <w:highlight w:val="none"/>
          <w:u w:val="none"/>
          <w:lang w:val="zh-CN"/>
        </w:rPr>
        <w:t>依照《中华人民共和国政府采购法》及实施条例、《中华人民共和国民法典》等法律、行政法规，遵循平等、自愿、公平和诚实信用的原则，双方就本项目</w:t>
      </w:r>
      <w:r>
        <w:rPr>
          <w:rFonts w:hint="eastAsia" w:ascii="仿宋" w:hAnsi="仿宋" w:eastAsia="仿宋" w:cs="仿宋"/>
          <w:bCs/>
          <w:color w:val="auto"/>
          <w:sz w:val="20"/>
          <w:szCs w:val="20"/>
          <w:highlight w:val="none"/>
          <w:u w:val="none"/>
          <w:lang w:val="en-US" w:eastAsia="zh-CN"/>
        </w:rPr>
        <w:t>服务范围</w:t>
      </w:r>
      <w:r>
        <w:rPr>
          <w:rFonts w:hint="eastAsia" w:ascii="仿宋" w:hAnsi="仿宋" w:eastAsia="仿宋" w:cs="仿宋"/>
          <w:bCs/>
          <w:color w:val="auto"/>
          <w:sz w:val="20"/>
          <w:szCs w:val="20"/>
          <w:highlight w:val="none"/>
          <w:u w:val="none"/>
          <w:lang w:val="zh-CN"/>
        </w:rPr>
        <w:t>与相关</w:t>
      </w:r>
      <w:r>
        <w:rPr>
          <w:rFonts w:hint="eastAsia" w:ascii="仿宋" w:hAnsi="仿宋" w:eastAsia="仿宋" w:cs="仿宋"/>
          <w:bCs/>
          <w:color w:val="auto"/>
          <w:sz w:val="20"/>
          <w:szCs w:val="20"/>
          <w:highlight w:val="none"/>
          <w:u w:val="none"/>
          <w:lang w:val="en-US" w:eastAsia="zh-CN"/>
        </w:rPr>
        <w:t>服务</w:t>
      </w:r>
      <w:r>
        <w:rPr>
          <w:rFonts w:hint="eastAsia" w:ascii="仿宋" w:hAnsi="仿宋" w:eastAsia="仿宋" w:cs="仿宋"/>
          <w:bCs/>
          <w:color w:val="auto"/>
          <w:sz w:val="20"/>
          <w:szCs w:val="20"/>
          <w:highlight w:val="none"/>
          <w:u w:val="none"/>
          <w:lang w:val="zh-CN"/>
        </w:rPr>
        <w:t>事项协商一致，订立本合同。</w:t>
      </w:r>
    </w:p>
    <w:p w14:paraId="6F548EEB">
      <w:pPr>
        <w:widowControl/>
        <w:spacing w:line="240" w:lineRule="auto"/>
        <w:ind w:firstLine="42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一、项目概况</w:t>
      </w:r>
    </w:p>
    <w:p w14:paraId="0B818D43">
      <w:pPr>
        <w:widowControl/>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1.项目名称：</w:t>
      </w:r>
      <w:r>
        <w:rPr>
          <w:rFonts w:hint="eastAsia" w:ascii="仿宋" w:hAnsi="仿宋" w:eastAsia="仿宋" w:cs="仿宋"/>
          <w:color w:val="auto"/>
          <w:sz w:val="20"/>
          <w:szCs w:val="20"/>
          <w:highlight w:val="none"/>
          <w:u w:val="single"/>
          <w:lang w:val="en-US" w:eastAsia="zh-CN"/>
        </w:rPr>
        <w:t>工业项目招商咨询服务</w:t>
      </w:r>
      <w:r>
        <w:rPr>
          <w:rFonts w:hint="eastAsia" w:ascii="仿宋" w:hAnsi="仿宋" w:eastAsia="仿宋" w:cs="仿宋"/>
          <w:color w:val="auto"/>
          <w:sz w:val="20"/>
          <w:szCs w:val="20"/>
          <w:highlight w:val="none"/>
        </w:rPr>
        <w:t>；</w:t>
      </w:r>
    </w:p>
    <w:p w14:paraId="2AE08934">
      <w:pPr>
        <w:widowControl/>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2.项目地点：</w:t>
      </w:r>
      <w:r>
        <w:rPr>
          <w:rFonts w:hint="eastAsia" w:ascii="仿宋" w:hAnsi="仿宋" w:eastAsia="仿宋" w:cs="仿宋"/>
          <w:color w:val="auto"/>
          <w:sz w:val="20"/>
          <w:szCs w:val="20"/>
          <w:highlight w:val="none"/>
          <w:u w:val="single"/>
          <w:lang w:val="en-US" w:eastAsia="zh-CN"/>
        </w:rPr>
        <w:t>采购人指定地点</w:t>
      </w:r>
      <w:r>
        <w:rPr>
          <w:rFonts w:hint="eastAsia" w:ascii="仿宋" w:hAnsi="仿宋" w:eastAsia="仿宋" w:cs="仿宋"/>
          <w:color w:val="auto"/>
          <w:sz w:val="20"/>
          <w:szCs w:val="20"/>
          <w:highlight w:val="none"/>
        </w:rPr>
        <w:t xml:space="preserve">； </w:t>
      </w:r>
    </w:p>
    <w:p w14:paraId="18C34399">
      <w:pPr>
        <w:widowControl/>
        <w:spacing w:line="240" w:lineRule="auto"/>
        <w:ind w:firstLine="420"/>
        <w:rPr>
          <w:rFonts w:hint="default"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rPr>
        <w:t>3.服务期：自合同签订之日起一年。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日起至</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日止。</w:t>
      </w:r>
    </w:p>
    <w:p w14:paraId="5C825422">
      <w:pPr>
        <w:widowControl/>
        <w:spacing w:line="240" w:lineRule="auto"/>
        <w:ind w:firstLine="42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xml:space="preserve">二、组成本合同的文件 </w:t>
      </w:r>
    </w:p>
    <w:p w14:paraId="4C350EEC">
      <w:pPr>
        <w:widowControl/>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书；</w:t>
      </w:r>
    </w:p>
    <w:p w14:paraId="3DB7CAB3">
      <w:pPr>
        <w:widowControl/>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2.成交通知书、竞争性磋商响应文件、竞争性磋商文件、澄清、磋商补充文件（或委托书）；</w:t>
      </w:r>
    </w:p>
    <w:p w14:paraId="2823BC1D">
      <w:pPr>
        <w:widowControl/>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本合同签订后，双方依法签订的补充协议也是本合同文件的组成部分。</w:t>
      </w:r>
    </w:p>
    <w:p w14:paraId="531C79DE">
      <w:pPr>
        <w:widowControl/>
        <w:spacing w:line="240" w:lineRule="auto"/>
        <w:ind w:firstLine="42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三、合同价款</w:t>
      </w:r>
    </w:p>
    <w:p w14:paraId="34F714D5">
      <w:pPr>
        <w:widowControl/>
        <w:shd w:val="clear"/>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1.合同形式：固定总价合同；</w:t>
      </w:r>
    </w:p>
    <w:p w14:paraId="4248F2C5">
      <w:pPr>
        <w:widowControl/>
        <w:shd w:val="clear"/>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2.合同总价大写：人民币</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；小写：¥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w:t>
      </w:r>
    </w:p>
    <w:p w14:paraId="494454A6">
      <w:pPr>
        <w:widowControl/>
        <w:shd w:val="clear"/>
        <w:spacing w:line="24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3.合同总价包括人工费、成果费、管理费、社保费、采购代理服务费、税金等其他一切相关费用。</w:t>
      </w:r>
    </w:p>
    <w:p w14:paraId="12146BD0">
      <w:pPr>
        <w:widowControl/>
        <w:shd w:val="clear"/>
        <w:spacing w:line="240" w:lineRule="auto"/>
        <w:ind w:firstLine="42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xml:space="preserve">四、付款方式及要求 </w:t>
      </w:r>
    </w:p>
    <w:p w14:paraId="6353FB1D">
      <w:pPr>
        <w:widowControl/>
        <w:shd w:val="clear"/>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w:t>
      </w:r>
      <w:r>
        <w:rPr>
          <w:rFonts w:hint="eastAsia" w:ascii="仿宋" w:hAnsi="仿宋" w:eastAsia="仿宋" w:cs="仿宋"/>
          <w:color w:val="auto"/>
          <w:kern w:val="0"/>
          <w:sz w:val="20"/>
          <w:szCs w:val="20"/>
          <w:highlight w:val="none"/>
          <w:lang w:val="en-US" w:eastAsia="zh-CN"/>
        </w:rPr>
        <w:t>预付款支付条款</w:t>
      </w:r>
      <w:r>
        <w:rPr>
          <w:rFonts w:hint="eastAsia" w:ascii="仿宋" w:hAnsi="仿宋" w:eastAsia="仿宋" w:cs="仿宋"/>
          <w:color w:val="auto"/>
          <w:kern w:val="0"/>
          <w:sz w:val="20"/>
          <w:szCs w:val="20"/>
          <w:highlight w:val="none"/>
        </w:rPr>
        <w:t>：</w:t>
      </w:r>
    </w:p>
    <w:p w14:paraId="3F95814B">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(1)本合同设置预付款；</w:t>
      </w:r>
    </w:p>
    <w:p w14:paraId="69B8F4A6">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(2)预付款金额：合同签订后预付合同总价款的40%；</w:t>
      </w:r>
    </w:p>
    <w:p w14:paraId="1FA246FC">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(3)预付款支付条件:合同签订后30日内；</w:t>
      </w:r>
    </w:p>
    <w:p w14:paraId="3B19D876">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14:paraId="0097D983">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2.剩余款项支付条款：</w:t>
      </w:r>
    </w:p>
    <w:p w14:paraId="74A9883B">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项目验收后甲方在30日内将剩余合同总价款的60%一次性支付给乙方。</w:t>
      </w:r>
    </w:p>
    <w:p w14:paraId="12E88CAF">
      <w:pPr>
        <w:widowControl/>
        <w:shd w:val="clear"/>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注:乙方应向甲方出具符合国家财税规定的增值税发票,否则甲方有权延迟履行付款义务。如因乙方缘故(如开具增值税发票延误等)导致甲方无法按时付款，甲方不承担</w:t>
      </w:r>
      <w:r>
        <w:rPr>
          <w:rFonts w:hint="eastAsia" w:ascii="仿宋" w:hAnsi="仿宋" w:eastAsia="仿宋" w:cs="仿宋"/>
          <w:color w:val="auto"/>
          <w:kern w:val="0"/>
          <w:sz w:val="20"/>
          <w:szCs w:val="20"/>
          <w:highlight w:val="none"/>
          <w:lang w:val="en-US" w:eastAsia="zh-CN"/>
        </w:rPr>
        <w:t>违</w:t>
      </w:r>
      <w:r>
        <w:rPr>
          <w:rFonts w:hint="eastAsia" w:ascii="仿宋" w:hAnsi="仿宋" w:eastAsia="仿宋" w:cs="仿宋"/>
          <w:color w:val="auto"/>
          <w:kern w:val="0"/>
          <w:sz w:val="20"/>
          <w:szCs w:val="20"/>
          <w:highlight w:val="none"/>
        </w:rPr>
        <w:t>约责任。如</w:t>
      </w:r>
      <w:r>
        <w:rPr>
          <w:rFonts w:hint="eastAsia" w:ascii="仿宋" w:hAnsi="仿宋" w:eastAsia="仿宋" w:cs="仿宋"/>
          <w:color w:val="auto"/>
          <w:kern w:val="0"/>
          <w:sz w:val="20"/>
          <w:szCs w:val="20"/>
          <w:highlight w:val="none"/>
          <w:lang w:val="en-US" w:eastAsia="zh-CN"/>
        </w:rPr>
        <w:t>遇</w:t>
      </w:r>
      <w:r>
        <w:rPr>
          <w:rFonts w:hint="eastAsia" w:ascii="仿宋" w:hAnsi="仿宋" w:eastAsia="仿宋" w:cs="仿宋"/>
          <w:color w:val="auto"/>
          <w:kern w:val="0"/>
          <w:sz w:val="20"/>
          <w:szCs w:val="20"/>
          <w:highlight w:val="none"/>
        </w:rPr>
        <w:t>突发事件，付款日期则以实际付款日期为准。</w:t>
      </w:r>
    </w:p>
    <w:p w14:paraId="08AD9B7F">
      <w:pPr>
        <w:widowControl/>
        <w:shd w:val="clear"/>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xml:space="preserve">五、甲方与乙方的权利与义务 </w:t>
      </w:r>
    </w:p>
    <w:p w14:paraId="438DAAC6">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1.甲方有权对合同约定范围内乙方的服务进行监督和检查，拥有监管权。</w:t>
      </w:r>
    </w:p>
    <w:p w14:paraId="77B42D09">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2.甲方按本项目具体情况提供乙方所需资料，甲方协助乙方完成资料、文件收集工作，配合乙方完成外业调查工作。</w:t>
      </w:r>
    </w:p>
    <w:p w14:paraId="76780383">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3.甲方根据本合同约定，按时向乙方支付相关服务费用。</w:t>
      </w:r>
    </w:p>
    <w:p w14:paraId="78B84753">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甲方有权审查乙方的服务内容及进度，对乙方服务内容的质量、进度等情况进行监督检查，有权向乙方表达对服务内容的意见和建议，乙方应予以充分考虑，如乙方未达到标准或出现不合格情况，甲方有权要求乙方进行整改和完善。</w:t>
      </w:r>
    </w:p>
    <w:p w14:paraId="36BD04BD">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5.乙方应全面完成项目所要提交的成果，并对成果质量负责，承担因成果不合要求给甲方造成的损失等一切责任。</w:t>
      </w:r>
    </w:p>
    <w:p w14:paraId="15322F70">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6.乙方应对甲方提供的资料、数据、信息等严格保密。</w:t>
      </w:r>
    </w:p>
    <w:p w14:paraId="76C34D69">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7.乙方应解答甲方提出的与项目有关的询问，接受甲方监督和检查。</w:t>
      </w:r>
    </w:p>
    <w:p w14:paraId="2BE2AF34">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8.乙方所派的项目负责人，在合同履行中未经甲方同意不得擅自更换他人。</w:t>
      </w:r>
    </w:p>
    <w:p w14:paraId="6D1146A3">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乙方项目负责人：</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，联系电话：</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w:t>
      </w:r>
    </w:p>
    <w:p w14:paraId="0E537CFA">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9.乙方所交成果不符合国家法律法规和合同规定的，甲方有权拒收，并由乙方承担一切费用。</w:t>
      </w:r>
    </w:p>
    <w:p w14:paraId="73EC6211">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10.乙方应向甲方移交项目所有的成果资料，版权为甲方所有。</w:t>
      </w:r>
    </w:p>
    <w:p w14:paraId="0B88E60A">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11.乙方需保证本成果或其授予的权利不会侵犯任何第三人的知识产权或其他权利。</w:t>
      </w:r>
    </w:p>
    <w:p w14:paraId="481B1FD7">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12.乙方应按甲方的要求实施监测。乙方应承担工作现场的责任和风险以及期间发生的一切费用，乙方若因工作现场而发生的人身伤亡、财产或其他损失，不论何种原因所造成，甲方均不承担责任。</w:t>
      </w:r>
    </w:p>
    <w:p w14:paraId="200FA8E5">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xml:space="preserve">六、双方承诺 </w:t>
      </w:r>
    </w:p>
    <w:p w14:paraId="5C7F9185">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1.乙方向甲方承诺，按照本合同约定提供相关服务。</w:t>
      </w:r>
    </w:p>
    <w:p w14:paraId="4B56B7AC">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2.甲方向乙方承诺，按照本合同约定支付服务款项。</w:t>
      </w:r>
    </w:p>
    <w:p w14:paraId="002E662A">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七、服务内容</w:t>
      </w:r>
      <w:r>
        <w:rPr>
          <w:rFonts w:hint="eastAsia" w:ascii="仿宋" w:hAnsi="仿宋" w:eastAsia="仿宋" w:cs="仿宋"/>
          <w:b/>
          <w:bCs/>
          <w:color w:val="auto"/>
          <w:kern w:val="0"/>
          <w:sz w:val="20"/>
          <w:szCs w:val="20"/>
          <w:highlight w:val="none"/>
          <w:lang w:val="en-US" w:eastAsia="zh-CN"/>
        </w:rPr>
        <w:t>及要求</w:t>
      </w:r>
      <w:r>
        <w:rPr>
          <w:rFonts w:hint="eastAsia" w:ascii="仿宋" w:hAnsi="仿宋" w:eastAsia="仿宋" w:cs="仿宋"/>
          <w:b/>
          <w:bCs/>
          <w:color w:val="auto"/>
          <w:kern w:val="0"/>
          <w:sz w:val="20"/>
          <w:szCs w:val="20"/>
          <w:highlight w:val="none"/>
        </w:rPr>
        <w:t xml:space="preserve"> </w:t>
      </w:r>
    </w:p>
    <w:p w14:paraId="746CD521">
      <w:pPr>
        <w:pStyle w:val="2"/>
        <w:ind w:firstLine="400" w:firstLineChars="200"/>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（一）服务内容</w:t>
      </w:r>
    </w:p>
    <w:p w14:paraId="4C1C6FD4">
      <w:pPr>
        <w:pStyle w:val="2"/>
        <w:ind w:firstLine="400" w:firstLineChars="200"/>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配合甲方工作安排推进工业运行监测管理及相关专项工作（包括但不限于企业“小升规”、项目及资金申报、清欠、安全生产等），协助甲方开展工业领域招商引资、项目对接及落地服务相关工作，同时协调解决</w:t>
      </w:r>
      <w:r>
        <w:rPr>
          <w:rFonts w:hint="eastAsia" w:ascii="仿宋_GB2312" w:hAnsi="仿宋_GB2312" w:eastAsia="仿宋_GB2312" w:cs="仿宋_GB2312"/>
          <w:strike w:val="0"/>
          <w:dstrike w:val="0"/>
          <w:sz w:val="20"/>
          <w:szCs w:val="20"/>
          <w:highlight w:val="none"/>
          <w:lang w:val="en-US" w:eastAsia="zh-CN"/>
        </w:rPr>
        <w:t>浐灞国际港内</w:t>
      </w:r>
      <w:r>
        <w:rPr>
          <w:rFonts w:hint="eastAsia" w:ascii="仿宋_GB2312" w:hAnsi="仿宋_GB2312" w:eastAsia="仿宋_GB2312" w:cs="仿宋_GB2312"/>
          <w:sz w:val="20"/>
          <w:szCs w:val="20"/>
          <w:highlight w:val="none"/>
          <w:lang w:val="en-US" w:eastAsia="zh-CN"/>
        </w:rPr>
        <w:t>企业发展存在的问题和困难等。形成专项工作台账等工作。</w:t>
      </w:r>
    </w:p>
    <w:p w14:paraId="4AF7717E">
      <w:pPr>
        <w:pStyle w:val="2"/>
        <w:keepNext w:val="0"/>
        <w:keepLines w:val="0"/>
        <w:pageBreakBefore w:val="0"/>
        <w:widowControl/>
        <w:wordWrap/>
        <w:overflowPunct/>
        <w:topLinePunct w:val="0"/>
        <w:bidi w:val="0"/>
        <w:adjustRightInd/>
        <w:snapToGrid/>
        <w:ind w:left="0" w:firstLine="400" w:firstLineChars="200"/>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（二）服务要求</w:t>
      </w:r>
    </w:p>
    <w:p w14:paraId="236CB7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adjustRightInd/>
        <w:snapToGrid/>
        <w:spacing w:before="0" w:beforeAutospacing="0" w:after="0" w:afterAutospacing="0"/>
        <w:ind w:left="0" w:right="0" w:firstLine="400" w:firstLineChars="200"/>
        <w:rPr>
          <w:rFonts w:hint="default" w:ascii="仿宋_GB2312" w:hAnsi="仿宋_GB2312" w:eastAsia="仿宋_GB2312" w:cs="仿宋_GB2312"/>
          <w:snapToGrid w:val="0"/>
          <w:color w:val="000000"/>
          <w:kern w:val="0"/>
          <w:sz w:val="20"/>
          <w:szCs w:val="20"/>
          <w:highlight w:val="none"/>
          <w:lang w:val="en-US" w:eastAsia="zh-CN" w:bidi="ar-SA"/>
        </w:rPr>
      </w:pPr>
      <w:r>
        <w:rPr>
          <w:rFonts w:hint="eastAsia" w:ascii="仿宋_GB2312" w:hAnsi="仿宋_GB2312" w:eastAsia="仿宋_GB2312" w:cs="仿宋_GB2312"/>
          <w:snapToGrid w:val="0"/>
          <w:color w:val="000000"/>
          <w:kern w:val="0"/>
          <w:sz w:val="20"/>
          <w:szCs w:val="20"/>
          <w:highlight w:val="none"/>
          <w:lang w:val="en-US" w:eastAsia="zh-CN" w:bidi="ar-SA"/>
        </w:rPr>
        <w:t>1.</w:t>
      </w:r>
      <w:r>
        <w:rPr>
          <w:rFonts w:hint="default" w:ascii="仿宋_GB2312" w:hAnsi="仿宋_GB2312" w:eastAsia="仿宋_GB2312" w:cs="仿宋_GB2312"/>
          <w:snapToGrid w:val="0"/>
          <w:color w:val="000000"/>
          <w:kern w:val="0"/>
          <w:sz w:val="20"/>
          <w:szCs w:val="20"/>
          <w:highlight w:val="none"/>
          <w:lang w:val="en-US" w:eastAsia="zh-CN" w:bidi="ar-SA"/>
        </w:rPr>
        <w:t>工业运行监测管理</w:t>
      </w:r>
    </w:p>
    <w:p w14:paraId="77E6E797">
      <w:pPr>
        <w:pStyle w:val="8"/>
        <w:keepNext w:val="0"/>
        <w:keepLines w:val="0"/>
        <w:pageBreakBefore w:val="0"/>
        <w:widowControl/>
        <w:wordWrap/>
        <w:overflowPunct/>
        <w:topLinePunct w:val="0"/>
        <w:bidi w:val="0"/>
        <w:adjustRightInd/>
        <w:snapToGrid/>
        <w:ind w:left="0" w:firstLine="420"/>
        <w:jc w:val="left"/>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组建专业服务团队，对浐灞国际港内所有工业经营单位进行调研，收集企业（经营户）基础信息、经营动态及营收规模，每月进行不少于一次的实地调研活动与动态信息校准服务，最终根据相关数据进行整合分析，形成基础台账，提供准确、及时、全面的工业运行监测数据和分析报告，持续完善行业数据库，为</w:t>
      </w:r>
      <w:r>
        <w:rPr>
          <w:rFonts w:hint="eastAsia" w:ascii="仿宋_GB2312" w:hAnsi="仿宋_GB2312" w:eastAsia="仿宋_GB2312" w:cs="仿宋_GB2312"/>
          <w:sz w:val="20"/>
          <w:szCs w:val="20"/>
          <w:highlight w:val="none"/>
          <w:lang w:eastAsia="zh-CN"/>
        </w:rPr>
        <w:t>甲方</w:t>
      </w:r>
      <w:r>
        <w:rPr>
          <w:rFonts w:hint="eastAsia" w:ascii="仿宋_GB2312" w:hAnsi="仿宋_GB2312" w:eastAsia="仿宋_GB2312" w:cs="仿宋_GB2312"/>
          <w:sz w:val="20"/>
          <w:szCs w:val="20"/>
          <w:highlight w:val="none"/>
        </w:rPr>
        <w:t>决策提供可靠依据。</w:t>
      </w:r>
    </w:p>
    <w:p w14:paraId="26A6227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adjustRightInd/>
        <w:snapToGrid/>
        <w:spacing w:before="0" w:beforeAutospacing="0" w:after="0" w:afterAutospacing="0"/>
        <w:ind w:left="0" w:right="0" w:rightChars="0" w:firstLine="400" w:firstLineChars="200"/>
        <w:rPr>
          <w:rFonts w:hint="default" w:ascii="仿宋_GB2312" w:hAnsi="仿宋_GB2312" w:eastAsia="仿宋_GB2312" w:cs="仿宋_GB2312"/>
          <w:snapToGrid w:val="0"/>
          <w:color w:val="000000"/>
          <w:kern w:val="0"/>
          <w:sz w:val="20"/>
          <w:szCs w:val="20"/>
          <w:highlight w:val="none"/>
          <w:lang w:val="en-US" w:eastAsia="zh-CN" w:bidi="ar-SA"/>
        </w:rPr>
      </w:pPr>
      <w:r>
        <w:rPr>
          <w:rFonts w:hint="eastAsia" w:ascii="仿宋_GB2312" w:hAnsi="仿宋_GB2312" w:eastAsia="仿宋_GB2312" w:cs="仿宋_GB2312"/>
          <w:snapToGrid w:val="0"/>
          <w:color w:val="000000"/>
          <w:kern w:val="0"/>
          <w:sz w:val="20"/>
          <w:szCs w:val="20"/>
          <w:highlight w:val="none"/>
          <w:lang w:val="en-US" w:eastAsia="zh-CN" w:bidi="ar-SA"/>
        </w:rPr>
        <w:t>2.</w:t>
      </w:r>
      <w:r>
        <w:rPr>
          <w:rFonts w:hint="default" w:ascii="仿宋_GB2312" w:hAnsi="仿宋_GB2312" w:eastAsia="仿宋_GB2312" w:cs="仿宋_GB2312"/>
          <w:snapToGrid w:val="0"/>
          <w:color w:val="000000"/>
          <w:kern w:val="0"/>
          <w:sz w:val="20"/>
          <w:szCs w:val="20"/>
          <w:highlight w:val="none"/>
          <w:lang w:val="en-US" w:eastAsia="zh-CN" w:bidi="ar-SA"/>
        </w:rPr>
        <w:t>专项工作推进</w:t>
      </w:r>
    </w:p>
    <w:p w14:paraId="4946474D">
      <w:pPr>
        <w:pStyle w:val="8"/>
        <w:keepNext w:val="0"/>
        <w:keepLines w:val="0"/>
        <w:pageBreakBefore w:val="0"/>
        <w:widowControl/>
        <w:wordWrap/>
        <w:overflowPunct/>
        <w:topLinePunct w:val="0"/>
        <w:bidi w:val="0"/>
        <w:adjustRightInd/>
        <w:snapToGrid/>
        <w:ind w:left="0" w:firstLine="420"/>
        <w:jc w:val="left"/>
        <w:rPr>
          <w:rFonts w:hint="default"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①</w:t>
      </w:r>
      <w:r>
        <w:rPr>
          <w:rFonts w:hint="default" w:ascii="仿宋_GB2312" w:hAnsi="仿宋_GB2312" w:eastAsia="仿宋_GB2312" w:cs="仿宋_GB2312"/>
          <w:sz w:val="20"/>
          <w:szCs w:val="20"/>
          <w:highlight w:val="none"/>
        </w:rPr>
        <w:t>及时跟踪国家、省、市各级政策动态，为企业提供精准的政策解读服务，包括“小升规”标准、资金申报条件、清欠政策、安全生产法规等，帮助企业理解政策要求和申报流程。</w:t>
      </w:r>
      <w:r>
        <w:rPr>
          <w:rFonts w:ascii="仿宋_GB2312" w:hAnsi="仿宋_GB2312" w:eastAsia="仿宋_GB2312" w:cs="仿宋_GB2312"/>
          <w:sz w:val="20"/>
          <w:szCs w:val="20"/>
          <w:highlight w:val="none"/>
        </w:rPr>
        <w:t>全年开展</w:t>
      </w:r>
      <w:r>
        <w:rPr>
          <w:rFonts w:hint="eastAsia" w:ascii="仿宋_GB2312" w:hAnsi="仿宋_GB2312" w:eastAsia="仿宋_GB2312" w:cs="仿宋_GB2312"/>
          <w:sz w:val="20"/>
          <w:szCs w:val="20"/>
          <w:highlight w:val="none"/>
          <w:lang w:val="en-US" w:eastAsia="zh-CN"/>
        </w:rPr>
        <w:t>政策解读</w:t>
      </w:r>
      <w:r>
        <w:rPr>
          <w:rFonts w:ascii="仿宋_GB2312" w:hAnsi="仿宋_GB2312" w:eastAsia="仿宋_GB2312" w:cs="仿宋_GB2312"/>
          <w:sz w:val="20"/>
          <w:szCs w:val="20"/>
          <w:highlight w:val="none"/>
        </w:rPr>
        <w:t>活动不低于6场次</w:t>
      </w:r>
      <w:r>
        <w:rPr>
          <w:rFonts w:hint="eastAsia" w:ascii="仿宋_GB2312" w:hAnsi="仿宋_GB2312" w:eastAsia="仿宋_GB2312" w:cs="仿宋_GB2312"/>
          <w:sz w:val="20"/>
          <w:szCs w:val="20"/>
          <w:highlight w:val="none"/>
          <w:lang w:val="en-US" w:eastAsia="zh-CN"/>
        </w:rPr>
        <w:t>。</w:t>
      </w:r>
      <w:r>
        <w:rPr>
          <w:rFonts w:hint="default" w:ascii="仿宋_GB2312" w:hAnsi="仿宋_GB2312" w:eastAsia="仿宋_GB2312" w:cs="仿宋_GB2312"/>
          <w:sz w:val="20"/>
          <w:szCs w:val="20"/>
          <w:highlight w:val="none"/>
        </w:rPr>
        <w:t>对企业安全生产状况进行全面评估，识别潜在风险点，提出整改建议和措施，帮助企业建立健全安全生产管理体系。提供安全生产培训服务，提高企业员工的安全意识和操作技能，确保企业符合安全生产法规要求。</w:t>
      </w:r>
    </w:p>
    <w:p w14:paraId="55608509">
      <w:pPr>
        <w:pStyle w:val="8"/>
        <w:keepNext w:val="0"/>
        <w:keepLines w:val="0"/>
        <w:pageBreakBefore w:val="0"/>
        <w:widowControl/>
        <w:wordWrap/>
        <w:overflowPunct/>
        <w:topLinePunct w:val="0"/>
        <w:bidi w:val="0"/>
        <w:adjustRightInd/>
        <w:snapToGrid/>
        <w:ind w:left="0" w:firstLine="420"/>
        <w:jc w:val="left"/>
        <w:rPr>
          <w:rFonts w:hint="default"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②</w:t>
      </w:r>
      <w:r>
        <w:rPr>
          <w:rFonts w:hint="default" w:ascii="仿宋_GB2312" w:hAnsi="仿宋_GB2312" w:eastAsia="仿宋_GB2312" w:cs="仿宋_GB2312"/>
          <w:sz w:val="20"/>
          <w:szCs w:val="20"/>
          <w:highlight w:val="none"/>
        </w:rPr>
        <w:t>建立专项工作数据管理</w:t>
      </w:r>
      <w:r>
        <w:rPr>
          <w:rFonts w:hint="eastAsia" w:ascii="仿宋_GB2312" w:hAnsi="仿宋_GB2312" w:eastAsia="仿宋_GB2312" w:cs="仿宋_GB2312"/>
          <w:sz w:val="20"/>
          <w:szCs w:val="20"/>
          <w:highlight w:val="none"/>
          <w:lang w:val="en-US" w:eastAsia="zh-CN"/>
        </w:rPr>
        <w:t>体系</w:t>
      </w:r>
      <w:r>
        <w:rPr>
          <w:rFonts w:hint="default" w:ascii="仿宋_GB2312" w:hAnsi="仿宋_GB2312" w:eastAsia="仿宋_GB2312" w:cs="仿宋_GB2312"/>
          <w:sz w:val="20"/>
          <w:szCs w:val="20"/>
          <w:highlight w:val="none"/>
        </w:rPr>
        <w:t>，对“小升规”企业信息、项目申报数据、清欠进度、安全生产数据等进行分类存储和分析，为企业决策提供数据支持。定期生成专项工作报告，总结工作进展、存在的问题及改进措施，为</w:t>
      </w:r>
      <w:r>
        <w:rPr>
          <w:rFonts w:hint="eastAsia" w:ascii="仿宋_GB2312" w:hAnsi="仿宋_GB2312" w:eastAsia="仿宋_GB2312" w:cs="仿宋_GB2312"/>
          <w:sz w:val="20"/>
          <w:szCs w:val="20"/>
          <w:highlight w:val="none"/>
          <w:lang w:val="en-US" w:eastAsia="zh-CN"/>
        </w:rPr>
        <w:t>相关</w:t>
      </w:r>
      <w:r>
        <w:rPr>
          <w:rFonts w:hint="default" w:ascii="仿宋_GB2312" w:hAnsi="仿宋_GB2312" w:eastAsia="仿宋_GB2312" w:cs="仿宋_GB2312"/>
          <w:sz w:val="20"/>
          <w:szCs w:val="20"/>
          <w:highlight w:val="none"/>
        </w:rPr>
        <w:t>部门提供参考。</w:t>
      </w:r>
    </w:p>
    <w:p w14:paraId="11E35771">
      <w:pPr>
        <w:pStyle w:val="8"/>
        <w:keepNext w:val="0"/>
        <w:keepLines w:val="0"/>
        <w:pageBreakBefore w:val="0"/>
        <w:widowControl/>
        <w:wordWrap/>
        <w:overflowPunct/>
        <w:topLinePunct w:val="0"/>
        <w:bidi w:val="0"/>
        <w:adjustRightInd/>
        <w:snapToGrid/>
        <w:ind w:left="0" w:firstLine="420"/>
        <w:jc w:val="left"/>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③</w:t>
      </w:r>
      <w:r>
        <w:rPr>
          <w:rFonts w:hint="default" w:ascii="仿宋_GB2312" w:hAnsi="仿宋_GB2312" w:eastAsia="仿宋_GB2312" w:cs="仿宋_GB2312"/>
          <w:sz w:val="20"/>
          <w:szCs w:val="20"/>
          <w:highlight w:val="none"/>
        </w:rPr>
        <w:t>严格遵守保密协议，对企业提供的敏感信息（如财务数据、商业机密等）进行严格保密，不得泄露给任何第三方。</w:t>
      </w:r>
    </w:p>
    <w:p w14:paraId="5A750BC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adjustRightInd/>
        <w:snapToGrid/>
        <w:spacing w:before="0" w:beforeAutospacing="0" w:after="0" w:afterAutospacing="0"/>
        <w:ind w:left="0" w:leftChars="0" w:right="0" w:rightChars="0" w:firstLine="400" w:firstLineChars="200"/>
        <w:rPr>
          <w:rFonts w:hint="default" w:ascii="仿宋_GB2312" w:hAnsi="仿宋_GB2312" w:eastAsia="仿宋_GB2312" w:cs="仿宋_GB2312"/>
          <w:snapToGrid w:val="0"/>
          <w:color w:val="000000"/>
          <w:kern w:val="0"/>
          <w:sz w:val="20"/>
          <w:szCs w:val="20"/>
          <w:highlight w:val="none"/>
          <w:lang w:val="en-US" w:eastAsia="zh-CN" w:bidi="ar-SA"/>
        </w:rPr>
      </w:pPr>
      <w:r>
        <w:rPr>
          <w:rFonts w:hint="eastAsia" w:ascii="仿宋_GB2312" w:hAnsi="仿宋_GB2312" w:eastAsia="仿宋_GB2312" w:cs="仿宋_GB2312"/>
          <w:snapToGrid w:val="0"/>
          <w:color w:val="000000"/>
          <w:kern w:val="0"/>
          <w:sz w:val="20"/>
          <w:szCs w:val="20"/>
          <w:highlight w:val="none"/>
          <w:lang w:val="en-US" w:eastAsia="zh-CN" w:bidi="ar-SA"/>
        </w:rPr>
        <w:t>3.</w:t>
      </w:r>
      <w:r>
        <w:rPr>
          <w:rFonts w:hint="default" w:ascii="仿宋_GB2312" w:hAnsi="仿宋_GB2312" w:eastAsia="仿宋_GB2312" w:cs="仿宋_GB2312"/>
          <w:snapToGrid w:val="0"/>
          <w:color w:val="000000"/>
          <w:kern w:val="0"/>
          <w:sz w:val="20"/>
          <w:szCs w:val="20"/>
          <w:highlight w:val="none"/>
          <w:lang w:val="en-US" w:eastAsia="zh-CN" w:bidi="ar-SA"/>
        </w:rPr>
        <w:t>招商引资与项目落地服务</w:t>
      </w:r>
    </w:p>
    <w:p w14:paraId="390E94CB">
      <w:pPr>
        <w:keepNext w:val="0"/>
        <w:keepLines w:val="0"/>
        <w:pageBreakBefore w:val="0"/>
        <w:widowControl/>
        <w:numPr>
          <w:ilvl w:val="0"/>
          <w:numId w:val="0"/>
        </w:numPr>
        <w:suppressLineNumbers w:val="0"/>
        <w:wordWrap/>
        <w:overflowPunct/>
        <w:topLinePunct w:val="0"/>
        <w:bidi w:val="0"/>
        <w:adjustRightInd/>
        <w:snapToGrid/>
        <w:spacing w:before="0" w:beforeAutospacing="0" w:after="0" w:afterAutospacing="0"/>
        <w:ind w:right="0" w:rightChars="0" w:firstLine="400" w:firstLineChars="200"/>
        <w:jc w:val="left"/>
        <w:rPr>
          <w:rFonts w:hint="default" w:ascii="仿宋_GB2312" w:hAnsi="仿宋_GB2312" w:eastAsia="仿宋_GB2312" w:cs="仿宋_GB2312"/>
          <w:snapToGrid/>
          <w:color w:val="auto"/>
          <w:kern w:val="0"/>
          <w:sz w:val="20"/>
          <w:szCs w:val="20"/>
          <w:highlight w:val="none"/>
          <w:lang w:val="en-US" w:eastAsia="zh-CN"/>
        </w:rPr>
      </w:pPr>
      <w:r>
        <w:rPr>
          <w:rFonts w:hint="default" w:ascii="仿宋_GB2312" w:hAnsi="仿宋_GB2312" w:eastAsia="仿宋_GB2312" w:cs="仿宋_GB2312"/>
          <w:snapToGrid/>
          <w:color w:val="auto"/>
          <w:kern w:val="0"/>
          <w:sz w:val="20"/>
          <w:szCs w:val="20"/>
          <w:highlight w:val="none"/>
          <w:lang w:val="en-US" w:eastAsia="zh-CN"/>
        </w:rPr>
        <w:t>制定工业领域招商引资计划，筛选目标企业，开展项目对接和洽谈工作</w:t>
      </w:r>
      <w:r>
        <w:rPr>
          <w:rFonts w:hint="eastAsia" w:ascii="仿宋_GB2312" w:hAnsi="仿宋_GB2312" w:eastAsia="仿宋_GB2312" w:cs="仿宋_GB2312"/>
          <w:snapToGrid/>
          <w:color w:val="auto"/>
          <w:kern w:val="0"/>
          <w:sz w:val="20"/>
          <w:szCs w:val="20"/>
          <w:highlight w:val="none"/>
          <w:lang w:val="en-US" w:eastAsia="zh-CN"/>
        </w:rPr>
        <w:t>。</w:t>
      </w:r>
      <w:r>
        <w:rPr>
          <w:rFonts w:hint="default" w:ascii="仿宋_GB2312" w:hAnsi="仿宋_GB2312" w:eastAsia="仿宋_GB2312" w:cs="仿宋_GB2312"/>
          <w:snapToGrid/>
          <w:color w:val="auto"/>
          <w:kern w:val="0"/>
          <w:sz w:val="20"/>
          <w:szCs w:val="20"/>
          <w:highlight w:val="none"/>
          <w:lang w:val="en-US" w:eastAsia="zh-CN"/>
        </w:rPr>
        <w:t>精准解读国家及地方招商引资政策、产业扶持政策，为企业提供政策适配性分析，帮助制定符合政策导向的招商策略，吸引企业投资。分析目标产业趋势、竞争格局，为企业提供项目定位、产业布局建议。具备良好的沟通协调能力，能与政府、企业、投资者等多方主体有效沟通，协调各方利益，推动项目进展。</w:t>
      </w:r>
    </w:p>
    <w:p w14:paraId="7951F51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adjustRightInd/>
        <w:snapToGrid/>
        <w:spacing w:before="0" w:beforeAutospacing="0" w:after="0" w:afterAutospacing="0"/>
        <w:ind w:left="0" w:leftChars="0" w:right="0" w:rightChars="0" w:firstLine="400" w:firstLineChars="200"/>
        <w:rPr>
          <w:rFonts w:hint="default" w:ascii="仿宋_GB2312" w:hAnsi="仿宋_GB2312" w:eastAsia="仿宋_GB2312" w:cs="仿宋_GB2312"/>
          <w:snapToGrid w:val="0"/>
          <w:color w:val="000000"/>
          <w:kern w:val="0"/>
          <w:sz w:val="20"/>
          <w:szCs w:val="20"/>
          <w:highlight w:val="none"/>
          <w:lang w:val="en-US" w:eastAsia="zh-CN" w:bidi="ar-SA"/>
        </w:rPr>
      </w:pPr>
      <w:r>
        <w:rPr>
          <w:rFonts w:hint="eastAsia" w:ascii="仿宋_GB2312" w:hAnsi="仿宋_GB2312" w:eastAsia="仿宋_GB2312" w:cs="仿宋_GB2312"/>
          <w:snapToGrid w:val="0"/>
          <w:color w:val="000000"/>
          <w:kern w:val="0"/>
          <w:sz w:val="20"/>
          <w:szCs w:val="20"/>
          <w:highlight w:val="none"/>
          <w:lang w:val="en-US" w:eastAsia="zh-CN" w:bidi="ar-SA"/>
        </w:rPr>
        <w:t>4.</w:t>
      </w:r>
      <w:r>
        <w:rPr>
          <w:rFonts w:hint="default" w:ascii="仿宋_GB2312" w:hAnsi="仿宋_GB2312" w:eastAsia="仿宋_GB2312" w:cs="仿宋_GB2312"/>
          <w:snapToGrid w:val="0"/>
          <w:color w:val="000000"/>
          <w:kern w:val="0"/>
          <w:sz w:val="20"/>
          <w:szCs w:val="20"/>
          <w:highlight w:val="none"/>
          <w:lang w:val="en-US" w:eastAsia="zh-CN" w:bidi="ar-SA"/>
        </w:rPr>
        <w:t>企业问题协调解决</w:t>
      </w:r>
    </w:p>
    <w:p w14:paraId="5E6EA4F0">
      <w:pPr>
        <w:keepNext w:val="0"/>
        <w:keepLines w:val="0"/>
        <w:pageBreakBefore w:val="0"/>
        <w:widowControl/>
        <w:wordWrap/>
        <w:overflowPunct/>
        <w:topLinePunct w:val="0"/>
        <w:bidi w:val="0"/>
        <w:adjustRightInd/>
        <w:snapToGrid/>
        <w:ind w:left="0" w:firstLine="400" w:firstLineChars="200"/>
        <w:rPr>
          <w:rFonts w:hint="default" w:ascii="仿宋_GB2312" w:hAnsi="仿宋_GB2312" w:eastAsia="仿宋_GB2312" w:cs="仿宋_GB2312"/>
          <w:snapToGrid/>
          <w:color w:val="auto"/>
          <w:kern w:val="0"/>
          <w:sz w:val="20"/>
          <w:szCs w:val="20"/>
          <w:highlight w:val="none"/>
          <w:lang w:val="en-US" w:eastAsia="zh-CN"/>
        </w:rPr>
      </w:pPr>
      <w:r>
        <w:rPr>
          <w:rFonts w:hint="default" w:ascii="仿宋_GB2312" w:hAnsi="仿宋_GB2312" w:eastAsia="仿宋_GB2312" w:cs="仿宋_GB2312"/>
          <w:snapToGrid/>
          <w:color w:val="auto"/>
          <w:kern w:val="0"/>
          <w:sz w:val="20"/>
          <w:szCs w:val="20"/>
          <w:highlight w:val="none"/>
          <w:lang w:val="en-US" w:eastAsia="zh-CN"/>
        </w:rPr>
        <w:t>建立有效的风险预警机制，提前识别和应对潜在风险，降低企业运营风险。对市场波动、供应链中断、设备故障、政策变化等风险进行监测和评估，并形成年度、季度、月度报告，便于相关人员理解和使用。及时跟踪问题解决的进度，确保企业问题得到有效解决。</w:t>
      </w:r>
    </w:p>
    <w:p w14:paraId="3411E66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adjustRightInd/>
        <w:snapToGrid/>
        <w:spacing w:before="0" w:beforeAutospacing="0" w:after="0" w:afterAutospacing="0"/>
        <w:ind w:left="0" w:leftChars="0" w:right="0" w:rightChars="0" w:firstLine="400" w:firstLineChars="200"/>
        <w:rPr>
          <w:rFonts w:hint="default" w:ascii="仿宋_GB2312" w:hAnsi="仿宋_GB2312" w:eastAsia="仿宋_GB2312" w:cs="仿宋_GB2312"/>
          <w:snapToGrid w:val="0"/>
          <w:color w:val="000000"/>
          <w:kern w:val="0"/>
          <w:sz w:val="20"/>
          <w:szCs w:val="20"/>
          <w:highlight w:val="none"/>
          <w:lang w:val="en-US" w:eastAsia="zh-CN" w:bidi="ar-SA"/>
        </w:rPr>
      </w:pPr>
      <w:r>
        <w:rPr>
          <w:rFonts w:hint="eastAsia" w:ascii="仿宋_GB2312" w:hAnsi="仿宋_GB2312" w:eastAsia="仿宋_GB2312" w:cs="仿宋_GB2312"/>
          <w:snapToGrid w:val="0"/>
          <w:color w:val="000000"/>
          <w:kern w:val="0"/>
          <w:sz w:val="20"/>
          <w:szCs w:val="20"/>
          <w:highlight w:val="none"/>
          <w:lang w:val="en-US" w:eastAsia="zh-CN" w:bidi="ar-SA"/>
        </w:rPr>
        <w:t>5.</w:t>
      </w:r>
      <w:r>
        <w:rPr>
          <w:rFonts w:hint="default" w:ascii="仿宋_GB2312" w:hAnsi="仿宋_GB2312" w:eastAsia="仿宋_GB2312" w:cs="仿宋_GB2312"/>
          <w:snapToGrid w:val="0"/>
          <w:color w:val="000000"/>
          <w:kern w:val="0"/>
          <w:sz w:val="20"/>
          <w:szCs w:val="20"/>
          <w:highlight w:val="none"/>
          <w:lang w:val="en-US" w:eastAsia="zh-CN" w:bidi="ar-SA"/>
        </w:rPr>
        <w:t>专项工作台账管理</w:t>
      </w:r>
    </w:p>
    <w:p w14:paraId="0D5BB069">
      <w:pPr>
        <w:ind w:firstLine="400" w:firstLineChars="200"/>
        <w:rPr>
          <w:rFonts w:hint="eastAsia"/>
          <w:highlight w:val="none"/>
          <w:lang w:val="en-US" w:eastAsia="zh-CN"/>
        </w:rPr>
      </w:pPr>
      <w:r>
        <w:rPr>
          <w:rFonts w:hint="default" w:ascii="仿宋_GB2312" w:hAnsi="仿宋_GB2312" w:eastAsia="仿宋_GB2312" w:cs="仿宋_GB2312"/>
          <w:snapToGrid w:val="0"/>
          <w:color w:val="000000"/>
          <w:kern w:val="0"/>
          <w:sz w:val="20"/>
          <w:szCs w:val="20"/>
          <w:highlight w:val="none"/>
          <w:lang w:val="en-US" w:eastAsia="zh-CN" w:bidi="ar-SA"/>
        </w:rPr>
        <w:t>建立专项工作台账，</w:t>
      </w:r>
      <w:r>
        <w:rPr>
          <w:rFonts w:hint="eastAsia" w:ascii="仿宋_GB2312" w:hAnsi="仿宋_GB2312" w:eastAsia="仿宋_GB2312" w:cs="仿宋_GB2312"/>
          <w:snapToGrid w:val="0"/>
          <w:color w:val="000000"/>
          <w:kern w:val="0"/>
          <w:sz w:val="20"/>
          <w:szCs w:val="20"/>
          <w:highlight w:val="none"/>
          <w:lang w:val="en-US" w:eastAsia="zh-CN" w:bidi="ar-SA"/>
        </w:rPr>
        <w:t>根据甲方要求</w:t>
      </w:r>
      <w:r>
        <w:rPr>
          <w:rFonts w:hint="default" w:ascii="仿宋_GB2312" w:hAnsi="仿宋_GB2312" w:eastAsia="仿宋_GB2312" w:cs="仿宋_GB2312"/>
          <w:snapToGrid w:val="0"/>
          <w:color w:val="000000"/>
          <w:kern w:val="0"/>
          <w:sz w:val="20"/>
          <w:szCs w:val="20"/>
          <w:highlight w:val="none"/>
          <w:lang w:val="en-US" w:eastAsia="zh-CN" w:bidi="ar-SA"/>
        </w:rPr>
        <w:t>对工业运行监测、专项工作推进、招商引资、企业问题协调解决等工作进行详细记录，包括工作内容、时间节点、责任人、进展情况等信息。定期更新台账内容，确保台账数据真实、准确、完整，为</w:t>
      </w:r>
      <w:r>
        <w:rPr>
          <w:rFonts w:hint="eastAsia" w:ascii="仿宋_GB2312" w:hAnsi="仿宋_GB2312" w:eastAsia="仿宋_GB2312" w:cs="仿宋_GB2312"/>
          <w:snapToGrid w:val="0"/>
          <w:color w:val="000000"/>
          <w:kern w:val="0"/>
          <w:sz w:val="20"/>
          <w:szCs w:val="20"/>
          <w:highlight w:val="none"/>
          <w:lang w:val="en-US" w:eastAsia="zh-CN" w:bidi="ar-SA"/>
        </w:rPr>
        <w:t>甲方</w:t>
      </w:r>
      <w:r>
        <w:rPr>
          <w:rFonts w:hint="default" w:ascii="仿宋_GB2312" w:hAnsi="仿宋_GB2312" w:eastAsia="仿宋_GB2312" w:cs="仿宋_GB2312"/>
          <w:snapToGrid w:val="0"/>
          <w:color w:val="000000"/>
          <w:kern w:val="0"/>
          <w:sz w:val="20"/>
          <w:szCs w:val="20"/>
          <w:highlight w:val="none"/>
          <w:lang w:val="en-US" w:eastAsia="zh-CN" w:bidi="ar-SA"/>
        </w:rPr>
        <w:t>决策提供依据。</w:t>
      </w:r>
    </w:p>
    <w:p w14:paraId="38C02E77">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xml:space="preserve">八、质量保证 </w:t>
      </w:r>
    </w:p>
    <w:p w14:paraId="7B12EA37">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1.服务方案科学、可行，人员配置合理，全面满足要求。</w:t>
      </w:r>
    </w:p>
    <w:p w14:paraId="10367C8D">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2.符合国家有关服务规范要求，确保各项服务达到竞争性磋商文件的技术服务要求。</w:t>
      </w:r>
    </w:p>
    <w:p w14:paraId="4D6AEEE6">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3.乙方提供的技术服务，若发生侵权而产生的一切后果，由乙方负责，甲方保留索赔权</w:t>
      </w:r>
      <w:r>
        <w:rPr>
          <w:rFonts w:hint="eastAsia" w:ascii="仿宋" w:hAnsi="仿宋" w:eastAsia="仿宋" w:cs="仿宋"/>
          <w:color w:val="auto"/>
          <w:kern w:val="0"/>
          <w:sz w:val="20"/>
          <w:szCs w:val="20"/>
          <w:highlight w:val="none"/>
          <w:lang w:val="en-US" w:eastAsia="zh-CN"/>
        </w:rPr>
        <w:t>力</w:t>
      </w:r>
      <w:r>
        <w:rPr>
          <w:rFonts w:hint="eastAsia" w:ascii="仿宋" w:hAnsi="仿宋" w:eastAsia="仿宋" w:cs="仿宋"/>
          <w:color w:val="auto"/>
          <w:kern w:val="0"/>
          <w:sz w:val="20"/>
          <w:szCs w:val="20"/>
          <w:highlight w:val="none"/>
        </w:rPr>
        <w:t>。</w:t>
      </w:r>
    </w:p>
    <w:p w14:paraId="0AA17A64">
      <w:pPr>
        <w:widowControl/>
        <w:spacing w:line="240" w:lineRule="auto"/>
        <w:ind w:firstLine="420"/>
        <w:rPr>
          <w:rFonts w:hint="eastAsia" w:ascii="仿宋" w:hAnsi="仿宋" w:eastAsia="仿宋" w:cs="仿宋"/>
          <w:b/>
          <w:bCs/>
          <w:strike w:val="0"/>
          <w:dstrike w:val="0"/>
          <w:color w:val="auto"/>
          <w:kern w:val="0"/>
          <w:sz w:val="20"/>
          <w:szCs w:val="20"/>
          <w:highlight w:val="none"/>
        </w:rPr>
      </w:pPr>
      <w:r>
        <w:rPr>
          <w:rFonts w:hint="eastAsia" w:ascii="仿宋" w:hAnsi="仿宋" w:eastAsia="仿宋" w:cs="仿宋"/>
          <w:b/>
          <w:bCs/>
          <w:strike w:val="0"/>
          <w:dstrike w:val="0"/>
          <w:color w:val="auto"/>
          <w:kern w:val="0"/>
          <w:sz w:val="20"/>
          <w:szCs w:val="20"/>
          <w:highlight w:val="none"/>
        </w:rPr>
        <w:t xml:space="preserve">九、成果交付要求 </w:t>
      </w:r>
    </w:p>
    <w:p w14:paraId="6942300D">
      <w:pPr>
        <w:widowControl/>
        <w:spacing w:line="240" w:lineRule="auto"/>
        <w:ind w:firstLine="420"/>
        <w:rPr>
          <w:rFonts w:hint="default" w:ascii="仿宋" w:hAnsi="仿宋" w:eastAsia="仿宋" w:cs="仿宋"/>
          <w:strike/>
          <w:dstrike w:val="0"/>
          <w:color w:val="auto"/>
          <w:kern w:val="0"/>
          <w:sz w:val="20"/>
          <w:szCs w:val="20"/>
          <w:highlight w:val="none"/>
          <w:lang w:val="en-US" w:eastAsia="zh-CN"/>
        </w:rPr>
      </w:pPr>
      <w:r>
        <w:rPr>
          <w:rFonts w:hint="eastAsia" w:ascii="仿宋_GB2312" w:hAnsi="仿宋_GB2312" w:eastAsia="仿宋_GB2312" w:cs="仿宋_GB2312"/>
          <w:sz w:val="20"/>
          <w:szCs w:val="20"/>
          <w:highlight w:val="none"/>
          <w:lang w:val="en-US" w:eastAsia="zh-CN"/>
        </w:rPr>
        <w:t>根据服务内容形成专项工作台账。</w:t>
      </w:r>
    </w:p>
    <w:p w14:paraId="59E33897">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十、政府采购合同履行</w:t>
      </w:r>
    </w:p>
    <w:p w14:paraId="608EFCAE">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政府采购合同履行中，甲方需追加与合同标的相同服务的，在不改变合同其他条款的前提下，可以与乙方协商签订补充合同，但所有补充合同的采购金额不得超过原合同采购金额的百分之十。</w:t>
      </w:r>
    </w:p>
    <w:p w14:paraId="64B9F5D8">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w:t>
      </w:r>
      <w:r>
        <w:rPr>
          <w:rFonts w:hint="eastAsia" w:ascii="仿宋" w:hAnsi="仿宋" w:eastAsia="仿宋" w:cs="仿宋"/>
          <w:b/>
          <w:bCs/>
          <w:color w:val="auto"/>
          <w:kern w:val="0"/>
          <w:sz w:val="20"/>
          <w:szCs w:val="20"/>
          <w:highlight w:val="none"/>
          <w:lang w:val="en-US" w:eastAsia="zh-CN"/>
        </w:rPr>
        <w:t>一</w:t>
      </w:r>
      <w:r>
        <w:rPr>
          <w:rFonts w:hint="eastAsia" w:ascii="仿宋" w:hAnsi="仿宋" w:eastAsia="仿宋" w:cs="仿宋"/>
          <w:b/>
          <w:bCs/>
          <w:color w:val="auto"/>
          <w:kern w:val="0"/>
          <w:sz w:val="20"/>
          <w:szCs w:val="20"/>
          <w:highlight w:val="none"/>
        </w:rPr>
        <w:t xml:space="preserve">、合同争议的解决 </w:t>
      </w:r>
    </w:p>
    <w:p w14:paraId="131865C4">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合同执行中发生争议的，当事人双方应协商解决。协商达不成一致时，双方均有权向甲方所在地人民法院提起诉讼。</w:t>
      </w:r>
    </w:p>
    <w:p w14:paraId="6A82F01A">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w:t>
      </w:r>
      <w:r>
        <w:rPr>
          <w:rFonts w:hint="eastAsia" w:ascii="仿宋" w:hAnsi="仿宋" w:eastAsia="仿宋" w:cs="仿宋"/>
          <w:b/>
          <w:bCs/>
          <w:color w:val="auto"/>
          <w:kern w:val="0"/>
          <w:sz w:val="20"/>
          <w:szCs w:val="20"/>
          <w:highlight w:val="none"/>
          <w:lang w:val="en-US" w:eastAsia="zh-CN"/>
        </w:rPr>
        <w:t>二</w:t>
      </w:r>
      <w:r>
        <w:rPr>
          <w:rFonts w:hint="eastAsia" w:ascii="仿宋" w:hAnsi="仿宋" w:eastAsia="仿宋" w:cs="仿宋"/>
          <w:b/>
          <w:bCs/>
          <w:color w:val="auto"/>
          <w:kern w:val="0"/>
          <w:sz w:val="20"/>
          <w:szCs w:val="20"/>
          <w:highlight w:val="none"/>
        </w:rPr>
        <w:t xml:space="preserve">、保密条款 </w:t>
      </w:r>
    </w:p>
    <w:p w14:paraId="36035930">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6F98882">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甲方有义务保护乙方的知识产权，未经乙方同意，不得将乙方交付的具有知识产权性质的成果、资料向第三方转让或用于本合同以外的项目。如发生以上情况，乙方有权索赔，但甲方依据相关法定职责对外公开的除外。</w:t>
      </w:r>
    </w:p>
    <w:p w14:paraId="09C889BB">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3.本条款为独立条款，本合同的无效、变更、解除和终止均不影响本条款的效力。</w:t>
      </w:r>
    </w:p>
    <w:p w14:paraId="56102040">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4.双方拟定的其他条款。</w:t>
      </w:r>
    </w:p>
    <w:p w14:paraId="6EDF36A4">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w:t>
      </w:r>
      <w:r>
        <w:rPr>
          <w:rFonts w:hint="eastAsia" w:ascii="仿宋" w:hAnsi="仿宋" w:eastAsia="仿宋" w:cs="仿宋"/>
          <w:b/>
          <w:bCs/>
          <w:color w:val="auto"/>
          <w:kern w:val="0"/>
          <w:sz w:val="20"/>
          <w:szCs w:val="20"/>
          <w:highlight w:val="none"/>
          <w:lang w:val="en-US" w:eastAsia="zh-CN"/>
        </w:rPr>
        <w:t>三</w:t>
      </w:r>
      <w:r>
        <w:rPr>
          <w:rFonts w:hint="eastAsia" w:ascii="仿宋" w:hAnsi="仿宋" w:eastAsia="仿宋" w:cs="仿宋"/>
          <w:b/>
          <w:bCs/>
          <w:color w:val="auto"/>
          <w:kern w:val="0"/>
          <w:sz w:val="20"/>
          <w:szCs w:val="20"/>
          <w:highlight w:val="none"/>
        </w:rPr>
        <w:t>、合同变更</w:t>
      </w:r>
    </w:p>
    <w:p w14:paraId="68CE7C12">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除本合同约定，合同一经签订，不得擅自变更、中止或者终止合同。对确需变更、调整或者中止、终止合同的，应按规定履行相应的手续。</w:t>
      </w:r>
    </w:p>
    <w:p w14:paraId="5B3DC6D3">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w:t>
      </w:r>
      <w:r>
        <w:rPr>
          <w:rFonts w:hint="eastAsia" w:ascii="仿宋" w:hAnsi="仿宋" w:eastAsia="仿宋" w:cs="仿宋"/>
          <w:b/>
          <w:bCs/>
          <w:color w:val="auto"/>
          <w:kern w:val="0"/>
          <w:sz w:val="20"/>
          <w:szCs w:val="20"/>
          <w:highlight w:val="none"/>
          <w:lang w:val="en-US" w:eastAsia="zh-CN"/>
        </w:rPr>
        <w:t>四</w:t>
      </w:r>
      <w:r>
        <w:rPr>
          <w:rFonts w:hint="eastAsia" w:ascii="仿宋" w:hAnsi="仿宋" w:eastAsia="仿宋" w:cs="仿宋"/>
          <w:b/>
          <w:bCs/>
          <w:color w:val="auto"/>
          <w:kern w:val="0"/>
          <w:sz w:val="20"/>
          <w:szCs w:val="20"/>
          <w:highlight w:val="none"/>
        </w:rPr>
        <w:t>、违约责任</w:t>
      </w:r>
    </w:p>
    <w:p w14:paraId="3F546108">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按《中华人民共和国民法典》中的相关条款和本合同的约定执行。</w:t>
      </w:r>
    </w:p>
    <w:p w14:paraId="3B0D8E99">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p>
    <w:p w14:paraId="37D1A3F9">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2、乙方未按合同要求提供工作成果或其质量不能满足甲方相关要求的，甲方有权单方解除合同且有权要求乙方按照合同总额的10％向甲方承担违约责任。</w:t>
      </w:r>
    </w:p>
    <w:p w14:paraId="07A48DA1">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3.在本合同履行过程中，双方因违约或造成对方经济、社会效益等损失的应当赔偿。</w:t>
      </w:r>
    </w:p>
    <w:p w14:paraId="53DEDEFB">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4</w:t>
      </w:r>
      <w:r>
        <w:rPr>
          <w:rFonts w:hint="eastAsia" w:ascii="仿宋" w:hAnsi="仿宋" w:eastAsia="仿宋" w:cs="仿宋"/>
          <w:color w:val="auto"/>
          <w:kern w:val="0"/>
          <w:sz w:val="20"/>
          <w:szCs w:val="20"/>
          <w:highlight w:val="none"/>
        </w:rPr>
        <w:t>.乙方未经甲方同意，不得擅自将本合同服务转包第三方承担。</w:t>
      </w:r>
    </w:p>
    <w:p w14:paraId="1EC882F3">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w:t>
      </w:r>
      <w:r>
        <w:rPr>
          <w:rFonts w:hint="eastAsia" w:ascii="仿宋" w:hAnsi="仿宋" w:eastAsia="仿宋" w:cs="仿宋"/>
          <w:color w:val="auto"/>
          <w:kern w:val="0"/>
          <w:sz w:val="20"/>
          <w:szCs w:val="20"/>
          <w:highlight w:val="none"/>
        </w:rPr>
        <w:t>.本合同中各条款约定的违约金可自甲方未支付款项中直接扣除，违约金若不能弥补甲方损失的，乙方还应赔偿甲方损失。</w:t>
      </w:r>
    </w:p>
    <w:p w14:paraId="6C873CE0">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w:t>
      </w:r>
      <w:r>
        <w:rPr>
          <w:rFonts w:hint="eastAsia" w:ascii="仿宋" w:hAnsi="仿宋" w:eastAsia="仿宋" w:cs="仿宋"/>
          <w:color w:val="auto"/>
          <w:kern w:val="0"/>
          <w:sz w:val="20"/>
          <w:szCs w:val="20"/>
          <w:highlight w:val="none"/>
        </w:rPr>
        <w:t>.双方拟定的其他条款。</w:t>
      </w:r>
    </w:p>
    <w:p w14:paraId="51076CCA">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w:t>
      </w:r>
      <w:r>
        <w:rPr>
          <w:rFonts w:hint="eastAsia" w:ascii="仿宋" w:hAnsi="仿宋" w:eastAsia="仿宋" w:cs="仿宋"/>
          <w:b/>
          <w:bCs/>
          <w:color w:val="auto"/>
          <w:kern w:val="0"/>
          <w:sz w:val="20"/>
          <w:szCs w:val="20"/>
          <w:highlight w:val="none"/>
          <w:lang w:val="en-US" w:eastAsia="zh-CN"/>
        </w:rPr>
        <w:t>五</w:t>
      </w:r>
      <w:r>
        <w:rPr>
          <w:rFonts w:hint="eastAsia" w:ascii="仿宋" w:hAnsi="仿宋" w:eastAsia="仿宋" w:cs="仿宋"/>
          <w:b/>
          <w:bCs/>
          <w:color w:val="auto"/>
          <w:kern w:val="0"/>
          <w:sz w:val="20"/>
          <w:szCs w:val="20"/>
          <w:highlight w:val="none"/>
        </w:rPr>
        <w:t>、其他</w:t>
      </w:r>
    </w:p>
    <w:p w14:paraId="6B0E23C0">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1.不可抗力情况下的免责约定，双方约定不可抗力情况包括：五级以上地震、大风、大雨、大雪。</w:t>
      </w:r>
    </w:p>
    <w:p w14:paraId="2734381B">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2.本合同未尽事宜，可由双方协商一致，另行签订补充协议，补充协议是本合同的重要组成部分。</w:t>
      </w:r>
    </w:p>
    <w:p w14:paraId="7CC6513D">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3.本合同附件是本合同的组成部分，与本合同具有同等法律效力，附件包括：</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p>
    <w:p w14:paraId="02399EEC">
      <w:pPr>
        <w:widowControl/>
        <w:spacing w:line="240" w:lineRule="auto"/>
        <w:ind w:firstLine="420"/>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十</w:t>
      </w:r>
      <w:r>
        <w:rPr>
          <w:rFonts w:hint="eastAsia" w:ascii="仿宋" w:hAnsi="仿宋" w:eastAsia="仿宋" w:cs="仿宋"/>
          <w:b/>
          <w:bCs/>
          <w:color w:val="auto"/>
          <w:kern w:val="0"/>
          <w:sz w:val="20"/>
          <w:szCs w:val="20"/>
          <w:highlight w:val="none"/>
          <w:lang w:val="en-US" w:eastAsia="zh-CN"/>
        </w:rPr>
        <w:t>六</w:t>
      </w:r>
      <w:r>
        <w:rPr>
          <w:rFonts w:hint="eastAsia" w:ascii="仿宋" w:hAnsi="仿宋" w:eastAsia="仿宋" w:cs="仿宋"/>
          <w:b/>
          <w:bCs/>
          <w:color w:val="auto"/>
          <w:kern w:val="0"/>
          <w:sz w:val="20"/>
          <w:szCs w:val="20"/>
          <w:highlight w:val="none"/>
        </w:rPr>
        <w:t xml:space="preserve">、合同订立 </w:t>
      </w:r>
    </w:p>
    <w:p w14:paraId="52C37D0E">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1.订立时间：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日。</w:t>
      </w:r>
    </w:p>
    <w:p w14:paraId="02104A0B">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2.订立地点：</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p>
    <w:p w14:paraId="731C616A">
      <w:pPr>
        <w:widowControl/>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3.本合同一式</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份，具有同等法律效力，双方各执</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份，各方签字盖章后生效，合同执行完毕自动失效。（合同的服务承诺则长期有效）。</w:t>
      </w:r>
    </w:p>
    <w:p w14:paraId="28F26314">
      <w:pPr>
        <w:widowControl/>
        <w:spacing w:line="360" w:lineRule="auto"/>
        <w:ind w:firstLine="420"/>
        <w:rPr>
          <w:rFonts w:hint="eastAsia" w:ascii="仿宋" w:hAnsi="仿宋" w:eastAsia="仿宋" w:cs="仿宋"/>
          <w:color w:val="auto"/>
          <w:kern w:val="0"/>
          <w:sz w:val="20"/>
          <w:szCs w:val="20"/>
          <w:highlight w:val="none"/>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48B81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tcPr>
          <w:p w14:paraId="13AFDD2B">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甲 方：</w:t>
            </w:r>
            <w:r>
              <w:rPr>
                <w:rFonts w:hint="eastAsia" w:ascii="仿宋" w:hAnsi="仿宋" w:eastAsia="仿宋" w:cs="仿宋"/>
                <w:color w:val="auto"/>
                <w:kern w:val="0"/>
                <w:sz w:val="20"/>
                <w:szCs w:val="20"/>
                <w:highlight w:val="none"/>
                <w:u w:val="single"/>
              </w:rPr>
              <w:t xml:space="preserve">     （盖章）    </w:t>
            </w:r>
          </w:p>
          <w:p w14:paraId="1EC7327A">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4BAF8A1">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邮政编码：</w:t>
            </w:r>
            <w:r>
              <w:rPr>
                <w:rFonts w:hint="eastAsia" w:ascii="仿宋" w:hAnsi="仿宋" w:eastAsia="仿宋" w:cs="仿宋"/>
                <w:color w:val="auto"/>
                <w:kern w:val="0"/>
                <w:sz w:val="20"/>
                <w:szCs w:val="20"/>
                <w:highlight w:val="none"/>
                <w:u w:val="single"/>
              </w:rPr>
              <w:t xml:space="preserve">              </w:t>
            </w:r>
          </w:p>
          <w:p w14:paraId="1F8CB77B">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法定代表人或其授权</w:t>
            </w:r>
          </w:p>
          <w:p w14:paraId="50865382">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的代理人：</w:t>
            </w:r>
            <w:r>
              <w:rPr>
                <w:rFonts w:hint="eastAsia" w:ascii="仿宋" w:hAnsi="仿宋" w:eastAsia="仿宋" w:cs="仿宋"/>
                <w:color w:val="auto"/>
                <w:kern w:val="0"/>
                <w:sz w:val="20"/>
                <w:szCs w:val="20"/>
                <w:highlight w:val="none"/>
                <w:u w:val="single"/>
              </w:rPr>
              <w:t xml:space="preserve">（签字）      </w:t>
            </w:r>
          </w:p>
          <w:p w14:paraId="5CFCB10C">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开户银行：</w:t>
            </w:r>
            <w:r>
              <w:rPr>
                <w:rFonts w:hint="eastAsia" w:ascii="仿宋" w:hAnsi="仿宋" w:eastAsia="仿宋" w:cs="仿宋"/>
                <w:color w:val="auto"/>
                <w:kern w:val="0"/>
                <w:sz w:val="20"/>
                <w:szCs w:val="20"/>
                <w:highlight w:val="none"/>
                <w:u w:val="single"/>
              </w:rPr>
              <w:t xml:space="preserve">              </w:t>
            </w:r>
          </w:p>
          <w:p w14:paraId="1F92209A">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账号：</w:t>
            </w:r>
            <w:r>
              <w:rPr>
                <w:rFonts w:hint="eastAsia" w:ascii="仿宋" w:hAnsi="仿宋" w:eastAsia="仿宋" w:cs="仿宋"/>
                <w:color w:val="auto"/>
                <w:kern w:val="0"/>
                <w:sz w:val="20"/>
                <w:szCs w:val="20"/>
                <w:highlight w:val="none"/>
                <w:u w:val="single"/>
              </w:rPr>
              <w:t xml:space="preserve">                  </w:t>
            </w:r>
          </w:p>
          <w:p w14:paraId="29D50552">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电话：</w:t>
            </w:r>
            <w:r>
              <w:rPr>
                <w:rFonts w:hint="eastAsia" w:ascii="仿宋" w:hAnsi="仿宋" w:eastAsia="仿宋" w:cs="仿宋"/>
                <w:color w:val="auto"/>
                <w:kern w:val="0"/>
                <w:sz w:val="20"/>
                <w:szCs w:val="20"/>
                <w:highlight w:val="none"/>
                <w:u w:val="single"/>
              </w:rPr>
              <w:t xml:space="preserve">                  </w:t>
            </w:r>
          </w:p>
          <w:p w14:paraId="42CFF07D">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传真：</w:t>
            </w:r>
            <w:r>
              <w:rPr>
                <w:rFonts w:hint="eastAsia" w:ascii="仿宋" w:hAnsi="仿宋" w:eastAsia="仿宋" w:cs="仿宋"/>
                <w:color w:val="auto"/>
                <w:kern w:val="0"/>
                <w:sz w:val="20"/>
                <w:szCs w:val="20"/>
                <w:highlight w:val="none"/>
                <w:u w:val="single"/>
              </w:rPr>
              <w:t xml:space="preserve">                  </w:t>
            </w:r>
          </w:p>
          <w:p w14:paraId="6520BE01">
            <w:pPr>
              <w:widowControl w:val="0"/>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电子邮箱：</w:t>
            </w:r>
            <w:r>
              <w:rPr>
                <w:rFonts w:hint="eastAsia" w:ascii="仿宋" w:hAnsi="仿宋" w:eastAsia="仿宋" w:cs="仿宋"/>
                <w:color w:val="auto"/>
                <w:kern w:val="0"/>
                <w:sz w:val="20"/>
                <w:szCs w:val="20"/>
                <w:highlight w:val="none"/>
                <w:u w:val="single"/>
              </w:rPr>
              <w:t xml:space="preserve">              </w:t>
            </w:r>
          </w:p>
        </w:tc>
        <w:tc>
          <w:tcPr>
            <w:tcW w:w="4261" w:type="dxa"/>
            <w:tcBorders>
              <w:tl2br w:val="nil"/>
              <w:tr2bl w:val="nil"/>
            </w:tcBorders>
          </w:tcPr>
          <w:p w14:paraId="31E394F6">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乙 方：</w:t>
            </w:r>
            <w:r>
              <w:rPr>
                <w:rFonts w:hint="eastAsia" w:ascii="仿宋" w:hAnsi="仿宋" w:eastAsia="仿宋" w:cs="仿宋"/>
                <w:color w:val="auto"/>
                <w:kern w:val="0"/>
                <w:sz w:val="20"/>
                <w:szCs w:val="20"/>
                <w:highlight w:val="none"/>
                <w:u w:val="single"/>
              </w:rPr>
              <w:t xml:space="preserve">     （盖章）    </w:t>
            </w:r>
          </w:p>
          <w:p w14:paraId="11E5DEEA">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2E8D765F">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邮政编码：</w:t>
            </w:r>
            <w:r>
              <w:rPr>
                <w:rFonts w:hint="eastAsia" w:ascii="仿宋" w:hAnsi="仿宋" w:eastAsia="仿宋" w:cs="仿宋"/>
                <w:color w:val="auto"/>
                <w:kern w:val="0"/>
                <w:sz w:val="20"/>
                <w:szCs w:val="20"/>
                <w:highlight w:val="none"/>
                <w:u w:val="single"/>
              </w:rPr>
              <w:t xml:space="preserve">              </w:t>
            </w:r>
          </w:p>
          <w:p w14:paraId="67B60539">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法定代表人或其授权</w:t>
            </w:r>
          </w:p>
          <w:p w14:paraId="00D2E6D7">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的代理人：</w:t>
            </w:r>
            <w:r>
              <w:rPr>
                <w:rFonts w:hint="eastAsia" w:ascii="仿宋" w:hAnsi="仿宋" w:eastAsia="仿宋" w:cs="仿宋"/>
                <w:color w:val="auto"/>
                <w:kern w:val="0"/>
                <w:sz w:val="20"/>
                <w:szCs w:val="20"/>
                <w:highlight w:val="none"/>
                <w:u w:val="single"/>
              </w:rPr>
              <w:t xml:space="preserve">（签字）      </w:t>
            </w:r>
          </w:p>
          <w:p w14:paraId="46D33789">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开户银行：</w:t>
            </w:r>
            <w:r>
              <w:rPr>
                <w:rFonts w:hint="eastAsia" w:ascii="仿宋" w:hAnsi="仿宋" w:eastAsia="仿宋" w:cs="仿宋"/>
                <w:color w:val="auto"/>
                <w:kern w:val="0"/>
                <w:sz w:val="20"/>
                <w:szCs w:val="20"/>
                <w:highlight w:val="none"/>
                <w:u w:val="single"/>
              </w:rPr>
              <w:t xml:space="preserve">              </w:t>
            </w:r>
          </w:p>
          <w:p w14:paraId="7D3D3679">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账号：</w:t>
            </w:r>
            <w:r>
              <w:rPr>
                <w:rFonts w:hint="eastAsia" w:ascii="仿宋" w:hAnsi="仿宋" w:eastAsia="仿宋" w:cs="仿宋"/>
                <w:color w:val="auto"/>
                <w:kern w:val="0"/>
                <w:sz w:val="20"/>
                <w:szCs w:val="20"/>
                <w:highlight w:val="none"/>
                <w:u w:val="single"/>
              </w:rPr>
              <w:t xml:space="preserve">                  </w:t>
            </w:r>
          </w:p>
          <w:p w14:paraId="10035FED">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电话：</w:t>
            </w:r>
            <w:r>
              <w:rPr>
                <w:rFonts w:hint="eastAsia" w:ascii="仿宋" w:hAnsi="仿宋" w:eastAsia="仿宋" w:cs="仿宋"/>
                <w:color w:val="auto"/>
                <w:kern w:val="0"/>
                <w:sz w:val="20"/>
                <w:szCs w:val="20"/>
                <w:highlight w:val="none"/>
                <w:u w:val="single"/>
              </w:rPr>
              <w:t xml:space="preserve">                  </w:t>
            </w:r>
          </w:p>
          <w:p w14:paraId="466499C2">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传真：</w:t>
            </w:r>
            <w:r>
              <w:rPr>
                <w:rFonts w:hint="eastAsia" w:ascii="仿宋" w:hAnsi="仿宋" w:eastAsia="仿宋" w:cs="仿宋"/>
                <w:color w:val="auto"/>
                <w:kern w:val="0"/>
                <w:sz w:val="20"/>
                <w:szCs w:val="20"/>
                <w:highlight w:val="none"/>
                <w:u w:val="single"/>
              </w:rPr>
              <w:t xml:space="preserve">                  </w:t>
            </w:r>
          </w:p>
          <w:p w14:paraId="5FCC4BBF">
            <w:pPr>
              <w:widowControl w:val="0"/>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电子邮箱：</w:t>
            </w:r>
            <w:r>
              <w:rPr>
                <w:rFonts w:hint="eastAsia" w:ascii="仿宋" w:hAnsi="仿宋" w:eastAsia="仿宋" w:cs="仿宋"/>
                <w:color w:val="auto"/>
                <w:kern w:val="0"/>
                <w:sz w:val="20"/>
                <w:szCs w:val="20"/>
                <w:highlight w:val="none"/>
                <w:u w:val="single"/>
              </w:rPr>
              <w:t xml:space="preserve">              </w:t>
            </w:r>
          </w:p>
        </w:tc>
      </w:tr>
    </w:tbl>
    <w:p w14:paraId="3C1850A4">
      <w:pPr>
        <w:rPr>
          <w:highlight w:val="none"/>
        </w:rPr>
      </w:pPr>
    </w:p>
    <w:p w14:paraId="35712FB3">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D3C99"/>
    <w:rsid w:val="38AD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paragraph" w:styleId="3">
    <w:name w:val="Normal (Web)"/>
    <w:basedOn w:val="1"/>
    <w:next w:val="1"/>
    <w:unhideWhenUsed/>
    <w:qFormat/>
    <w:uiPriority w:val="99"/>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首行缩进:  2 字符"/>
    <w:basedOn w:val="1"/>
    <w:qFormat/>
    <w:uiPriority w:val="0"/>
    <w:pPr>
      <w:spacing w:line="400" w:lineRule="exact"/>
      <w:ind w:firstLine="200" w:firstLineChars="200"/>
    </w:pPr>
    <w:rPr>
      <w:rFonts w:cs="宋体"/>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2026-06-23T09:04:00Z</dcterms:created>
  <dc:creator>W</dc:creator>
  <cp:lastModifiedBy>W</cp:lastModifiedBy>
  <dcterms:modified xsi:type="dcterms:W3CDTF">2026-06-23T09:06:09Z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E6A36F5F3BB84983B3CF544FE30E73CB_11</vt:lpwstr>
  </property>
  <property fmtid="{D5CDD505-2E9C-101B-9397-08002B2CF9AE}" pid="4" name="KSOTemplateDocerSaveRecord">
    <vt:lpwstr>eyJoZGlkIjoiODA3OWZmMmUwNTFkYWRmMGM2NzBiMjU5MDgyNmRlMmYiLCJ1c2VySWQiOiI0MTA1MzM4NDYifQ==</vt:lpwstr>
  </property>
</Properties>
</file>