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D504B6">
      <w:pPr>
        <w:keepNext w:val="0"/>
        <w:keepLines w:val="0"/>
        <w:pageBreakBefore w:val="0"/>
        <w:widowControl/>
        <w:kinsoku/>
        <w:wordWrap/>
        <w:overflowPunct/>
        <w:topLinePunct w:val="0"/>
        <w:autoSpaceDE/>
        <w:autoSpaceDN/>
        <w:bidi w:val="0"/>
        <w:snapToGrid/>
        <w:spacing w:line="360" w:lineRule="auto"/>
        <w:ind w:firstLine="660" w:firstLineChars="150"/>
        <w:jc w:val="center"/>
        <w:rPr>
          <w:rFonts w:hint="eastAsia" w:ascii="宋体" w:hAnsi="宋体" w:eastAsia="宋体" w:cs="宋体"/>
          <w:sz w:val="44"/>
          <w:szCs w:val="44"/>
        </w:rPr>
      </w:pPr>
      <w:r>
        <w:rPr>
          <w:rFonts w:hint="eastAsia" w:ascii="宋体" w:hAnsi="宋体" w:eastAsia="宋体" w:cs="宋体"/>
          <w:sz w:val="44"/>
          <w:szCs w:val="44"/>
        </w:rPr>
        <w:t>政府采购合同格式</w:t>
      </w:r>
    </w:p>
    <w:p w14:paraId="6A9D3486">
      <w:pPr>
        <w:pStyle w:val="6"/>
        <w:keepNext w:val="0"/>
        <w:keepLines w:val="0"/>
        <w:pageBreakBefore w:val="0"/>
        <w:kinsoku/>
        <w:wordWrap/>
        <w:overflowPunct/>
        <w:topLinePunct w:val="0"/>
        <w:autoSpaceDE/>
        <w:autoSpaceDN/>
        <w:bidi w:val="0"/>
        <w:snapToGrid/>
        <w:spacing w:line="360" w:lineRule="auto"/>
        <w:ind w:left="0" w:firstLine="480" w:firstLineChars="200"/>
        <w:jc w:val="center"/>
        <w:rPr>
          <w:rFonts w:hint="default"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本合同为样本格式，具体以甲乙双方签订的合同文本为准）</w:t>
      </w:r>
    </w:p>
    <w:p w14:paraId="549F908A">
      <w:pPr>
        <w:pStyle w:val="6"/>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 xml:space="preserve">合同编号： </w:t>
      </w:r>
    </w:p>
    <w:p w14:paraId="0FB08675">
      <w:pPr>
        <w:pStyle w:val="6"/>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 xml:space="preserve">签订地点： </w:t>
      </w:r>
    </w:p>
    <w:p w14:paraId="3FE93EBE">
      <w:pPr>
        <w:pStyle w:val="6"/>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签订时间:</w:t>
      </w:r>
    </w:p>
    <w:p w14:paraId="670DD117">
      <w:pPr>
        <w:pStyle w:val="6"/>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采购人（甲方）：</w:t>
      </w:r>
    </w:p>
    <w:p w14:paraId="2D8D30F8">
      <w:pPr>
        <w:pStyle w:val="6"/>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供应商（乙方）：</w:t>
      </w:r>
    </w:p>
    <w:p w14:paraId="2FEC4F84">
      <w:pPr>
        <w:pStyle w:val="6"/>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根据《中华人民共和国政府采购法》及实施条例、《中华人民共和国民法典》和甲方</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采购项目（采购项目编号</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w:t>
      </w:r>
      <w:r>
        <w:rPr>
          <w:rFonts w:hint="eastAsia" w:ascii="宋体" w:hAnsi="宋体" w:eastAsia="宋体" w:cs="宋体"/>
          <w:sz w:val="24"/>
          <w:szCs w:val="24"/>
        </w:rPr>
        <w:t>的</w:t>
      </w:r>
      <w:r>
        <w:rPr>
          <w:rFonts w:hint="eastAsia" w:ascii="宋体" w:hAnsi="宋体" w:eastAsia="宋体" w:cs="宋体"/>
          <w:sz w:val="24"/>
          <w:szCs w:val="24"/>
          <w:lang w:val="en-US" w:eastAsia="zh-CN"/>
        </w:rPr>
        <w:t>磋商</w:t>
      </w:r>
      <w:r>
        <w:rPr>
          <w:rFonts w:hint="eastAsia" w:ascii="宋体" w:hAnsi="宋体" w:eastAsia="宋体" w:cs="宋体"/>
          <w:sz w:val="24"/>
          <w:szCs w:val="24"/>
        </w:rPr>
        <w:t>文件、</w:t>
      </w:r>
      <w:r>
        <w:rPr>
          <w:rFonts w:hint="eastAsia" w:ascii="宋体" w:hAnsi="宋体" w:eastAsia="宋体" w:cs="宋体"/>
          <w:sz w:val="24"/>
          <w:szCs w:val="24"/>
          <w:lang w:val="en-US" w:eastAsia="zh-CN"/>
        </w:rPr>
        <w:t>响应</w:t>
      </w:r>
      <w:r>
        <w:rPr>
          <w:rFonts w:hint="eastAsia" w:ascii="宋体" w:hAnsi="宋体" w:eastAsia="宋体" w:cs="宋体"/>
          <w:sz w:val="24"/>
          <w:szCs w:val="24"/>
        </w:rPr>
        <w:t>文件等有关规定，为确保甲方采购项目的顺利实施，甲、乙双方在平等自愿原则下签订本合同，并共同遵守如下条款：</w:t>
      </w:r>
    </w:p>
    <w:p w14:paraId="37185884">
      <w:pPr>
        <w:keepNext w:val="0"/>
        <w:keepLines w:val="0"/>
        <w:pageBreakBefore w:val="0"/>
        <w:numPr>
          <w:ilvl w:val="0"/>
          <w:numId w:val="1"/>
        </w:numPr>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r>
        <w:rPr>
          <w:rFonts w:hint="eastAsia" w:ascii="宋体" w:hAnsi="宋体" w:eastAsia="宋体" w:cs="宋体"/>
          <w:b/>
          <w:sz w:val="24"/>
          <w:szCs w:val="24"/>
        </w:rPr>
        <w:t>项目基本情况</w:t>
      </w:r>
    </w:p>
    <w:p w14:paraId="280B4F6C">
      <w:pPr>
        <w:keepNext w:val="0"/>
        <w:keepLines w:val="0"/>
        <w:pageBreakBefore w:val="0"/>
        <w:kinsoku/>
        <w:wordWrap/>
        <w:overflowPunct/>
        <w:topLinePunct w:val="0"/>
        <w:autoSpaceDE/>
        <w:autoSpaceDN/>
        <w:bidi w:val="0"/>
        <w:snapToGrid/>
        <w:spacing w:line="360" w:lineRule="auto"/>
        <w:ind w:left="0" w:firstLine="488" w:firstLineChars="200"/>
        <w:rPr>
          <w:rFonts w:hint="eastAsia" w:ascii="宋体" w:hAnsi="宋体" w:eastAsia="宋体" w:cs="宋体"/>
          <w:b/>
          <w:sz w:val="24"/>
          <w:szCs w:val="24"/>
        </w:rPr>
      </w:pPr>
      <w:r>
        <w:rPr>
          <w:rFonts w:hint="eastAsia" w:ascii="宋体" w:hAnsi="宋体" w:eastAsia="宋体" w:cs="宋体"/>
          <w:spacing w:val="2"/>
          <w:sz w:val="24"/>
          <w:szCs w:val="24"/>
        </w:rPr>
        <w:t>为深入贯彻落实中、省、市关于加强基层社会工作服务体系建设的部署要求，进一步健全基层民政服务网络，提升民政领域专业化服务水平，提高财政资金使用绩效。结合目前我局开展的各项民生服务内容以及资金来源，在2026年度计划将现有资源予以整合用于开展社会工作站服务工作。社工站服务主要采取政府购买服务方式运行，按照政府采购相关规定组织招投标，选择符合规定的社会组织、企业、机构等社会力量承接运营，为民政服务对象提供专业服务。服务内容主要包括社会救助、未成年人关爱保护、生活无着流散人员救助管理、养老和高龄老人服务四个方面。</w:t>
      </w:r>
    </w:p>
    <w:p w14:paraId="557F9877">
      <w:pPr>
        <w:keepNext w:val="0"/>
        <w:keepLines w:val="0"/>
        <w:pageBreakBefore w:val="0"/>
        <w:numPr>
          <w:ilvl w:val="0"/>
          <w:numId w:val="1"/>
        </w:numPr>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r>
        <w:rPr>
          <w:rFonts w:hint="eastAsia" w:ascii="宋体" w:hAnsi="宋体" w:eastAsia="宋体" w:cs="宋体"/>
          <w:b/>
          <w:sz w:val="24"/>
          <w:szCs w:val="24"/>
        </w:rPr>
        <w:t>合同期限</w:t>
      </w:r>
    </w:p>
    <w:p w14:paraId="57788913">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年   月   日</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至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年   月   日</w:t>
      </w:r>
    </w:p>
    <w:p w14:paraId="517EF111">
      <w:pPr>
        <w:keepNext w:val="0"/>
        <w:keepLines w:val="0"/>
        <w:pageBreakBefore w:val="0"/>
        <w:numPr>
          <w:ilvl w:val="0"/>
          <w:numId w:val="1"/>
        </w:numPr>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bookmarkStart w:id="0" w:name="_Toc212019594"/>
      <w:bookmarkStart w:id="1" w:name="_Toc237145406"/>
      <w:bookmarkStart w:id="2" w:name="_Toc239568418"/>
      <w:bookmarkStart w:id="3" w:name="_Toc225654644"/>
      <w:bookmarkStart w:id="4" w:name="_Toc283019214"/>
      <w:bookmarkStart w:id="5" w:name="_Toc225670751"/>
      <w:bookmarkStart w:id="6" w:name="_Toc241833903"/>
      <w:bookmarkStart w:id="7" w:name="_Toc225244852"/>
      <w:bookmarkStart w:id="8" w:name="_Toc238984975"/>
      <w:bookmarkStart w:id="9" w:name="_Toc247334841"/>
      <w:bookmarkStart w:id="10" w:name="_Toc286993786"/>
      <w:bookmarkStart w:id="11" w:name="_Toc239233914"/>
      <w:bookmarkStart w:id="12" w:name="_Toc282696226"/>
      <w:bookmarkStart w:id="13" w:name="_Toc185395249"/>
      <w:bookmarkStart w:id="14" w:name="_Toc211911348"/>
      <w:bookmarkStart w:id="15" w:name="_Toc232492928"/>
      <w:bookmarkStart w:id="16" w:name="_Toc211854449"/>
      <w:bookmarkStart w:id="17" w:name="_Toc251768862"/>
      <w:r>
        <w:rPr>
          <w:rFonts w:hint="eastAsia" w:ascii="宋体" w:hAnsi="宋体" w:eastAsia="宋体" w:cs="宋体"/>
          <w:b/>
          <w:sz w:val="24"/>
          <w:szCs w:val="24"/>
        </w:rPr>
        <w:t>服务内容与质量标准</w:t>
      </w:r>
    </w:p>
    <w:p w14:paraId="3D0110E2">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一、服务内容</w:t>
      </w:r>
    </w:p>
    <w:p w14:paraId="5252B6E1">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（一）社会救助服务内容</w:t>
      </w:r>
    </w:p>
    <w:p w14:paraId="3EA1067E">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入户调查：申请最低生活保障、特困人员救助供养、低保边缘家庭、刚性支出困难家庭、临时救助、教育资助等救助事项的家庭基本情况和经济状况的调查核实，在册最低生活保障对象、特困人员、外省回陕六十年代精减职工的年度复审，民政部门认定的与社会救助有关对象的调查。</w:t>
      </w:r>
    </w:p>
    <w:p w14:paraId="2509892B">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2.特困人员自理能力评估：对新申请的特困人员和在册的特困人员进行自理能力评估，确定特困人员自理能力档级。</w:t>
      </w:r>
    </w:p>
    <w:p w14:paraId="7924F1F2">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发挥“主动发现”机制作用：主动摸排疑似符合最低生活保障、特困人员救助供养、低保边缘家庭、刚性支出困难家庭和临时救助等社会救助政策的城乡居民家庭，做好情况记录，并及时向街道或区民政局报告。</w:t>
      </w:r>
    </w:p>
    <w:p w14:paraId="06746D20">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4.列席有争议的救助申请家庭民主评议会，对申请对象的家庭收入、财产状况以及家庭经济状况和实际生活情况等调查情况进行汇报。</w:t>
      </w:r>
    </w:p>
    <w:p w14:paraId="450E679B">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5.对各村(居)委会社会救助公示栏、公示内容的检查，发现的问题及时报告街道和区民政局。</w:t>
      </w:r>
    </w:p>
    <w:p w14:paraId="221DFC5A">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6.开展内容丰富、形式多样的社会救助政策宣传活动，提高群众对社会救助政策的知晓率。</w:t>
      </w:r>
    </w:p>
    <w:p w14:paraId="12B3B1A7">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（二）未成年人保护服务内容</w:t>
      </w:r>
    </w:p>
    <w:p w14:paraId="4CA8FDA1">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1.留守和困境儿童摸排建档。（包含信息摸排和心理健康测评，建立一人一档，实施分色分级管理、日常探访、动态监测）。</w:t>
      </w:r>
    </w:p>
    <w:p w14:paraId="6528B42C">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2.困境儿童个案处置，包括但不限于个案管理、临时监护、资源链接等。</w:t>
      </w:r>
    </w:p>
    <w:p w14:paraId="3B961053">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3.强化一线儿童关爱服务力量履职能力，通过专题研讨、案例刨析、经验交流、实操指导、同伴引领、互助服务、阵地运营等方式筑牢儿童服务力量根基。</w:t>
      </w:r>
    </w:p>
    <w:p w14:paraId="6D02082F">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4.关心关爱活动。包括家庭融入主题活动、心理健康团辅活动、课后服务支持活动、生活技能训练营、社区宣传倡导活动、资源链接对接会等关爱服务和宣传活动。</w:t>
      </w:r>
    </w:p>
    <w:p w14:paraId="5253BBA9">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5.未保示范站点提升和组织培育。通过儿童关爱保护服务，协助街道和社区打造2个示范性儿童之家或街道未保工作站、培育至少1支本土儿童服务类社会组织。</w:t>
      </w:r>
    </w:p>
    <w:p w14:paraId="78BA4E41">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（三）生活无着流散人员救助管理服务内容</w:t>
      </w:r>
    </w:p>
    <w:p w14:paraId="49460A65">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日常生活服务照料：协助提供受助人员24小时生活照料服务，具体包括理发，换洗衣物、被子，做好受助人员随身物品的寄存、保管、领取，针对需提供特殊照料的受助人员，提供穿脱衣物、大小便处理、喂饭、经期处理、洗脸刷牙，开展受助区域卫生打扫等工作；为救助管理站内接受救助的受助人员提供符合食品卫生要求的送餐服务。</w:t>
      </w:r>
    </w:p>
    <w:p w14:paraId="126F0720">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司机服务：在站内管理人员开展受助人员护送返乡、街头救助(包含常态化的为期3个月的夏季送清凉、为期3个月的寒冬送温暖、针对24小时热线电话收到的救助需求开展应急街头救助)、接站送站(外站护送至我站受助人员由我站车辆前往火车站高铁站接收、我站工作人员乘公共交通护送受助人员返乡由我站司机负责将受助人员送至火车站)、送医救治(站内发病受助人员送医救治)等工作时，提供所需的司机服务。</w:t>
      </w:r>
    </w:p>
    <w:p w14:paraId="3AE48476">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3.服务区域内安保服务：协助管理人员做好危险物品的检查工作，严禁易燃易爆、管制刀具等危险品进入服务区。加强服务区域的日常巡查工作，防止发生极端事件。</w:t>
      </w:r>
    </w:p>
    <w:p w14:paraId="6D0CB08D">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（四）养老和高龄老人服务内容</w:t>
      </w:r>
    </w:p>
    <w:p w14:paraId="54B92D74">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困难老年人关爱探访服务：常态化入户探访辖区困难老年人，全面摸排登记老人生活起居、身体健康、日常照料、惠民政策享受等情况，重点核查老人饮食、衣着、居住、就医、居家安全情况，实时记录生活困难、安全隐患并闭环反馈属地街道及民政部门。硬性保障独居、空巢、失能老年人每月探访不少于2次，按需提供上门陪伴、情绪疏导、便民生活协助等服务。全覆盖为困难老年人提供健康监测管理、基础生活照料、便民代办、心理关爱等一站式助老服务。</w:t>
      </w:r>
    </w:p>
    <w:p w14:paraId="6CA6BC1F">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家庭成员照顾技能培训：面向辖区失能、半失能老年人配偶、子女等居家照护人员，专项开展规范化照护技能培训。培训内容涵盖老人翻身、喂食、个人清洁、排泄护理等日常照料实操，同步普及基础康复护理、居家安全防护、照护者及老人双向心理疏导知识。采用理论授课+现场实操演练相结合模式，赋能家庭照护人员专业能力，有效减轻居家照护压力，降低居家养老意外风险。</w:t>
      </w:r>
    </w:p>
    <w:p w14:paraId="02ADB0C8">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敬老爱老主题关爱活动：紧扣重阳节、春节等法定敬老传统节日，常态化开展敬老爱老主题公益活动。活动形式包含养老机构慰问演出、戏曲歌舞书画文娱展演、老年集体庆生、健康科普讲座、公益义诊等。联动志愿者、爱心企业、社区文艺团体等社会力量协同开展服务，丰富老年群体精神文化生活。硬性要求每年敬老月（重阳节）组织1场全域大型敬老主题活动，春节等其余传统节日按需开展小型便民敬老活动。</w:t>
      </w:r>
    </w:p>
    <w:p w14:paraId="580AE630">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养老服务政策和高龄保健补贴宣传与解读：依托入户走访、社区公示栏、居民微信群、线下政策宣讲会多元渠道，面向老年人及家属全覆盖宣讲养老惠民政策。重点解读高龄补贴、经济困难老年人补贴、失能护理补贴、居家适老化改造、养老机构入住五大核心政策，明晰各项政策申领条件、办理流程、申报材料，一对一协助符合条件老人办理申报业务。印制通俗易懂图文版政策宣传单页，线下入户发放、定点派发，打通政策落地最后一公里。</w:t>
      </w:r>
    </w:p>
    <w:p w14:paraId="580004E1">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高龄补贴主动发现与排查：全域摸排辖区70周岁以上户籍老年人高龄补贴享受状态，对符合申领条件未申领人员，上门宣讲政策、全程协助申报，台账闭环反馈属地街道、区民政局。配合街道、村（社区）完成年度高龄补贴资格核验，动态核实在册领取人员信息，严防高龄补贴漏发、错发、多发。</w:t>
      </w:r>
    </w:p>
    <w:p w14:paraId="7058BA46">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养老服务资源链接：统筹链接辖区公办民办养老机构、社区养老服务站（日间照料中心）、老年助餐点等养老业态资源，建立供需对接机制，为自理、半失能、失能有入住需求老人提供精准转介服务。建立动态养老服务资源清单，定期更新公示，方便辖区老年人及家属查询对接。</w:t>
      </w:r>
    </w:p>
    <w:p w14:paraId="3F7C0984">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7.老年人信息动态管理：标准化建立辖区困难老年人专属信息台账，详实登记老人基础信息、健康状况、照料等级、政策享受、个性化服务需求等内容。实行季度常态化台账更新，老人身体、户籍、居住、照料状态异动时即时更新台账信息。重点标注独居、留守、空巢、失能、高龄、重残、计划生育家庭等作为重点关爱老人，分级分类落实回访关爱。按时配合民政部门完成养老数据汇总、台账报送、专项信息统计工作。</w:t>
      </w:r>
    </w:p>
    <w:p w14:paraId="4C798170">
      <w:pPr>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color w:val="000000"/>
          <w:sz w:val="24"/>
          <w:szCs w:val="24"/>
          <w:highlight w:val="none"/>
          <w:lang w:val="en-US" w:eastAsia="zh-CN"/>
        </w:rPr>
        <w:t>二、技术要求服务质量：符合国家相关（行业）规定规范标准</w:t>
      </w:r>
      <w:r>
        <w:rPr>
          <w:rFonts w:hint="eastAsia" w:ascii="宋体" w:hAnsi="宋体" w:eastAsia="宋体" w:cs="宋体"/>
          <w:color w:val="000000"/>
          <w:sz w:val="24"/>
          <w:szCs w:val="24"/>
          <w:highlight w:val="none"/>
        </w:rPr>
        <w:t>；</w:t>
      </w:r>
    </w:p>
    <w:p w14:paraId="779FE8C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服务费用</w:t>
      </w:r>
    </w:p>
    <w:p w14:paraId="49F8B9BC">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宋体" w:hAnsi="宋体" w:eastAsia="宋体" w:cs="宋体"/>
          <w:b w:val="0"/>
          <w:sz w:val="24"/>
          <w:szCs w:val="24"/>
        </w:rPr>
      </w:pPr>
      <w:r>
        <w:rPr>
          <w:rFonts w:hint="eastAsia" w:ascii="宋体" w:hAnsi="宋体" w:eastAsia="宋体" w:cs="宋体"/>
          <w:b w:val="0"/>
          <w:sz w:val="24"/>
          <w:szCs w:val="24"/>
        </w:rPr>
        <w:t xml:space="preserve">  1.服务总费用为人民币（大写）：</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rPr>
        <w:t>元，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rPr>
        <w:t>。</w:t>
      </w:r>
    </w:p>
    <w:p w14:paraId="06105A8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2.本项目服务费用由以下组成：</w:t>
      </w:r>
    </w:p>
    <w:p w14:paraId="5C38565E">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w:t>
      </w:r>
      <w:r>
        <w:rPr>
          <w:rFonts w:hint="eastAsia" w:ascii="宋体" w:hAnsi="宋体" w:eastAsia="宋体" w:cs="宋体"/>
          <w:color w:val="000000"/>
          <w:sz w:val="24"/>
          <w:szCs w:val="24"/>
        </w:rPr>
        <w:t>XX</w:t>
      </w:r>
      <w:r>
        <w:rPr>
          <w:rFonts w:hint="eastAsia" w:ascii="宋体" w:hAnsi="宋体" w:eastAsia="宋体" w:cs="宋体"/>
          <w:sz w:val="24"/>
          <w:szCs w:val="24"/>
        </w:rPr>
        <w:t>万元；</w:t>
      </w:r>
    </w:p>
    <w:p w14:paraId="05F54DBE">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（2）</w:t>
      </w:r>
      <w:r>
        <w:rPr>
          <w:rFonts w:hint="eastAsia" w:ascii="宋体" w:hAnsi="宋体" w:eastAsia="宋体" w:cs="宋体"/>
          <w:color w:val="000000"/>
          <w:sz w:val="24"/>
          <w:szCs w:val="24"/>
        </w:rPr>
        <w:t>XX</w:t>
      </w:r>
      <w:r>
        <w:rPr>
          <w:rFonts w:hint="eastAsia" w:ascii="宋体" w:hAnsi="宋体" w:eastAsia="宋体" w:cs="宋体"/>
          <w:sz w:val="24"/>
          <w:szCs w:val="24"/>
        </w:rPr>
        <w:t>万元；</w:t>
      </w:r>
    </w:p>
    <w:p w14:paraId="48B1737A">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（3）</w:t>
      </w:r>
      <w:r>
        <w:rPr>
          <w:rFonts w:hint="eastAsia" w:ascii="宋体" w:hAnsi="宋体" w:eastAsia="宋体" w:cs="宋体"/>
          <w:color w:val="000000"/>
          <w:sz w:val="24"/>
          <w:szCs w:val="24"/>
        </w:rPr>
        <w:t>XX</w:t>
      </w:r>
      <w:r>
        <w:rPr>
          <w:rFonts w:hint="eastAsia" w:ascii="宋体" w:hAnsi="宋体" w:eastAsia="宋体" w:cs="宋体"/>
          <w:sz w:val="24"/>
          <w:szCs w:val="24"/>
        </w:rPr>
        <w:t>万元。</w:t>
      </w:r>
    </w:p>
    <w:p w14:paraId="7D0EE7D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720" w:firstLineChars="3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.本合同执行期间服务总费用不变，甲方无须另向乙方支付本合同规定之外的其他任何费用。</w:t>
      </w:r>
      <w:bookmarkStart w:id="52" w:name="_GoBack"/>
      <w:bookmarkEnd w:id="52"/>
    </w:p>
    <w:p w14:paraId="0C82B348">
      <w:pPr>
        <w:keepNext w:val="0"/>
        <w:keepLines w:val="0"/>
        <w:pageBreakBefore w:val="0"/>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r>
        <w:rPr>
          <w:rFonts w:hint="eastAsia" w:ascii="宋体" w:hAnsi="宋体" w:eastAsia="宋体" w:cs="宋体"/>
          <w:b/>
          <w:sz w:val="24"/>
          <w:szCs w:val="24"/>
        </w:rPr>
        <w:t>第五条  服务费支付方式</w:t>
      </w:r>
    </w:p>
    <w:p w14:paraId="304CF180">
      <w:pPr>
        <w:pStyle w:val="3"/>
        <w:keepNext w:val="0"/>
        <w:keepLines w:val="0"/>
        <w:pageBreakBefore w:val="0"/>
        <w:kinsoku/>
        <w:wordWrap/>
        <w:overflowPunct/>
        <w:topLinePunct w:val="0"/>
        <w:autoSpaceDE/>
        <w:autoSpaceDN/>
        <w:bidi w:val="0"/>
        <w:snapToGrid/>
        <w:spacing w:line="360" w:lineRule="auto"/>
        <w:ind w:left="0" w:firstLine="482" w:firstLineChars="200"/>
        <w:rPr>
          <w:rFonts w:hint="eastAsia" w:ascii="宋体" w:hAnsi="宋体" w:eastAsia="宋体" w:cs="宋体"/>
          <w:sz w:val="24"/>
          <w:szCs w:val="24"/>
          <w:lang w:val="en-US" w:eastAsia="zh-CN"/>
        </w:rPr>
      </w:pPr>
      <w:r>
        <w:rPr>
          <w:rFonts w:hint="eastAsia" w:ascii="宋体" w:hAnsi="宋体" w:eastAsia="宋体" w:cs="宋体"/>
          <w:b/>
          <w:sz w:val="24"/>
          <w:szCs w:val="24"/>
        </w:rPr>
        <w:t xml:space="preserve"> </w:t>
      </w:r>
      <w:r>
        <w:rPr>
          <w:rFonts w:hint="eastAsia" w:ascii="宋体" w:hAnsi="宋体" w:eastAsia="宋体" w:cs="宋体"/>
          <w:sz w:val="24"/>
          <w:szCs w:val="24"/>
        </w:rPr>
        <w:t>1、付款比例：</w:t>
      </w:r>
      <w:r>
        <w:rPr>
          <w:rFonts w:hint="eastAsia" w:ascii="宋体" w:hAnsi="宋体" w:eastAsia="宋体" w:cs="宋体"/>
          <w:sz w:val="24"/>
          <w:szCs w:val="24"/>
          <w:lang w:val="en-US" w:eastAsia="zh-CN"/>
        </w:rPr>
        <w:t>（1）服务费用由甲方拨付乙方，根据甲乙双方签订合同的约定的内容，甲方向乙方支付服务费用。</w:t>
      </w:r>
    </w:p>
    <w:p w14:paraId="66EF5F0E">
      <w:pPr>
        <w:pStyle w:val="3"/>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（2）合同签订后，且乙方按照要求提供相应资料后，甲方负责协调向乙方按季度支付服务费。</w:t>
      </w:r>
    </w:p>
    <w:p w14:paraId="74AAC658">
      <w:pPr>
        <w:pStyle w:val="3"/>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甲方付款前，乙方应向甲方开具合法有效的专用发票，甲方在收到乙方提供的工作开展情况报告和发票后，向乙方支付相应的费用。因乙方未提供报告和发票或提供的报告和发票不符合要求的，甲方有权拒绝支付相应费用而不构成违约。</w:t>
      </w:r>
    </w:p>
    <w:p w14:paraId="1963F579">
      <w:pPr>
        <w:pStyle w:val="3"/>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2、结算方式：银行转账。</w:t>
      </w:r>
    </w:p>
    <w:p w14:paraId="79BC8442">
      <w:pPr>
        <w:pStyle w:val="3"/>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b/>
          <w:sz w:val="24"/>
          <w:szCs w:val="24"/>
        </w:rPr>
      </w:pPr>
      <w:r>
        <w:rPr>
          <w:rFonts w:hint="eastAsia" w:ascii="宋体" w:hAnsi="宋体" w:eastAsia="宋体" w:cs="宋体"/>
          <w:sz w:val="24"/>
          <w:szCs w:val="24"/>
        </w:rPr>
        <w:t>3、结算单位：由采购人负责结算，乙方开具合同总价数的全额发票交采购人。</w:t>
      </w:r>
    </w:p>
    <w:p w14:paraId="666E71D9">
      <w:pPr>
        <w:keepNext w:val="0"/>
        <w:keepLines w:val="0"/>
        <w:pageBreakBefore w:val="0"/>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r>
        <w:rPr>
          <w:rFonts w:hint="eastAsia" w:ascii="宋体" w:hAnsi="宋体" w:eastAsia="宋体" w:cs="宋体"/>
          <w:b/>
          <w:sz w:val="24"/>
          <w:szCs w:val="24"/>
        </w:rPr>
        <w:t>第六条   知识产权</w:t>
      </w:r>
    </w:p>
    <w:p w14:paraId="7E588B4A">
      <w:pPr>
        <w:keepNext w:val="0"/>
        <w:keepLines w:val="0"/>
        <w:pageBreakBefore w:val="0"/>
        <w:tabs>
          <w:tab w:val="left" w:pos="1440"/>
        </w:tabs>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21629AB6">
      <w:pPr>
        <w:keepNext w:val="0"/>
        <w:keepLines w:val="0"/>
        <w:pageBreakBefore w:val="0"/>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r>
        <w:rPr>
          <w:rFonts w:hint="eastAsia" w:ascii="宋体" w:hAnsi="宋体" w:eastAsia="宋体" w:cs="宋体"/>
          <w:b/>
          <w:sz w:val="24"/>
          <w:szCs w:val="24"/>
        </w:rPr>
        <w:t>第七条  无产权瑕疵条款</w:t>
      </w:r>
    </w:p>
    <w:p w14:paraId="643DC0B0">
      <w:pPr>
        <w:keepNext w:val="0"/>
        <w:keepLines w:val="0"/>
        <w:pageBreakBefore w:val="0"/>
        <w:tabs>
          <w:tab w:val="left" w:pos="1440"/>
        </w:tabs>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2949D0A3">
      <w:pPr>
        <w:keepNext w:val="0"/>
        <w:keepLines w:val="0"/>
        <w:pageBreakBefore w:val="0"/>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r>
        <w:rPr>
          <w:rFonts w:hint="eastAsia" w:ascii="宋体" w:hAnsi="宋体" w:eastAsia="宋体" w:cs="宋体"/>
          <w:b/>
          <w:sz w:val="24"/>
          <w:szCs w:val="24"/>
        </w:rPr>
        <w:t>第</w:t>
      </w:r>
      <w:r>
        <w:rPr>
          <w:rFonts w:hint="eastAsia" w:ascii="宋体" w:hAnsi="宋体" w:eastAsia="宋体" w:cs="宋体"/>
          <w:b/>
          <w:sz w:val="24"/>
          <w:szCs w:val="24"/>
          <w:lang w:val="en-US" w:eastAsia="zh-CN"/>
        </w:rPr>
        <w:t>八</w:t>
      </w:r>
      <w:r>
        <w:rPr>
          <w:rFonts w:hint="eastAsia" w:ascii="宋体" w:hAnsi="宋体" w:eastAsia="宋体" w:cs="宋体"/>
          <w:b/>
          <w:sz w:val="24"/>
          <w:szCs w:val="24"/>
        </w:rPr>
        <w:t>条  甲方的权利和义务</w:t>
      </w:r>
    </w:p>
    <w:p w14:paraId="7315C8DC">
      <w:pPr>
        <w:keepNext w:val="0"/>
        <w:keepLines w:val="0"/>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175FB836">
      <w:pPr>
        <w:keepNext w:val="0"/>
        <w:keepLines w:val="0"/>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2.甲方有权依据双方签订的考评办法对乙方提供的服务进行定期考评。当考评结果未达到标准时，有权依据考评办法约定的数额扣除履约保证金。</w:t>
      </w:r>
    </w:p>
    <w:p w14:paraId="1BB16D53">
      <w:pPr>
        <w:keepNext w:val="0"/>
        <w:keepLines w:val="0"/>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3.负责检查监督乙方管理工作的实施及制度的执行情况。</w:t>
      </w:r>
    </w:p>
    <w:p w14:paraId="536A73DC">
      <w:pPr>
        <w:keepNext w:val="0"/>
        <w:keepLines w:val="0"/>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4.根据本合同规定，按时向乙方支付应付服务费用。</w:t>
      </w:r>
    </w:p>
    <w:p w14:paraId="6E72E495">
      <w:pPr>
        <w:keepNext w:val="0"/>
        <w:keepLines w:val="0"/>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5.国家法律、法规所规定由甲方承担的其它责任。</w:t>
      </w:r>
    </w:p>
    <w:p w14:paraId="38FED4A2">
      <w:pPr>
        <w:keepNext w:val="0"/>
        <w:keepLines w:val="0"/>
        <w:pageBreakBefore w:val="0"/>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r>
        <w:rPr>
          <w:rFonts w:hint="eastAsia" w:ascii="宋体" w:hAnsi="宋体" w:eastAsia="宋体" w:cs="宋体"/>
          <w:b/>
          <w:sz w:val="24"/>
          <w:szCs w:val="24"/>
        </w:rPr>
        <w:t>第</w:t>
      </w:r>
      <w:r>
        <w:rPr>
          <w:rFonts w:hint="eastAsia" w:ascii="宋体" w:hAnsi="宋体" w:eastAsia="宋体" w:cs="宋体"/>
          <w:b/>
          <w:sz w:val="24"/>
          <w:szCs w:val="24"/>
          <w:lang w:val="en-US" w:eastAsia="zh-CN"/>
        </w:rPr>
        <w:t>九</w:t>
      </w:r>
      <w:r>
        <w:rPr>
          <w:rFonts w:hint="eastAsia" w:ascii="宋体" w:hAnsi="宋体" w:eastAsia="宋体" w:cs="宋体"/>
          <w:b/>
          <w:sz w:val="24"/>
          <w:szCs w:val="24"/>
        </w:rPr>
        <w:t>条  乙方的权利和义务</w:t>
      </w:r>
    </w:p>
    <w:p w14:paraId="4B2FE395">
      <w:pPr>
        <w:keepNext w:val="0"/>
        <w:keepLines w:val="0"/>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1.对本合同规定的委托服务范围内的项目享有管理权及服务义务。</w:t>
      </w:r>
    </w:p>
    <w:p w14:paraId="26BAA8E0">
      <w:pPr>
        <w:keepNext w:val="0"/>
        <w:keepLines w:val="0"/>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2.根据本合同的规定向甲方收取相关服务费用，并有权在本项目管理范围内管理及合理使用。</w:t>
      </w:r>
    </w:p>
    <w:p w14:paraId="6348F57B">
      <w:pPr>
        <w:keepNext w:val="0"/>
        <w:keepLines w:val="0"/>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2464E8EE">
      <w:pPr>
        <w:keepNext w:val="0"/>
        <w:keepLines w:val="0"/>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bCs/>
          <w:sz w:val="24"/>
          <w:szCs w:val="24"/>
        </w:rPr>
      </w:pPr>
      <w:r>
        <w:rPr>
          <w:rFonts w:hint="eastAsia" w:ascii="宋体" w:hAnsi="宋体" w:eastAsia="宋体" w:cs="宋体"/>
          <w:sz w:val="24"/>
          <w:szCs w:val="24"/>
        </w:rPr>
        <w:t>4.</w:t>
      </w:r>
      <w:r>
        <w:rPr>
          <w:rFonts w:hint="eastAsia" w:ascii="宋体" w:hAnsi="宋体" w:eastAsia="宋体" w:cs="宋体"/>
          <w:bCs/>
          <w:sz w:val="24"/>
          <w:szCs w:val="24"/>
        </w:rPr>
        <w:t>接受项目行业管理部门及政府有关部门的指导，接受甲方的监督。</w:t>
      </w:r>
    </w:p>
    <w:p w14:paraId="16CAC513">
      <w:pPr>
        <w:keepNext w:val="0"/>
        <w:keepLines w:val="0"/>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5.国家法律、法规所规定由乙方承担的其它责任。</w:t>
      </w:r>
    </w:p>
    <w:p w14:paraId="70739C4C">
      <w:pPr>
        <w:keepNext w:val="0"/>
        <w:keepLines w:val="0"/>
        <w:pageBreakBefore w:val="0"/>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r>
        <w:rPr>
          <w:rFonts w:hint="eastAsia" w:ascii="宋体" w:hAnsi="宋体" w:eastAsia="宋体" w:cs="宋体"/>
          <w:b/>
          <w:sz w:val="24"/>
          <w:szCs w:val="24"/>
        </w:rPr>
        <w:t>第十条  违约责任</w:t>
      </w:r>
    </w:p>
    <w:p w14:paraId="169B63C8">
      <w:pPr>
        <w:keepNext w:val="0"/>
        <w:keepLines w:val="0"/>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1.甲乙双方必须遵守本合同并执行合同中的各项规定，保证本合同的正常履行。</w:t>
      </w:r>
    </w:p>
    <w:p w14:paraId="55F27A38">
      <w:pPr>
        <w:keepNext w:val="0"/>
        <w:keepLines w:val="0"/>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EB0ACEB">
      <w:pPr>
        <w:keepNext w:val="0"/>
        <w:keepLines w:val="0"/>
        <w:pageBreakBefore w:val="0"/>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r>
        <w:rPr>
          <w:rFonts w:hint="eastAsia" w:ascii="宋体" w:hAnsi="宋体" w:eastAsia="宋体" w:cs="宋体"/>
          <w:b/>
          <w:sz w:val="24"/>
          <w:szCs w:val="24"/>
        </w:rPr>
        <w:t>第十</w:t>
      </w:r>
      <w:r>
        <w:rPr>
          <w:rFonts w:hint="eastAsia" w:ascii="宋体" w:hAnsi="宋体" w:eastAsia="宋体" w:cs="宋体"/>
          <w:b/>
          <w:sz w:val="24"/>
          <w:szCs w:val="24"/>
          <w:lang w:val="en-US" w:eastAsia="zh-CN"/>
        </w:rPr>
        <w:t>一</w:t>
      </w:r>
      <w:r>
        <w:rPr>
          <w:rFonts w:hint="eastAsia" w:ascii="宋体" w:hAnsi="宋体" w:eastAsia="宋体" w:cs="宋体"/>
          <w:b/>
          <w:sz w:val="24"/>
          <w:szCs w:val="24"/>
        </w:rPr>
        <w:t>条  不可抗力事件处理</w:t>
      </w:r>
    </w:p>
    <w:p w14:paraId="1A8D1C00">
      <w:pPr>
        <w:keepNext w:val="0"/>
        <w:keepLines w:val="0"/>
        <w:pageBreakBefore w:val="0"/>
        <w:tabs>
          <w:tab w:val="left" w:pos="0"/>
        </w:tabs>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52AA34D5">
      <w:pPr>
        <w:keepNext w:val="0"/>
        <w:keepLines w:val="0"/>
        <w:pageBreakBefore w:val="0"/>
        <w:tabs>
          <w:tab w:val="left" w:pos="0"/>
        </w:tabs>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34F80F97">
      <w:pPr>
        <w:keepNext w:val="0"/>
        <w:keepLines w:val="0"/>
        <w:pageBreakBefore w:val="0"/>
        <w:tabs>
          <w:tab w:val="left" w:pos="0"/>
        </w:tabs>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3.不可抗力事件延续</w:t>
      </w:r>
      <w:r>
        <w:rPr>
          <w:rFonts w:hint="eastAsia" w:ascii="宋体" w:hAnsi="宋体" w:eastAsia="宋体" w:cs="宋体"/>
          <w:color w:val="000000"/>
          <w:sz w:val="24"/>
          <w:szCs w:val="24"/>
        </w:rPr>
        <w:t>60</w:t>
      </w:r>
      <w:r>
        <w:rPr>
          <w:rFonts w:hint="eastAsia" w:ascii="宋体" w:hAnsi="宋体" w:eastAsia="宋体" w:cs="宋体"/>
          <w:sz w:val="24"/>
          <w:szCs w:val="24"/>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644D54E">
      <w:pPr>
        <w:keepNext w:val="0"/>
        <w:keepLines w:val="0"/>
        <w:pageBreakBefore w:val="0"/>
        <w:widowControl/>
        <w:kinsoku/>
        <w:wordWrap/>
        <w:overflowPunct/>
        <w:topLinePunct w:val="0"/>
        <w:autoSpaceDE/>
        <w:autoSpaceDN/>
        <w:bidi w:val="0"/>
        <w:snapToGrid/>
        <w:spacing w:line="360" w:lineRule="auto"/>
        <w:ind w:firstLine="241" w:firstLineChars="100"/>
        <w:jc w:val="left"/>
        <w:rPr>
          <w:rFonts w:hint="eastAsia" w:ascii="宋体" w:hAnsi="宋体" w:eastAsia="宋体" w:cs="宋体"/>
          <w:color w:val="000000"/>
          <w:kern w:val="0"/>
          <w:sz w:val="24"/>
          <w:szCs w:val="24"/>
        </w:rPr>
      </w:pPr>
      <w:bookmarkStart w:id="18" w:name="_Toc251768867"/>
      <w:bookmarkStart w:id="19" w:name="_Toc247334846"/>
      <w:bookmarkStart w:id="20" w:name="_Toc286993792"/>
      <w:bookmarkStart w:id="21" w:name="_Toc237145411"/>
      <w:bookmarkStart w:id="22" w:name="_Toc238984980"/>
      <w:bookmarkStart w:id="23" w:name="_Toc225654649"/>
      <w:bookmarkStart w:id="24" w:name="_Toc232492933"/>
      <w:bookmarkStart w:id="25" w:name="_Toc225670756"/>
      <w:bookmarkStart w:id="26" w:name="_Toc239568423"/>
      <w:bookmarkStart w:id="27" w:name="_Toc239233919"/>
      <w:bookmarkStart w:id="28" w:name="_Toc212019599"/>
      <w:bookmarkStart w:id="29" w:name="_Toc241833908"/>
      <w:bookmarkStart w:id="30" w:name="_Toc225244857"/>
      <w:bookmarkStart w:id="31" w:name="_Toc211911353"/>
      <w:bookmarkStart w:id="32" w:name="_Toc185395254"/>
      <w:bookmarkStart w:id="33" w:name="_Toc211854454"/>
      <w:r>
        <w:rPr>
          <w:rFonts w:hint="eastAsia" w:ascii="宋体" w:hAnsi="宋体" w:eastAsia="宋体" w:cs="宋体"/>
          <w:b/>
          <w:sz w:val="24"/>
          <w:szCs w:val="24"/>
        </w:rPr>
        <w:t xml:space="preserve"> </w:t>
      </w:r>
      <w:r>
        <w:rPr>
          <w:rFonts w:hint="eastAsia" w:ascii="宋体" w:hAnsi="宋体" w:eastAsia="宋体" w:cs="宋体"/>
          <w:b/>
          <w:sz w:val="24"/>
          <w:szCs w:val="24"/>
          <w:lang w:val="en-US" w:eastAsia="zh-CN"/>
        </w:rPr>
        <w:t xml:space="preserve"> </w:t>
      </w:r>
      <w:r>
        <w:rPr>
          <w:rFonts w:hint="eastAsia" w:ascii="宋体" w:hAnsi="宋体" w:eastAsia="宋体" w:cs="宋体"/>
          <w:b/>
          <w:sz w:val="24"/>
          <w:szCs w:val="24"/>
        </w:rPr>
        <w:t>第十</w:t>
      </w:r>
      <w:r>
        <w:rPr>
          <w:rFonts w:hint="eastAsia" w:ascii="宋体" w:hAnsi="宋体" w:eastAsia="宋体" w:cs="宋体"/>
          <w:b/>
          <w:sz w:val="24"/>
          <w:szCs w:val="24"/>
          <w:lang w:val="en-US" w:eastAsia="zh-CN"/>
        </w:rPr>
        <w:t>二</w:t>
      </w:r>
      <w:r>
        <w:rPr>
          <w:rFonts w:hint="eastAsia" w:ascii="宋体" w:hAnsi="宋体" w:eastAsia="宋体" w:cs="宋体"/>
          <w:b/>
          <w:sz w:val="24"/>
          <w:szCs w:val="24"/>
        </w:rPr>
        <w:t xml:space="preserve">条  </w:t>
      </w:r>
      <w:r>
        <w:rPr>
          <w:rFonts w:hint="eastAsia" w:ascii="宋体" w:hAnsi="宋体" w:eastAsia="宋体" w:cs="宋体"/>
          <w:b/>
          <w:color w:val="000000"/>
          <w:kern w:val="0"/>
          <w:sz w:val="24"/>
          <w:szCs w:val="24"/>
        </w:rPr>
        <w:t>合同的变更和终止</w:t>
      </w:r>
    </w:p>
    <w:p w14:paraId="675B4C09">
      <w:pPr>
        <w:keepNext w:val="0"/>
        <w:keepLines w:val="0"/>
        <w:pageBreakBefore w:val="0"/>
        <w:widowControl/>
        <w:kinsoku/>
        <w:wordWrap/>
        <w:overflowPunct/>
        <w:topLinePunct w:val="0"/>
        <w:autoSpaceDE/>
        <w:autoSpaceDN/>
        <w:bidi w:val="0"/>
        <w:snapToGrid/>
        <w:spacing w:line="360" w:lineRule="auto"/>
        <w:ind w:left="0"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除《中华人民共和国政府采购法》第49条、第50条第二款规定的情形外，本合同一经签订，甲乙双方不得擅自变更、中止或终止合同。</w:t>
      </w:r>
    </w:p>
    <w:p w14:paraId="537C9B61">
      <w:pPr>
        <w:keepNext w:val="0"/>
        <w:keepLines w:val="0"/>
        <w:pageBreakBefore w:val="0"/>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r>
        <w:rPr>
          <w:rFonts w:hint="eastAsia" w:ascii="宋体" w:hAnsi="宋体" w:eastAsia="宋体" w:cs="宋体"/>
          <w:b/>
          <w:sz w:val="24"/>
          <w:szCs w:val="24"/>
        </w:rPr>
        <w:t>第十</w:t>
      </w:r>
      <w:r>
        <w:rPr>
          <w:rFonts w:hint="eastAsia" w:ascii="宋体" w:hAnsi="宋体" w:eastAsia="宋体" w:cs="宋体"/>
          <w:b/>
          <w:sz w:val="24"/>
          <w:szCs w:val="24"/>
          <w:lang w:val="en-US" w:eastAsia="zh-CN"/>
        </w:rPr>
        <w:t>三</w:t>
      </w:r>
      <w:r>
        <w:rPr>
          <w:rFonts w:hint="eastAsia" w:ascii="宋体" w:hAnsi="宋体" w:eastAsia="宋体" w:cs="宋体"/>
          <w:b/>
          <w:sz w:val="24"/>
          <w:szCs w:val="24"/>
        </w:rPr>
        <w:t>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67EE7C7">
      <w:pPr>
        <w:pStyle w:val="6"/>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kern w:val="0"/>
          <w:sz w:val="24"/>
          <w:szCs w:val="24"/>
        </w:rPr>
      </w:pPr>
      <w:r>
        <w:rPr>
          <w:rFonts w:hint="eastAsia" w:ascii="宋体" w:hAnsi="宋体" w:eastAsia="宋体" w:cs="宋体"/>
          <w:sz w:val="24"/>
          <w:szCs w:val="24"/>
        </w:rPr>
        <w:t>1.在执行本合同中发生的或与本合同有关的争端，双方应通过友好协商解决，经协商在</w:t>
      </w:r>
      <w:r>
        <w:rPr>
          <w:rFonts w:hint="eastAsia" w:ascii="宋体" w:hAnsi="宋体" w:eastAsia="宋体" w:cs="宋体"/>
          <w:color w:val="000000"/>
          <w:sz w:val="24"/>
          <w:szCs w:val="24"/>
        </w:rPr>
        <w:t>XX</w:t>
      </w:r>
      <w:r>
        <w:rPr>
          <w:rFonts w:hint="eastAsia" w:ascii="宋体" w:hAnsi="宋体" w:eastAsia="宋体" w:cs="宋体"/>
          <w:sz w:val="24"/>
          <w:szCs w:val="24"/>
        </w:rPr>
        <w:t>天内不能达成协议时，</w:t>
      </w:r>
      <w:r>
        <w:rPr>
          <w:rFonts w:hint="eastAsia" w:ascii="宋体" w:hAnsi="宋体" w:eastAsia="宋体" w:cs="宋体"/>
          <w:kern w:val="0"/>
          <w:sz w:val="24"/>
          <w:szCs w:val="24"/>
        </w:rPr>
        <w:t>则采取以下第1种方式解决争议：</w:t>
      </w:r>
    </w:p>
    <w:p w14:paraId="5A9E0F4A">
      <w:pPr>
        <w:pStyle w:val="6"/>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（1）向甲方所在地有管辖权的人民法院提起诉讼；</w:t>
      </w:r>
    </w:p>
    <w:p w14:paraId="46ABD0F6">
      <w:pPr>
        <w:pStyle w:val="6"/>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（2）向/仲裁委员会按其仲裁规则申请仲裁。</w:t>
      </w:r>
    </w:p>
    <w:p w14:paraId="535F6B08">
      <w:pPr>
        <w:keepNext w:val="0"/>
        <w:keepLines w:val="0"/>
        <w:pageBreakBefore w:val="0"/>
        <w:tabs>
          <w:tab w:val="left" w:pos="0"/>
        </w:tabs>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kern w:val="0"/>
          <w:sz w:val="24"/>
          <w:szCs w:val="24"/>
        </w:rPr>
        <w:t>2.在仲裁期间，本合同应继续履行。</w:t>
      </w:r>
    </w:p>
    <w:p w14:paraId="2EF5A3AA">
      <w:pPr>
        <w:keepNext w:val="0"/>
        <w:keepLines w:val="0"/>
        <w:pageBreakBefore w:val="0"/>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bookmarkStart w:id="34" w:name="_Toc212019600"/>
      <w:bookmarkStart w:id="35" w:name="_Toc247334847"/>
      <w:bookmarkStart w:id="36" w:name="_Toc225670757"/>
      <w:bookmarkStart w:id="37" w:name="_Toc185395255"/>
      <w:bookmarkStart w:id="38" w:name="_Toc239233920"/>
      <w:bookmarkStart w:id="39" w:name="_Toc251768868"/>
      <w:bookmarkStart w:id="40" w:name="_Toc211854455"/>
      <w:bookmarkStart w:id="41" w:name="_Toc232492934"/>
      <w:bookmarkStart w:id="42" w:name="_Toc286993793"/>
      <w:bookmarkStart w:id="43" w:name="_Toc282696231"/>
      <w:bookmarkStart w:id="44" w:name="_Toc239568424"/>
      <w:bookmarkStart w:id="45" w:name="_Toc241833909"/>
      <w:bookmarkStart w:id="46" w:name="_Toc225244858"/>
      <w:bookmarkStart w:id="47" w:name="_Toc237145412"/>
      <w:bookmarkStart w:id="48" w:name="_Toc238984981"/>
      <w:bookmarkStart w:id="49" w:name="_Toc283019219"/>
      <w:bookmarkStart w:id="50" w:name="_Toc211911354"/>
      <w:bookmarkStart w:id="51" w:name="_Toc225654650"/>
      <w:r>
        <w:rPr>
          <w:rFonts w:hint="eastAsia" w:ascii="宋体" w:hAnsi="宋体" w:eastAsia="宋体" w:cs="宋体"/>
          <w:b/>
          <w:sz w:val="24"/>
          <w:szCs w:val="24"/>
        </w:rPr>
        <w:t>第十</w:t>
      </w:r>
      <w:r>
        <w:rPr>
          <w:rFonts w:hint="eastAsia" w:ascii="宋体" w:hAnsi="宋体" w:eastAsia="宋体" w:cs="宋体"/>
          <w:b/>
          <w:sz w:val="24"/>
          <w:szCs w:val="24"/>
          <w:lang w:val="en-US" w:eastAsia="zh-CN"/>
        </w:rPr>
        <w:t>四</w:t>
      </w:r>
      <w:r>
        <w:rPr>
          <w:rFonts w:hint="eastAsia" w:ascii="宋体" w:hAnsi="宋体" w:eastAsia="宋体" w:cs="宋体"/>
          <w:b/>
          <w:sz w:val="24"/>
          <w:szCs w:val="24"/>
        </w:rPr>
        <w:t>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sz w:val="24"/>
          <w:szCs w:val="24"/>
        </w:rPr>
        <w:t>生效及其他</w:t>
      </w:r>
    </w:p>
    <w:p w14:paraId="47B80397">
      <w:pPr>
        <w:pStyle w:val="7"/>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1.合同经双方法定代表人或授权委托代理人签字并加盖单位公章后生效。</w:t>
      </w:r>
    </w:p>
    <w:p w14:paraId="1B60B976">
      <w:pPr>
        <w:pStyle w:val="7"/>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2E88B1A5">
      <w:pPr>
        <w:pStyle w:val="7"/>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3.本合同一式</w:t>
      </w:r>
      <w:r>
        <w:rPr>
          <w:rFonts w:hint="eastAsia" w:ascii="宋体" w:hAnsi="宋体" w:eastAsia="宋体" w:cs="宋体"/>
          <w:color w:val="000000"/>
          <w:sz w:val="24"/>
          <w:szCs w:val="24"/>
        </w:rPr>
        <w:t>XX</w:t>
      </w:r>
      <w:r>
        <w:rPr>
          <w:rFonts w:hint="eastAsia" w:ascii="宋体" w:hAnsi="宋体" w:eastAsia="宋体" w:cs="宋体"/>
          <w:sz w:val="24"/>
          <w:szCs w:val="24"/>
        </w:rPr>
        <w:t>份，自双方签章之日起起效。甲方</w:t>
      </w:r>
      <w:r>
        <w:rPr>
          <w:rFonts w:hint="eastAsia" w:ascii="宋体" w:hAnsi="宋体" w:eastAsia="宋体" w:cs="宋体"/>
          <w:color w:val="000000"/>
          <w:sz w:val="24"/>
          <w:szCs w:val="24"/>
        </w:rPr>
        <w:t>XX</w:t>
      </w:r>
      <w:r>
        <w:rPr>
          <w:rFonts w:hint="eastAsia" w:ascii="宋体" w:hAnsi="宋体" w:eastAsia="宋体" w:cs="宋体"/>
          <w:sz w:val="24"/>
          <w:szCs w:val="24"/>
        </w:rPr>
        <w:t>份，乙方</w:t>
      </w:r>
      <w:r>
        <w:rPr>
          <w:rFonts w:hint="eastAsia" w:ascii="宋体" w:hAnsi="宋体" w:eastAsia="宋体" w:cs="宋体"/>
          <w:color w:val="000000"/>
          <w:sz w:val="24"/>
          <w:szCs w:val="24"/>
        </w:rPr>
        <w:t>XX</w:t>
      </w:r>
      <w:r>
        <w:rPr>
          <w:rFonts w:hint="eastAsia" w:ascii="宋体" w:hAnsi="宋体" w:eastAsia="宋体" w:cs="宋体"/>
          <w:sz w:val="24"/>
          <w:szCs w:val="24"/>
        </w:rPr>
        <w:t>份，政府采购代理机构</w:t>
      </w:r>
      <w:r>
        <w:rPr>
          <w:rFonts w:hint="eastAsia" w:ascii="宋体" w:hAnsi="宋体" w:eastAsia="宋体" w:cs="宋体"/>
          <w:color w:val="000000"/>
          <w:sz w:val="24"/>
          <w:szCs w:val="24"/>
        </w:rPr>
        <w:t>XX</w:t>
      </w:r>
      <w:r>
        <w:rPr>
          <w:rFonts w:hint="eastAsia" w:ascii="宋体" w:hAnsi="宋体" w:eastAsia="宋体" w:cs="宋体"/>
          <w:sz w:val="24"/>
          <w:szCs w:val="24"/>
        </w:rPr>
        <w:t>份，同级财政部门备案</w:t>
      </w:r>
      <w:r>
        <w:rPr>
          <w:rFonts w:hint="eastAsia" w:ascii="宋体" w:hAnsi="宋体" w:eastAsia="宋体" w:cs="宋体"/>
          <w:color w:val="000000"/>
          <w:sz w:val="24"/>
          <w:szCs w:val="24"/>
        </w:rPr>
        <w:t>XX</w:t>
      </w:r>
      <w:r>
        <w:rPr>
          <w:rFonts w:hint="eastAsia" w:ascii="宋体" w:hAnsi="宋体" w:eastAsia="宋体" w:cs="宋体"/>
          <w:sz w:val="24"/>
          <w:szCs w:val="24"/>
        </w:rPr>
        <w:t>份，具有同等法律效力。</w:t>
      </w:r>
    </w:p>
    <w:p w14:paraId="69F8DC27">
      <w:pPr>
        <w:keepNext w:val="0"/>
        <w:keepLines w:val="0"/>
        <w:pageBreakBefore w:val="0"/>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r>
        <w:rPr>
          <w:rFonts w:hint="eastAsia" w:ascii="宋体" w:hAnsi="宋体" w:eastAsia="宋体" w:cs="宋体"/>
          <w:b/>
          <w:sz w:val="24"/>
          <w:szCs w:val="24"/>
        </w:rPr>
        <w:t>第十</w:t>
      </w:r>
      <w:r>
        <w:rPr>
          <w:rFonts w:hint="eastAsia" w:ascii="宋体" w:hAnsi="宋体" w:eastAsia="宋体" w:cs="宋体"/>
          <w:b/>
          <w:sz w:val="24"/>
          <w:szCs w:val="24"/>
          <w:lang w:val="en-US" w:eastAsia="zh-CN"/>
        </w:rPr>
        <w:t>五</w:t>
      </w:r>
      <w:r>
        <w:rPr>
          <w:rFonts w:hint="eastAsia" w:ascii="宋体" w:hAnsi="宋体" w:eastAsia="宋体" w:cs="宋体"/>
          <w:b/>
          <w:sz w:val="24"/>
          <w:szCs w:val="24"/>
        </w:rPr>
        <w:t>条  附件</w:t>
      </w:r>
    </w:p>
    <w:p w14:paraId="1228880C">
      <w:pPr>
        <w:pStyle w:val="7"/>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1.项目</w:t>
      </w:r>
      <w:r>
        <w:rPr>
          <w:rFonts w:hint="eastAsia" w:ascii="宋体" w:hAnsi="宋体" w:eastAsia="宋体" w:cs="宋体"/>
          <w:sz w:val="24"/>
          <w:szCs w:val="24"/>
          <w:lang w:val="en-US" w:eastAsia="zh-CN"/>
        </w:rPr>
        <w:t>磋商</w:t>
      </w:r>
      <w:r>
        <w:rPr>
          <w:rFonts w:hint="eastAsia" w:ascii="宋体" w:hAnsi="宋体" w:eastAsia="宋体" w:cs="宋体"/>
          <w:sz w:val="24"/>
          <w:szCs w:val="24"/>
        </w:rPr>
        <w:t>文件</w:t>
      </w:r>
    </w:p>
    <w:p w14:paraId="7711B90A">
      <w:pPr>
        <w:pStyle w:val="7"/>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2.项目修改澄清文件</w:t>
      </w:r>
    </w:p>
    <w:p w14:paraId="3CDD5A92">
      <w:pPr>
        <w:pStyle w:val="7"/>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3.项目</w:t>
      </w:r>
      <w:r>
        <w:rPr>
          <w:rFonts w:hint="eastAsia" w:ascii="宋体" w:hAnsi="宋体" w:eastAsia="宋体" w:cs="宋体"/>
          <w:sz w:val="24"/>
          <w:szCs w:val="24"/>
          <w:lang w:val="en-US" w:eastAsia="zh-CN"/>
        </w:rPr>
        <w:t>响应</w:t>
      </w:r>
      <w:r>
        <w:rPr>
          <w:rFonts w:hint="eastAsia" w:ascii="宋体" w:hAnsi="宋体" w:eastAsia="宋体" w:cs="宋体"/>
          <w:sz w:val="24"/>
          <w:szCs w:val="24"/>
        </w:rPr>
        <w:t>文件</w:t>
      </w:r>
    </w:p>
    <w:p w14:paraId="25BDC9EC">
      <w:pPr>
        <w:pStyle w:val="7"/>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4.中标</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成交）</w:t>
      </w:r>
      <w:r>
        <w:rPr>
          <w:rFonts w:hint="eastAsia" w:ascii="宋体" w:hAnsi="宋体" w:eastAsia="宋体" w:cs="宋体"/>
          <w:sz w:val="24"/>
          <w:szCs w:val="24"/>
        </w:rPr>
        <w:t>通知书</w:t>
      </w:r>
    </w:p>
    <w:p w14:paraId="64B004A8">
      <w:pPr>
        <w:pStyle w:val="7"/>
        <w:keepNext w:val="0"/>
        <w:keepLines w:val="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5.其他</w:t>
      </w:r>
    </w:p>
    <w:p w14:paraId="70D91BB2">
      <w:pPr>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rPr>
      </w:pPr>
    </w:p>
    <w:p w14:paraId="3E7B584C">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甲方：   （盖章）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乙方：   （盖章）</w:t>
      </w:r>
    </w:p>
    <w:p w14:paraId="0C1E8896">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法定代表人（委托代理人）：              法定代表人（委托代理人）：</w:t>
      </w:r>
    </w:p>
    <w:p w14:paraId="3CB2F1C0">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    址：                             地    址：</w:t>
      </w:r>
    </w:p>
    <w:p w14:paraId="7434A049">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开户银行：                             开户银行：</w:t>
      </w:r>
    </w:p>
    <w:p w14:paraId="0B4EED34">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账号：                                 账号：</w:t>
      </w:r>
    </w:p>
    <w:p w14:paraId="75C0EC56">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    话：                             电    话：</w:t>
      </w:r>
    </w:p>
    <w:p w14:paraId="260BCE28">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传    真：                             传    真：</w:t>
      </w:r>
    </w:p>
    <w:p w14:paraId="0EDCB214">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签约日期：  年  月  日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签约日期：    年  月  </w:t>
      </w:r>
      <w:r>
        <w:rPr>
          <w:rFonts w:hint="eastAsia" w:ascii="宋体" w:hAnsi="宋体" w:eastAsia="宋体" w:cs="宋体"/>
          <w:color w:val="000000"/>
          <w:sz w:val="24"/>
          <w:szCs w:val="24"/>
        </w:rPr>
        <w:t>日</w:t>
      </w:r>
    </w:p>
    <w:p w14:paraId="663FA03A">
      <w:pPr>
        <w:pStyle w:val="8"/>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lang w:val="en-US" w:eastAsia="zh-Hans"/>
        </w:rPr>
      </w:pPr>
      <w:r>
        <w:rPr>
          <w:rFonts w:hint="eastAsia" w:ascii="宋体" w:hAnsi="宋体" w:eastAsia="宋体" w:cs="宋体"/>
          <w:sz w:val="24"/>
          <w:szCs w:val="24"/>
        </w:rPr>
        <w:br w:type="textWrapping"/>
      </w:r>
    </w:p>
    <w:p w14:paraId="01D35EB7">
      <w:pPr>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K">
    <w:panose1 w:val="02000000000000000000"/>
    <w:charset w:val="86"/>
    <w:family w:val="auto"/>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379"/>
        </w:tabs>
        <w:ind w:left="1379"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BB57A4"/>
    <w:rsid w:val="2BBB5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customStyle="1" w:styleId="6">
    <w:name w:val="样式 首行缩进:  2 字符"/>
    <w:basedOn w:val="1"/>
    <w:qFormat/>
    <w:uiPriority w:val="0"/>
    <w:pPr>
      <w:spacing w:line="400" w:lineRule="exact"/>
      <w:ind w:firstLine="200" w:firstLineChars="200"/>
    </w:pPr>
    <w:rPr>
      <w:rFonts w:cs="宋体"/>
      <w:sz w:val="24"/>
    </w:rPr>
  </w:style>
  <w:style w:type="paragraph" w:styleId="7">
    <w:name w:val="List Paragraph"/>
    <w:basedOn w:val="1"/>
    <w:qFormat/>
    <w:uiPriority w:val="0"/>
    <w:pPr>
      <w:ind w:firstLine="420" w:firstLineChars="200"/>
    </w:pPr>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3</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2026-07-08T03:40:00Z</dcterms:created>
  <dc:creator>Administrator</dc:creator>
  <cp:lastModifiedBy>Administrator</cp:lastModifiedBy>
  <dcterms:modified xsi:type="dcterms:W3CDTF">2026-07-08T03:44:32Z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E45988E3742947A6B4719FB3EC679488_11</vt:lpwstr>
  </property>
  <property fmtid="{D5CDD505-2E9C-101B-9397-08002B2CF9AE}" pid="4" name="KSOTemplateDocerSaveRecord">
    <vt:lpwstr>eyJoZGlkIjoiZWM3NWNjODQxNDNkZGIxNGYxN2NiN2UwMDc0NWIwMzkiLCJ1c2VySWQiOiI4MjU5NjMxNDEifQ==</vt:lpwstr>
  </property>
</Properties>
</file>