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31961D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p w14:paraId="758EF681">
      <w:pPr>
        <w:pStyle w:val="2"/>
        <w:spacing w:line="360" w:lineRule="auto"/>
        <w:jc w:val="left"/>
        <w:rPr>
          <w:rFonts w:hint="eastAsia"/>
          <w:highlight w:val="none"/>
          <w:lang w:val="en-US" w:eastAsia="zh-CN"/>
        </w:rPr>
      </w:pPr>
      <w:bookmarkStart w:id="0" w:name="_Toc2137"/>
      <w:r>
        <w:rPr>
          <w:rFonts w:hint="eastAsia"/>
          <w:highlight w:val="none"/>
          <w:lang w:val="en-US" w:eastAsia="zh-CN"/>
        </w:rPr>
        <w:t>一、项目背景</w:t>
      </w:r>
      <w:bookmarkEnd w:id="0"/>
    </w:p>
    <w:p w14:paraId="5A52C8F9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highlight w:val="none"/>
          <w:lang w:val="en-US" w:eastAsia="zh-CN"/>
        </w:rPr>
      </w:pPr>
      <w:bookmarkStart w:id="1" w:name="_Toc11899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本项目为落实《咸阳市田长制办公室关于下达2026年度耕地保护责任目标任务的通知》（咸田办发〔2026〕1号）要求，旨在通过实施土地开发整理，将项目区内现有的其他林地、园地等低效利用土地，改造为连片、稳产的水浇地，以完成市级下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达的年度耕地占补平衡任务，保障重大建设项目落地。</w:t>
      </w:r>
      <w:bookmarkEnd w:id="1"/>
    </w:p>
    <w:p w14:paraId="7274162E">
      <w:pPr>
        <w:pStyle w:val="2"/>
        <w:spacing w:line="360" w:lineRule="auto"/>
        <w:jc w:val="left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bookmarkStart w:id="2" w:name="_Toc23643"/>
      <w:r>
        <w:rPr>
          <w:rFonts w:hint="eastAsia" w:ascii="Times New Roman" w:hAnsi="Times New Roman" w:eastAsia="宋体" w:cs="Times New Roman"/>
          <w:highlight w:val="none"/>
          <w:lang w:val="en-US" w:eastAsia="zh-CN"/>
        </w:rPr>
        <w:t>二、总体目标</w:t>
      </w:r>
      <w:bookmarkEnd w:id="2"/>
    </w:p>
    <w:p w14:paraId="4843799E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bookmarkStart w:id="3" w:name="_Toc7894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通过土地平整、灌溉与排水、田间道路等综合治理，预计补充新增耕地35.9250公顷（538.88亩）。项目不仅要完成实体工程建设，更核心的目标是确保新增耕地指标顺利通过市级、省级自然资源部门的核查，并成功完成指标入库备案。</w:t>
      </w:r>
      <w:bookmarkEnd w:id="3"/>
    </w:p>
    <w:p w14:paraId="2E3CFF3D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Times New Roman" w:hAnsi="Times New Roman" w:eastAsia="宋体" w:cs="Times New Roman"/>
          <w:highlight w:val="none"/>
          <w:lang w:val="en-US" w:eastAsia="zh-CN"/>
        </w:rPr>
      </w:pPr>
      <w:bookmarkStart w:id="4" w:name="_Toc11327"/>
      <w:r>
        <w:rPr>
          <w:rFonts w:hint="eastAsia" w:ascii="Times New Roman" w:hAnsi="Times New Roman" w:eastAsia="宋体" w:cs="Times New Roman"/>
          <w:highlight w:val="none"/>
          <w:lang w:val="en-US" w:eastAsia="zh-CN"/>
        </w:rPr>
        <w:t>三、招标范围</w:t>
      </w:r>
      <w:bookmarkEnd w:id="4"/>
    </w:p>
    <w:p w14:paraId="07522595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bookmarkStart w:id="5" w:name="_Toc6631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本项目采用施工总承包模式。招标范围包括但不限于：土地平整工程、灌溉与排水工程、田间道路工程、农田防护与生态环境保持工程，以及后续的竣工测绘、资料编制和配合指标入库等全部工作内容。（具体工程量和参数详见另附的《工程量清单》）。</w:t>
      </w:r>
      <w:bookmarkEnd w:id="5"/>
    </w:p>
    <w:p w14:paraId="4278BD8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Times New Roman" w:hAnsi="Times New Roman" w:eastAsia="宋体" w:cs="Times New Roman"/>
          <w:highlight w:val="none"/>
          <w:lang w:val="en-US" w:eastAsia="zh-CN"/>
        </w:rPr>
      </w:pPr>
      <w:bookmarkStart w:id="6" w:name="_Toc4604"/>
      <w:r>
        <w:rPr>
          <w:rFonts w:hint="eastAsia" w:ascii="Times New Roman" w:hAnsi="Times New Roman" w:eastAsia="宋体" w:cs="Times New Roman"/>
          <w:highlight w:val="none"/>
          <w:lang w:val="en-US" w:eastAsia="zh-CN"/>
        </w:rPr>
        <w:t>四、详细技术标准与工程要求</w:t>
      </w:r>
      <w:bookmarkEnd w:id="6"/>
    </w:p>
    <w:p w14:paraId="1B1E30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土地平整工程：施工前必须对原可利用的表层熟土进行剥离并集中堆存保护，待田面平整后均匀回覆；彻底清除地表树木、竹根、树桩及深层根系，并进行土地翻耕，确保无大块砾石、无残根；田面高差须控制在规范允许范围内，满足水浇地灌溉要求。</w:t>
      </w:r>
    </w:p>
    <w:p w14:paraId="00BA11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灌溉与排水工程：按照设计图纸完成机井、输水管道、渠道及排水沟的施工，确保“旱能浇、涝能排”；管网铺设须进行打压试验，保证不渗漏。</w:t>
      </w:r>
    </w:p>
    <w:p w14:paraId="792807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田间道路与生态工程：道路工程需满足农业机械通行标准，路基压实度、路面厚度需符合设计要求；按要求完成农田防护林网栽植，确保苗木成活率≥85%。</w:t>
      </w:r>
    </w:p>
    <w:p w14:paraId="608CE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土壤改良与地力培肥：配合采购人完成项目区的土壤改良措施（如深翻、旋耕、施用有机肥等），确保新增耕地质量等别达到规划预期。</w:t>
      </w:r>
    </w:p>
    <w:p w14:paraId="30F8D9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测绘与资料编制：施工中及竣工后配合出具符合自然资源部门要求的竣工图、勘测定界图、面积复核报告等全套资料。</w:t>
      </w:r>
    </w:p>
    <w:p w14:paraId="53E08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Times New Roman" w:hAnsi="Times New Roman" w:eastAsia="宋体" w:cs="Times New Roman"/>
          <w:b/>
          <w:bCs/>
          <w:kern w:val="44"/>
          <w:sz w:val="30"/>
          <w:szCs w:val="4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0"/>
          <w:szCs w:val="44"/>
          <w:highlight w:val="none"/>
          <w:lang w:val="en-US" w:eastAsia="zh-CN" w:bidi="ar-SA"/>
        </w:rPr>
        <w:t>五、交付要求</w:t>
      </w:r>
    </w:p>
    <w:p w14:paraId="55C480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本项目交付实行“实体工程 + 技术档案 + 指标入库”三位一体的全面交付制，中标人须确保所有交付物满足自然资源部门验收及入库标准。</w:t>
      </w:r>
    </w:p>
    <w:p w14:paraId="32E98A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1.交付时间节点要求（进度控制）</w:t>
      </w:r>
    </w:p>
    <w:p w14:paraId="237271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总交付期限：</w:t>
      </w:r>
      <w:r>
        <w:rPr>
          <w:rFonts w:hint="default" w:ascii="宋体" w:hAnsi="宋体" w:eastAsia="宋体" w:cs="宋体"/>
          <w:b/>
          <w:bCs/>
          <w:kern w:val="44"/>
          <w:sz w:val="24"/>
          <w:szCs w:val="24"/>
          <w:highlight w:val="none"/>
          <w:lang w:val="en-US" w:eastAsia="zh-CN" w:bidi="ar-SA"/>
        </w:rPr>
        <w:t>2027年4月底前完成所有实体工程、资料编制，工程通过验收，指标顺利报备入库。</w:t>
      </w: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中标人须在投标文件中响应以下细化节点：</w:t>
      </w:r>
    </w:p>
    <w:p w14:paraId="2820F3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进场准备期：合同签订后10日内，完成项目部组建、机械设备进场、施工组织设计报审，并全面开工。</w:t>
      </w:r>
    </w:p>
    <w:p w14:paraId="30E99C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主体施工期：2027年</w:t>
      </w: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1</w:t>
      </w: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月31日前（避开主汛期和冬歇期），完成全部土地平整、灌溉排水管网铺设、田间道路修筑等主体工程。</w:t>
      </w:r>
    </w:p>
    <w:p w14:paraId="195957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试运行与资料</w:t>
      </w:r>
      <w:bookmarkStart w:id="7" w:name="_GoBack"/>
      <w:bookmarkEnd w:id="7"/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整理期：2027年</w:t>
      </w: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3</w:t>
      </w: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月31日前，完成设备调试、苗木栽植、土壤培肥，并完成所有竣工测绘与竣工资料编制。</w:t>
      </w:r>
    </w:p>
    <w:p w14:paraId="353592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竣工验收期：2027年</w:t>
      </w: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4</w:t>
      </w:r>
      <w:r>
        <w:rPr>
          <w:rFonts w:hint="default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月30日前，配合采购人完成县级初验并达到市级验收条件。</w:t>
      </w:r>
    </w:p>
    <w:p w14:paraId="0E2521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2.交付地点</w:t>
      </w:r>
    </w:p>
    <w:p w14:paraId="1BAF02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工程实体交付地点：武功县苏坊镇凹里村、代家村、蔚村项目区现场。</w:t>
      </w:r>
    </w:p>
    <w:p w14:paraId="40561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纸质及电子档案交付地点：武功县自然资源局指定科室。</w:t>
      </w:r>
    </w:p>
    <w:p w14:paraId="37D0F4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3.交付成果内容清单</w:t>
      </w:r>
    </w:p>
    <w:p w14:paraId="3F5128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中标人必须完整移交以下三大类成果：</w:t>
      </w:r>
    </w:p>
    <w:p w14:paraId="7D418D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（1）工程实体交付：新增耕地田面平整度达标，无残树根、无大块砾石，表土覆盖厚度符合设计，具备直接播种条件；灌溉设施打压测试合格，机井/泵站运行正常；田间道路压实度达标；防护林网成活率≥85%；施工临时设施拆除，建筑垃圾清理完毕，达到“场清地净”。</w:t>
      </w:r>
    </w:p>
    <w:p w14:paraId="24425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（2）技术档案交付（核心重点）：提交纸质版（装订成册，一式二份）及电子版（扫描件及CAD/GIS shp源文件）。包含：施工管理资料（施工日志、隐蔽工程验收记录特别是伐树挖根/表土剥离记录）、测绘与竣工图（竣工勘测定界图、面积复核报告、GIS矢量数据）、检测报告（原材料复检、混凝土试块、土壤地力检测）、资金与结算资料（工程结算书及审计签证）。</w:t>
      </w:r>
    </w:p>
    <w:p w14:paraId="690FB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（3）指标入库配合交付：配合采购人完成新增耕地指标系统填报；配合上级部门开展的内外业核查，针对核查提出的图斑不符、地力不达标等问题无条件限期整改，直至指标顺利入库。</w:t>
      </w:r>
    </w:p>
    <w:p w14:paraId="6CD3A3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4. 交付标准与验收要求</w:t>
      </w:r>
    </w:p>
    <w:p w14:paraId="27FA3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质量标准：工程质量符合国家现行施工验收规范，达到合格标准；土壤指标满足水浇地耕作要求；通过省市两级核查，新增耕地指标100%成功备案入库。</w:t>
      </w:r>
    </w:p>
    <w:p w14:paraId="31FC28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验收方式（一次性验收）：工程全部完工且资料齐全后，由采购人组织专家及相关部门进行一次性综合验收（含内业资料审查与外业现场抽检）。</w:t>
      </w:r>
    </w:p>
    <w:p w14:paraId="39796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44"/>
          <w:sz w:val="24"/>
          <w:szCs w:val="24"/>
          <w:highlight w:val="none"/>
          <w:lang w:val="en-US" w:eastAsia="zh-CN" w:bidi="ar-SA"/>
        </w:rPr>
        <w:t>验收不通过的惩罚机制：若因中标人原因导致首次验收不通过，须在采购人规定期限内完成整改并申请复验。复验产生的费用由中标人承担；若逾期未整改或复验仍不合格，采购人有权扣除违约金直至单方解除合同。</w:t>
      </w:r>
    </w:p>
    <w:p w14:paraId="2D2FE5F5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1A5DE4"/>
    <w:rsid w:val="4F1A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rFonts w:ascii="Times New Roman" w:hAnsi="Times New Roman" w:eastAsia="宋体" w:cs="Times New Roman"/>
      <w:b/>
      <w:bCs/>
      <w:kern w:val="44"/>
      <w:sz w:val="30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2026-10-23T09:13:00Z</dcterms:created>
  <dc:creator>123</dc:creator>
  <cp:lastModifiedBy>123</cp:lastModifiedBy>
  <dcterms:modified xsi:type="dcterms:W3CDTF">2026-10-23T09:14:14Z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4EAA7BF9B17145189FA7C5F7DBB385C9_11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