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eastAsia="黑体"/>
          <w:sz w:val="48"/>
          <w:szCs w:val="48"/>
          <w:highlight w:val="none"/>
        </w:rPr>
      </w:pPr>
    </w:p>
    <w:p>
      <w:pPr>
        <w:spacing w:line="360" w:lineRule="auto"/>
        <w:jc w:val="center"/>
        <w:rPr>
          <w:rFonts w:eastAsia="黑体"/>
          <w:sz w:val="48"/>
          <w:szCs w:val="48"/>
          <w:highlight w:val="none"/>
        </w:rPr>
      </w:pPr>
    </w:p>
    <w:p>
      <w:pPr>
        <w:spacing w:line="360" w:lineRule="auto"/>
        <w:jc w:val="center"/>
        <w:rPr>
          <w:rFonts w:hint="eastAsia" w:eastAsia="黑体"/>
          <w:sz w:val="48"/>
          <w:szCs w:val="48"/>
          <w:highlight w:val="none"/>
          <w:lang w:eastAsia="zh-CN"/>
        </w:rPr>
      </w:pPr>
      <w:bookmarkStart w:id="4" w:name="_GoBack"/>
      <w:r>
        <w:rPr>
          <w:rFonts w:hint="eastAsia" w:eastAsia="黑体"/>
          <w:sz w:val="48"/>
          <w:szCs w:val="48"/>
          <w:highlight w:val="none"/>
          <w:lang w:eastAsia="zh-CN"/>
        </w:rPr>
        <w:t>王益区学校食堂米面油、蔬菜及辅食采购项目（2026-2027学年度）</w:t>
      </w:r>
    </w:p>
    <w:p>
      <w:pPr>
        <w:spacing w:line="360" w:lineRule="auto"/>
        <w:jc w:val="center"/>
        <w:rPr>
          <w:rFonts w:eastAsia="黑体"/>
          <w:sz w:val="48"/>
          <w:szCs w:val="48"/>
          <w:highlight w:val="none"/>
        </w:rPr>
      </w:pPr>
      <w:r>
        <w:rPr>
          <w:rFonts w:eastAsia="黑体"/>
          <w:sz w:val="48"/>
          <w:szCs w:val="48"/>
          <w:highlight w:val="none"/>
        </w:rPr>
        <w:t>采</w:t>
      </w:r>
      <w:r>
        <w:rPr>
          <w:rFonts w:hint="eastAsia" w:eastAsia="黑体"/>
          <w:sz w:val="48"/>
          <w:szCs w:val="48"/>
          <w:highlight w:val="none"/>
        </w:rPr>
        <w:t xml:space="preserve">  </w:t>
      </w:r>
      <w:r>
        <w:rPr>
          <w:rFonts w:eastAsia="黑体"/>
          <w:sz w:val="48"/>
          <w:szCs w:val="48"/>
          <w:highlight w:val="none"/>
        </w:rPr>
        <w:t>购</w:t>
      </w:r>
      <w:r>
        <w:rPr>
          <w:rFonts w:hint="eastAsia" w:eastAsia="黑体"/>
          <w:sz w:val="48"/>
          <w:szCs w:val="48"/>
          <w:highlight w:val="none"/>
        </w:rPr>
        <w:t xml:space="preserve">  </w:t>
      </w:r>
      <w:r>
        <w:rPr>
          <w:rFonts w:eastAsia="黑体"/>
          <w:sz w:val="48"/>
          <w:szCs w:val="48"/>
          <w:highlight w:val="none"/>
        </w:rPr>
        <w:t>合</w:t>
      </w:r>
      <w:r>
        <w:rPr>
          <w:rFonts w:hint="eastAsia" w:eastAsia="黑体"/>
          <w:sz w:val="48"/>
          <w:szCs w:val="48"/>
          <w:highlight w:val="none"/>
        </w:rPr>
        <w:t xml:space="preserve">  </w:t>
      </w:r>
      <w:r>
        <w:rPr>
          <w:rFonts w:eastAsia="黑体"/>
          <w:sz w:val="48"/>
          <w:szCs w:val="48"/>
          <w:highlight w:val="none"/>
        </w:rPr>
        <w:t>同</w:t>
      </w:r>
    </w:p>
    <w:bookmarkEnd w:id="4"/>
    <w:p>
      <w:pPr>
        <w:spacing w:line="360" w:lineRule="auto"/>
        <w:jc w:val="center"/>
        <w:rPr>
          <w:rFonts w:hint="eastAsia" w:eastAsia="黑体"/>
          <w:sz w:val="48"/>
          <w:szCs w:val="48"/>
          <w:highlight w:val="none"/>
          <w:lang w:eastAsia="zh-CN"/>
        </w:rPr>
      </w:pPr>
      <w:r>
        <w:rPr>
          <w:rFonts w:hint="eastAsia" w:eastAsia="黑体"/>
          <w:sz w:val="48"/>
          <w:szCs w:val="48"/>
          <w:highlight w:val="none"/>
          <w:lang w:eastAsia="zh-CN"/>
        </w:rPr>
        <w:t>（参考文本）</w:t>
      </w:r>
    </w:p>
    <w:p>
      <w:pPr>
        <w:spacing w:line="360" w:lineRule="auto"/>
        <w:jc w:val="both"/>
        <w:rPr>
          <w:rFonts w:eastAsia="隶书"/>
          <w:w w:val="80"/>
          <w:sz w:val="96"/>
          <w:szCs w:val="21"/>
          <w:highlight w:val="none"/>
        </w:rPr>
      </w:pPr>
    </w:p>
    <w:p>
      <w:pPr>
        <w:spacing w:line="360" w:lineRule="auto"/>
        <w:jc w:val="center"/>
        <w:rPr>
          <w:rFonts w:eastAsia="隶书"/>
          <w:w w:val="80"/>
          <w:sz w:val="96"/>
          <w:szCs w:val="96"/>
          <w:highlight w:val="none"/>
        </w:rPr>
      </w:pPr>
      <w:r>
        <w:rPr>
          <w:rFonts w:eastAsia="隶书"/>
          <w:w w:val="80"/>
          <w:sz w:val="96"/>
          <w:szCs w:val="96"/>
          <w:highlight w:val="none"/>
        </w:rPr>
        <w:t>合</w:t>
      </w:r>
    </w:p>
    <w:p>
      <w:pPr>
        <w:spacing w:line="360" w:lineRule="auto"/>
        <w:jc w:val="center"/>
        <w:rPr>
          <w:rFonts w:eastAsia="隶书"/>
          <w:w w:val="80"/>
          <w:sz w:val="96"/>
          <w:szCs w:val="96"/>
          <w:highlight w:val="none"/>
        </w:rPr>
      </w:pPr>
      <w:r>
        <w:rPr>
          <w:rFonts w:eastAsia="隶书"/>
          <w:w w:val="80"/>
          <w:sz w:val="96"/>
          <w:szCs w:val="96"/>
          <w:highlight w:val="none"/>
        </w:rPr>
        <w:t>同</w:t>
      </w:r>
    </w:p>
    <w:p>
      <w:pPr>
        <w:spacing w:line="360" w:lineRule="auto"/>
        <w:jc w:val="center"/>
        <w:rPr>
          <w:rFonts w:eastAsia="隶书"/>
          <w:w w:val="80"/>
          <w:sz w:val="96"/>
          <w:szCs w:val="96"/>
          <w:highlight w:val="none"/>
        </w:rPr>
      </w:pPr>
      <w:r>
        <w:rPr>
          <w:rFonts w:eastAsia="隶书"/>
          <w:w w:val="80"/>
          <w:sz w:val="96"/>
          <w:szCs w:val="96"/>
          <w:highlight w:val="none"/>
        </w:rPr>
        <w:t>书</w:t>
      </w:r>
    </w:p>
    <w:p>
      <w:pPr>
        <w:spacing w:line="360" w:lineRule="auto"/>
        <w:ind w:firstLine="440" w:firstLineChars="200"/>
        <w:rPr>
          <w:rFonts w:eastAsia="黑体"/>
          <w:sz w:val="22"/>
          <w:szCs w:val="28"/>
          <w:highlight w:val="none"/>
        </w:rPr>
      </w:pPr>
    </w:p>
    <w:p>
      <w:pPr>
        <w:pStyle w:val="2"/>
      </w:pPr>
    </w:p>
    <w:p>
      <w:pPr>
        <w:spacing w:line="360" w:lineRule="auto"/>
        <w:ind w:firstLine="440" w:firstLineChars="200"/>
        <w:rPr>
          <w:rFonts w:eastAsia="黑体"/>
          <w:sz w:val="22"/>
          <w:szCs w:val="28"/>
          <w:highlight w:val="none"/>
        </w:rPr>
      </w:pPr>
    </w:p>
    <w:p>
      <w:pPr>
        <w:spacing w:line="360" w:lineRule="auto"/>
        <w:ind w:firstLine="440" w:firstLineChars="200"/>
        <w:rPr>
          <w:rFonts w:eastAsia="黑体"/>
          <w:sz w:val="22"/>
          <w:szCs w:val="28"/>
          <w:highlight w:val="none"/>
        </w:rPr>
      </w:pPr>
    </w:p>
    <w:p>
      <w:pPr>
        <w:spacing w:line="360" w:lineRule="auto"/>
        <w:jc w:val="center"/>
        <w:rPr>
          <w:rFonts w:eastAsia="黑体"/>
          <w:sz w:val="36"/>
          <w:szCs w:val="36"/>
          <w:highlight w:val="none"/>
        </w:rPr>
      </w:pPr>
      <w:r>
        <w:rPr>
          <w:rFonts w:eastAsia="黑体"/>
          <w:sz w:val="36"/>
          <w:szCs w:val="36"/>
          <w:highlight w:val="none"/>
        </w:rPr>
        <w:t xml:space="preserve">年 </w:t>
      </w:r>
      <w:r>
        <w:rPr>
          <w:rFonts w:hint="eastAsia" w:eastAsia="黑体"/>
          <w:sz w:val="36"/>
          <w:szCs w:val="36"/>
          <w:highlight w:val="none"/>
        </w:rPr>
        <w:t xml:space="preserve">    </w:t>
      </w:r>
      <w:r>
        <w:rPr>
          <w:rFonts w:eastAsia="黑体"/>
          <w:sz w:val="36"/>
          <w:szCs w:val="36"/>
          <w:highlight w:val="none"/>
        </w:rPr>
        <w:t xml:space="preserve">月 </w:t>
      </w:r>
      <w:r>
        <w:rPr>
          <w:rFonts w:hint="eastAsia" w:eastAsia="黑体"/>
          <w:sz w:val="36"/>
          <w:szCs w:val="36"/>
          <w:highlight w:val="none"/>
        </w:rPr>
        <w:t xml:space="preserve">   </w:t>
      </w:r>
      <w:r>
        <w:rPr>
          <w:rFonts w:eastAsia="黑体"/>
          <w:sz w:val="36"/>
          <w:szCs w:val="36"/>
          <w:highlight w:val="none"/>
        </w:rPr>
        <w:t xml:space="preserve"> 日</w:t>
      </w:r>
    </w:p>
    <w:p>
      <w:pPr>
        <w:spacing w:line="500" w:lineRule="exact"/>
        <w:jc w:val="center"/>
        <w:rPr>
          <w:rFonts w:eastAsia="黑体"/>
          <w:sz w:val="48"/>
          <w:szCs w:val="48"/>
          <w:highlight w:val="none"/>
        </w:rPr>
      </w:pPr>
    </w:p>
    <w:p>
      <w:pPr>
        <w:rPr>
          <w:rFonts w:eastAsia="黑体"/>
          <w:sz w:val="48"/>
          <w:szCs w:val="48"/>
          <w:highlight w:val="none"/>
        </w:rPr>
      </w:pPr>
      <w:r>
        <w:rPr>
          <w:rFonts w:eastAsia="黑体"/>
          <w:sz w:val="48"/>
          <w:szCs w:val="48"/>
          <w:highlight w:val="none"/>
        </w:rPr>
        <w:br w:type="page"/>
      </w:r>
    </w:p>
    <w:p>
      <w:pPr>
        <w:spacing w:line="360" w:lineRule="auto"/>
        <w:jc w:val="center"/>
        <w:rPr>
          <w:rFonts w:eastAsia="黑体"/>
          <w:sz w:val="48"/>
          <w:szCs w:val="48"/>
          <w:highlight w:val="none"/>
        </w:rPr>
      </w:pPr>
      <w:r>
        <w:rPr>
          <w:rFonts w:eastAsia="黑体"/>
          <w:sz w:val="48"/>
          <w:szCs w:val="48"/>
          <w:highlight w:val="none"/>
        </w:rPr>
        <w:t>采购合同</w:t>
      </w:r>
    </w:p>
    <w:p>
      <w:pPr>
        <w:snapToGrid w:val="0"/>
        <w:spacing w:line="360" w:lineRule="auto"/>
        <w:jc w:val="center"/>
        <w:rPr>
          <w:rFonts w:eastAsia="方正小标宋简体"/>
          <w:bCs/>
          <w:sz w:val="44"/>
          <w:szCs w:val="44"/>
          <w:highlight w:val="none"/>
        </w:rPr>
      </w:pPr>
    </w:p>
    <w:p>
      <w:pPr>
        <w:spacing w:line="360" w:lineRule="auto"/>
        <w:ind w:firstLine="422" w:firstLineChars="200"/>
        <w:rPr>
          <w:rFonts w:hint="eastAsia" w:eastAsia="宋体"/>
          <w:b/>
          <w:szCs w:val="32"/>
          <w:highlight w:val="none"/>
          <w:lang w:eastAsia="zh-CN"/>
        </w:rPr>
      </w:pPr>
      <w:r>
        <w:rPr>
          <w:b/>
          <w:szCs w:val="32"/>
          <w:highlight w:val="none"/>
        </w:rPr>
        <w:t>采购</w:t>
      </w:r>
      <w:r>
        <w:rPr>
          <w:rFonts w:hint="eastAsia"/>
          <w:b/>
          <w:szCs w:val="32"/>
          <w:highlight w:val="none"/>
        </w:rPr>
        <w:t>单位</w:t>
      </w:r>
      <w:r>
        <w:rPr>
          <w:b/>
          <w:szCs w:val="32"/>
          <w:highlight w:val="none"/>
        </w:rPr>
        <w:t>（甲方）：</w:t>
      </w:r>
      <w:r>
        <w:rPr>
          <w:rFonts w:hint="eastAsia"/>
          <w:b/>
          <w:szCs w:val="32"/>
          <w:highlight w:val="none"/>
          <w:lang w:eastAsia="zh-CN"/>
        </w:rPr>
        <w:t>铜川市王益区教育体育局</w:t>
      </w:r>
    </w:p>
    <w:p>
      <w:pPr>
        <w:spacing w:line="360" w:lineRule="auto"/>
        <w:ind w:firstLine="422" w:firstLineChars="200"/>
        <w:rPr>
          <w:b/>
          <w:szCs w:val="32"/>
          <w:highlight w:val="none"/>
        </w:rPr>
      </w:pPr>
      <w:r>
        <w:rPr>
          <w:rFonts w:hint="eastAsia"/>
          <w:b/>
          <w:szCs w:val="32"/>
          <w:highlight w:val="none"/>
          <w:lang w:eastAsia="zh-CN"/>
        </w:rPr>
        <w:t>中标人</w:t>
      </w:r>
      <w:r>
        <w:rPr>
          <w:b/>
          <w:szCs w:val="32"/>
          <w:highlight w:val="none"/>
        </w:rPr>
        <w:t>（乙方）：</w:t>
      </w:r>
      <w:r>
        <w:rPr>
          <w:rFonts w:hint="eastAsia"/>
          <w:b/>
          <w:szCs w:val="32"/>
          <w:highlight w:val="none"/>
        </w:rPr>
        <w:t xml:space="preserve">                      </w:t>
      </w:r>
    </w:p>
    <w:p>
      <w:pPr>
        <w:spacing w:line="490" w:lineRule="exact"/>
        <w:ind w:firstLine="480" w:firstLineChars="200"/>
        <w:rPr>
          <w:rFonts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>根据《中华人民共和国民法典》及食品安全方面有关法律规定，</w:t>
      </w:r>
      <w:r>
        <w:rPr>
          <w:rFonts w:hint="eastAsia" w:ascii="宋体" w:hAnsi="宋体" w:cs="宋体"/>
          <w:sz w:val="24"/>
          <w:highlight w:val="none"/>
          <w:lang w:eastAsia="zh-CN"/>
        </w:rPr>
        <w:t>铜川市王益区教育体育局</w:t>
      </w:r>
      <w:r>
        <w:rPr>
          <w:rFonts w:hint="eastAsia" w:ascii="宋体" w:hAnsi="宋体" w:cs="宋体"/>
          <w:sz w:val="24"/>
          <w:highlight w:val="none"/>
        </w:rPr>
        <w:t>结合食品安全有关要求，依据本项目</w:t>
      </w:r>
      <w:r>
        <w:rPr>
          <w:rFonts w:hint="eastAsia" w:ascii="宋体" w:hAnsi="宋体" w:cs="宋体"/>
          <w:sz w:val="24"/>
          <w:highlight w:val="none"/>
          <w:lang w:val="en-US" w:eastAsia="zh-CN"/>
        </w:rPr>
        <w:t>磋</w:t>
      </w:r>
      <w:r>
        <w:rPr>
          <w:rFonts w:hint="eastAsia" w:ascii="宋体" w:hAnsi="宋体" w:cs="宋体"/>
          <w:sz w:val="24"/>
          <w:highlight w:val="none"/>
        </w:rPr>
        <w:t>采购结果，对</w:t>
      </w:r>
      <w:r>
        <w:rPr>
          <w:rFonts w:hint="eastAsia" w:ascii="宋体" w:hAnsi="宋体" w:cs="宋体"/>
          <w:sz w:val="24"/>
          <w:highlight w:val="none"/>
          <w:lang w:eastAsia="zh-CN"/>
        </w:rPr>
        <w:t>各</w:t>
      </w:r>
      <w:r>
        <w:rPr>
          <w:rFonts w:hint="eastAsia" w:ascii="宋体" w:hAnsi="宋体" w:cs="宋体"/>
          <w:sz w:val="24"/>
          <w:highlight w:val="none"/>
        </w:rPr>
        <w:t>辖区学校</w:t>
      </w:r>
      <w:r>
        <w:rPr>
          <w:rFonts w:hint="eastAsia" w:ascii="宋体" w:hAnsi="宋体" w:cs="宋体"/>
          <w:sz w:val="24"/>
          <w:highlight w:val="none"/>
          <w:lang w:eastAsia="zh-CN"/>
        </w:rPr>
        <w:t>食堂2026-2027学年度大米、食用油、面粉、肉、蛋、奶等大宗食材及新鲜蔬菜、水果、干货、调味品等原辅材料</w:t>
      </w:r>
      <w:r>
        <w:rPr>
          <w:rFonts w:hint="eastAsia" w:ascii="宋体" w:hAnsi="宋体" w:cs="宋体"/>
          <w:sz w:val="24"/>
          <w:highlight w:val="none"/>
        </w:rPr>
        <w:t>采购严格按照采购结果进行配送。甲乙双方本着协商一致、平等互利的原则，签订本合同，以供双方信守执行。</w:t>
      </w:r>
    </w:p>
    <w:p>
      <w:pPr>
        <w:snapToGrid w:val="0"/>
        <w:spacing w:line="480" w:lineRule="exact"/>
        <w:ind w:firstLine="480" w:firstLineChars="200"/>
        <w:rPr>
          <w:rFonts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>一、本合同实施依据</w:t>
      </w:r>
    </w:p>
    <w:p>
      <w:pPr>
        <w:snapToGrid w:val="0"/>
        <w:spacing w:line="480" w:lineRule="exact"/>
        <w:ind w:firstLine="480" w:firstLineChars="200"/>
        <w:rPr>
          <w:rFonts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>1.《中华人民共和国政府采购法》；</w:t>
      </w:r>
    </w:p>
    <w:p>
      <w:pPr>
        <w:snapToGrid w:val="0"/>
        <w:spacing w:line="480" w:lineRule="exact"/>
        <w:ind w:firstLine="480" w:firstLineChars="200"/>
        <w:rPr>
          <w:rFonts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>2.《</w:t>
      </w:r>
      <w:r>
        <w:rPr>
          <w:rFonts w:hint="eastAsia" w:ascii="宋体" w:hAnsi="宋体" w:cs="宋体"/>
          <w:sz w:val="24"/>
          <w:highlight w:val="none"/>
          <w:lang w:eastAsia="zh-CN"/>
        </w:rPr>
        <w:t>王益区学校食堂米面油、蔬菜及辅食采购项目（2026-2027学年度）磋商文件</w:t>
      </w:r>
      <w:r>
        <w:rPr>
          <w:rFonts w:hint="eastAsia" w:ascii="宋体" w:hAnsi="宋体" w:cs="宋体"/>
          <w:sz w:val="24"/>
          <w:highlight w:val="none"/>
        </w:rPr>
        <w:t>》。</w:t>
      </w:r>
    </w:p>
    <w:p>
      <w:pPr>
        <w:snapToGrid w:val="0"/>
        <w:spacing w:line="480" w:lineRule="exact"/>
        <w:ind w:firstLine="480" w:firstLineChars="200"/>
        <w:rPr>
          <w:rFonts w:hint="eastAsia"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>二、价格及质量标准</w:t>
      </w:r>
    </w:p>
    <w:p>
      <w:pPr>
        <w:pStyle w:val="2"/>
        <w:rPr>
          <w:rFonts w:hint="eastAsia"/>
        </w:rPr>
      </w:pPr>
    </w:p>
    <w:tbl>
      <w:tblPr>
        <w:tblStyle w:val="16"/>
        <w:tblW w:w="8667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7"/>
        <w:gridCol w:w="1061"/>
        <w:gridCol w:w="1440"/>
        <w:gridCol w:w="2126"/>
        <w:gridCol w:w="1654"/>
        <w:gridCol w:w="1179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1207" w:type="dxa"/>
            <w:vAlign w:val="center"/>
          </w:tcPr>
          <w:p>
            <w:pPr>
              <w:widowControl/>
              <w:snapToGrid w:val="0"/>
              <w:ind w:firstLine="240" w:firstLineChars="100"/>
              <w:jc w:val="center"/>
              <w:rPr>
                <w:rFonts w:ascii="宋体" w:hAnsi="宋体" w:cs="宋体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highlight w:val="none"/>
              </w:rPr>
              <w:t>品名</w:t>
            </w:r>
          </w:p>
        </w:tc>
        <w:tc>
          <w:tcPr>
            <w:tcW w:w="1061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宋体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highlight w:val="none"/>
              </w:rPr>
              <w:t>品牌</w:t>
            </w:r>
          </w:p>
        </w:tc>
        <w:tc>
          <w:tcPr>
            <w:tcW w:w="1440" w:type="dxa"/>
            <w:vAlign w:val="center"/>
          </w:tcPr>
          <w:p>
            <w:pPr>
              <w:widowControl/>
              <w:snapToGrid w:val="0"/>
              <w:ind w:firstLine="240" w:firstLineChars="100"/>
              <w:jc w:val="center"/>
              <w:rPr>
                <w:rFonts w:ascii="宋体" w:hAnsi="宋体" w:cs="宋体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highlight w:val="none"/>
              </w:rPr>
              <w:t>等级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snapToGrid w:val="0"/>
              <w:ind w:firstLine="240" w:firstLineChars="100"/>
              <w:jc w:val="center"/>
              <w:rPr>
                <w:rFonts w:ascii="宋体" w:hAnsi="宋体" w:cs="宋体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highlight w:val="none"/>
              </w:rPr>
              <w:t>制造厂家</w:t>
            </w:r>
          </w:p>
        </w:tc>
        <w:tc>
          <w:tcPr>
            <w:tcW w:w="1654" w:type="dxa"/>
            <w:vAlign w:val="center"/>
          </w:tcPr>
          <w:p>
            <w:pPr>
              <w:widowControl/>
              <w:snapToGrid w:val="0"/>
              <w:ind w:firstLine="240" w:firstLineChars="100"/>
              <w:jc w:val="center"/>
              <w:rPr>
                <w:rFonts w:ascii="宋体" w:hAnsi="宋体" w:cs="宋体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highlight w:val="none"/>
              </w:rPr>
              <w:t>包装规格</w:t>
            </w:r>
          </w:p>
        </w:tc>
        <w:tc>
          <w:tcPr>
            <w:tcW w:w="1179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宋体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highlight w:val="none"/>
              </w:rPr>
              <w:t>价格（元）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atLeast"/>
          <w:jc w:val="center"/>
        </w:trPr>
        <w:tc>
          <w:tcPr>
            <w:tcW w:w="120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宋体"/>
                <w:kern w:val="0"/>
                <w:highlight w:val="none"/>
              </w:rPr>
            </w:pPr>
          </w:p>
        </w:tc>
        <w:tc>
          <w:tcPr>
            <w:tcW w:w="1061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宋体"/>
                <w:kern w:val="0"/>
                <w:highlight w:val="none"/>
              </w:rPr>
            </w:pPr>
          </w:p>
        </w:tc>
        <w:tc>
          <w:tcPr>
            <w:tcW w:w="1440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宋体"/>
                <w:kern w:val="0"/>
                <w:highlight w:val="none"/>
              </w:rPr>
            </w:pPr>
          </w:p>
        </w:tc>
        <w:tc>
          <w:tcPr>
            <w:tcW w:w="212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宋体"/>
                <w:kern w:val="0"/>
                <w:highlight w:val="none"/>
              </w:rPr>
            </w:pPr>
          </w:p>
        </w:tc>
        <w:tc>
          <w:tcPr>
            <w:tcW w:w="1654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宋体"/>
                <w:kern w:val="0"/>
                <w:sz w:val="24"/>
                <w:highlight w:val="none"/>
              </w:rPr>
            </w:pPr>
          </w:p>
        </w:tc>
        <w:tc>
          <w:tcPr>
            <w:tcW w:w="1179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宋体"/>
                <w:kern w:val="0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  <w:jc w:val="center"/>
        </w:trPr>
        <w:tc>
          <w:tcPr>
            <w:tcW w:w="1207" w:type="dxa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kern w:val="0"/>
                <w:highlight w:val="none"/>
              </w:rPr>
            </w:pPr>
          </w:p>
        </w:tc>
        <w:tc>
          <w:tcPr>
            <w:tcW w:w="1061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宋体"/>
                <w:kern w:val="0"/>
                <w:highlight w:val="none"/>
              </w:rPr>
            </w:pPr>
          </w:p>
        </w:tc>
        <w:tc>
          <w:tcPr>
            <w:tcW w:w="1440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宋体"/>
                <w:kern w:val="0"/>
                <w:highlight w:val="none"/>
              </w:rPr>
            </w:pPr>
          </w:p>
        </w:tc>
        <w:tc>
          <w:tcPr>
            <w:tcW w:w="212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宋体"/>
                <w:kern w:val="0"/>
                <w:highlight w:val="none"/>
              </w:rPr>
            </w:pPr>
          </w:p>
        </w:tc>
        <w:tc>
          <w:tcPr>
            <w:tcW w:w="1654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宋体"/>
                <w:kern w:val="0"/>
                <w:sz w:val="24"/>
                <w:highlight w:val="none"/>
              </w:rPr>
            </w:pPr>
          </w:p>
        </w:tc>
        <w:tc>
          <w:tcPr>
            <w:tcW w:w="1179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宋体"/>
                <w:kern w:val="0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6" w:hRule="atLeast"/>
          <w:jc w:val="center"/>
        </w:trPr>
        <w:tc>
          <w:tcPr>
            <w:tcW w:w="1207" w:type="dxa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kern w:val="0"/>
                <w:highlight w:val="none"/>
              </w:rPr>
            </w:pPr>
          </w:p>
        </w:tc>
        <w:tc>
          <w:tcPr>
            <w:tcW w:w="1061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宋体"/>
                <w:kern w:val="0"/>
                <w:highlight w:val="none"/>
              </w:rPr>
            </w:pPr>
          </w:p>
        </w:tc>
        <w:tc>
          <w:tcPr>
            <w:tcW w:w="1440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宋体"/>
                <w:kern w:val="0"/>
                <w:highlight w:val="none"/>
              </w:rPr>
            </w:pPr>
          </w:p>
        </w:tc>
        <w:tc>
          <w:tcPr>
            <w:tcW w:w="212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宋体"/>
                <w:kern w:val="0"/>
                <w:highlight w:val="none"/>
              </w:rPr>
            </w:pPr>
          </w:p>
        </w:tc>
        <w:tc>
          <w:tcPr>
            <w:tcW w:w="1654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宋体"/>
                <w:kern w:val="0"/>
                <w:sz w:val="24"/>
                <w:highlight w:val="none"/>
              </w:rPr>
            </w:pPr>
          </w:p>
        </w:tc>
        <w:tc>
          <w:tcPr>
            <w:tcW w:w="1179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宋体"/>
                <w:kern w:val="0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6" w:hRule="atLeast"/>
          <w:jc w:val="center"/>
        </w:trPr>
        <w:tc>
          <w:tcPr>
            <w:tcW w:w="1207" w:type="dxa"/>
            <w:vAlign w:val="center"/>
          </w:tcPr>
          <w:p>
            <w:pPr>
              <w:snapToGrid w:val="0"/>
              <w:jc w:val="center"/>
              <w:rPr>
                <w:rFonts w:hint="default" w:ascii="宋体" w:hAnsi="宋体" w:eastAsia="宋体" w:cs="宋体"/>
                <w:kern w:val="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highlight w:val="none"/>
                <w:lang w:val="en-US" w:eastAsia="zh-CN"/>
              </w:rPr>
              <w:t>...</w:t>
            </w:r>
          </w:p>
        </w:tc>
        <w:tc>
          <w:tcPr>
            <w:tcW w:w="1061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宋体"/>
                <w:kern w:val="0"/>
                <w:highlight w:val="none"/>
              </w:rPr>
            </w:pPr>
          </w:p>
        </w:tc>
        <w:tc>
          <w:tcPr>
            <w:tcW w:w="1440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宋体"/>
                <w:kern w:val="0"/>
                <w:highlight w:val="none"/>
              </w:rPr>
            </w:pPr>
          </w:p>
        </w:tc>
        <w:tc>
          <w:tcPr>
            <w:tcW w:w="212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宋体"/>
                <w:kern w:val="0"/>
                <w:highlight w:val="none"/>
              </w:rPr>
            </w:pPr>
          </w:p>
        </w:tc>
        <w:tc>
          <w:tcPr>
            <w:tcW w:w="1654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宋体"/>
                <w:kern w:val="0"/>
                <w:sz w:val="24"/>
                <w:highlight w:val="none"/>
              </w:rPr>
            </w:pPr>
          </w:p>
        </w:tc>
        <w:tc>
          <w:tcPr>
            <w:tcW w:w="1179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宋体"/>
                <w:kern w:val="0"/>
                <w:sz w:val="24"/>
                <w:highlight w:val="none"/>
              </w:rPr>
            </w:pPr>
          </w:p>
        </w:tc>
      </w:tr>
    </w:tbl>
    <w:p>
      <w:pPr>
        <w:snapToGrid w:val="0"/>
        <w:spacing w:line="480" w:lineRule="exact"/>
        <w:ind w:firstLine="630"/>
        <w:rPr>
          <w:rFonts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>备注：价格含税、运输、装卸费，送货至约定地点。</w:t>
      </w:r>
    </w:p>
    <w:p>
      <w:pPr>
        <w:snapToGrid w:val="0"/>
        <w:spacing w:line="480" w:lineRule="exact"/>
        <w:ind w:firstLine="630"/>
        <w:rPr>
          <w:rFonts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>配送物品质量及包装必须合格，符合国家相关标准和强制性规定及本项目成交文件的相关要求。</w:t>
      </w:r>
    </w:p>
    <w:p>
      <w:pPr>
        <w:snapToGrid w:val="0"/>
        <w:spacing w:line="480" w:lineRule="exact"/>
        <w:ind w:firstLine="630"/>
        <w:rPr>
          <w:rFonts w:ascii="宋体" w:hAnsi="宋体" w:cs="宋体"/>
          <w:sz w:val="24"/>
          <w:highlight w:val="none"/>
        </w:rPr>
      </w:pPr>
      <w:bookmarkStart w:id="0" w:name="OLE_LINK1"/>
      <w:bookmarkStart w:id="1" w:name="OLE_LINK2"/>
      <w:r>
        <w:rPr>
          <w:rFonts w:hint="eastAsia" w:ascii="宋体" w:hAnsi="宋体" w:cs="宋体"/>
          <w:sz w:val="24"/>
          <w:highlight w:val="none"/>
        </w:rPr>
        <w:t>三、配送方案及方式</w:t>
      </w:r>
    </w:p>
    <w:bookmarkEnd w:id="0"/>
    <w:bookmarkEnd w:id="1"/>
    <w:p>
      <w:pPr>
        <w:snapToGrid w:val="0"/>
        <w:spacing w:line="480" w:lineRule="exact"/>
        <w:ind w:firstLine="630"/>
        <w:rPr>
          <w:rFonts w:hint="eastAsia" w:ascii="宋体" w:hAnsi="宋体" w:eastAsia="宋体" w:cs="宋体"/>
          <w:sz w:val="24"/>
          <w:highlight w:val="none"/>
          <w:lang w:eastAsia="zh-CN"/>
        </w:rPr>
      </w:pPr>
      <w:r>
        <w:rPr>
          <w:rFonts w:hint="eastAsia" w:ascii="宋体" w:hAnsi="宋体" w:cs="宋体"/>
          <w:sz w:val="24"/>
          <w:highlight w:val="none"/>
        </w:rPr>
        <w:t>1.配送</w:t>
      </w:r>
      <w:r>
        <w:rPr>
          <w:rFonts w:hint="eastAsia" w:ascii="宋体" w:hAnsi="宋体" w:cs="宋体"/>
          <w:sz w:val="24"/>
          <w:highlight w:val="none"/>
          <w:lang w:eastAsia="zh-CN"/>
        </w:rPr>
        <w:t>各</w:t>
      </w:r>
      <w:r>
        <w:rPr>
          <w:rFonts w:hint="eastAsia" w:ascii="宋体" w:hAnsi="宋体" w:cs="宋体"/>
          <w:sz w:val="24"/>
          <w:highlight w:val="none"/>
        </w:rPr>
        <w:t>辖区学校</w:t>
      </w:r>
      <w:r>
        <w:rPr>
          <w:rFonts w:hint="eastAsia" w:ascii="宋体" w:hAnsi="宋体" w:cs="宋体"/>
          <w:sz w:val="24"/>
          <w:highlight w:val="none"/>
          <w:lang w:eastAsia="zh-CN"/>
        </w:rPr>
        <w:t>。</w:t>
      </w:r>
    </w:p>
    <w:p>
      <w:pPr>
        <w:snapToGrid w:val="0"/>
        <w:spacing w:line="480" w:lineRule="exact"/>
        <w:ind w:firstLine="630"/>
        <w:rPr>
          <w:rFonts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>2.配送地点为</w:t>
      </w:r>
      <w:r>
        <w:rPr>
          <w:rFonts w:hint="eastAsia" w:ascii="宋体" w:hAnsi="宋体" w:cs="宋体"/>
          <w:sz w:val="24"/>
          <w:highlight w:val="none"/>
          <w:lang w:eastAsia="zh-CN"/>
        </w:rPr>
        <w:t>采购人指定地点</w:t>
      </w:r>
      <w:r>
        <w:rPr>
          <w:rFonts w:hint="eastAsia" w:ascii="宋体" w:hAnsi="宋体" w:cs="宋体"/>
          <w:sz w:val="24"/>
          <w:highlight w:val="none"/>
        </w:rPr>
        <w:t>。</w:t>
      </w:r>
    </w:p>
    <w:p>
      <w:pPr>
        <w:snapToGrid w:val="0"/>
        <w:spacing w:line="480" w:lineRule="exact"/>
        <w:ind w:firstLine="630"/>
        <w:rPr>
          <w:rFonts w:hint="eastAsia"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>3.配送的</w:t>
      </w:r>
      <w:r>
        <w:rPr>
          <w:rFonts w:hint="eastAsia" w:ascii="宋体" w:hAnsi="宋体" w:cs="宋体"/>
          <w:sz w:val="24"/>
          <w:highlight w:val="none"/>
          <w:lang w:val="en-US" w:eastAsia="zh-CN"/>
        </w:rPr>
        <w:t>产品应</w:t>
      </w:r>
      <w:r>
        <w:rPr>
          <w:rFonts w:hint="eastAsia" w:ascii="宋体" w:hAnsi="宋体" w:cs="宋体"/>
          <w:sz w:val="24"/>
          <w:highlight w:val="none"/>
        </w:rPr>
        <w:t>根据配送学校需求配送。</w:t>
      </w:r>
    </w:p>
    <w:p>
      <w:pPr>
        <w:snapToGrid w:val="0"/>
        <w:spacing w:line="480" w:lineRule="exact"/>
        <w:ind w:firstLine="630"/>
        <w:rPr>
          <w:rFonts w:hint="eastAsia"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  <w:lang w:val="en-US" w:eastAsia="zh-CN"/>
        </w:rPr>
        <w:t>4</w:t>
      </w:r>
      <w:r>
        <w:rPr>
          <w:rFonts w:hint="eastAsia" w:ascii="宋体" w:hAnsi="宋体" w:cs="宋体"/>
          <w:sz w:val="24"/>
          <w:highlight w:val="none"/>
        </w:rPr>
        <w:t>.</w:t>
      </w:r>
      <w:r>
        <w:rPr>
          <w:rFonts w:hint="eastAsia" w:ascii="宋体" w:hAnsi="宋体" w:cs="宋体"/>
          <w:sz w:val="24"/>
          <w:highlight w:val="none"/>
          <w:lang w:val="en-US" w:eastAsia="zh-CN"/>
        </w:rPr>
        <w:t xml:space="preserve">供货商送货时同步交付一式四联送货清单，供货商、收货学校、教体局各留存一联 </w:t>
      </w:r>
      <w:r>
        <w:rPr>
          <w:rFonts w:hint="eastAsia" w:ascii="宋体" w:hAnsi="宋体" w:cs="宋体"/>
          <w:sz w:val="24"/>
          <w:highlight w:val="none"/>
        </w:rPr>
        <w:t>。</w:t>
      </w:r>
    </w:p>
    <w:p>
      <w:pPr>
        <w:snapToGrid w:val="0"/>
        <w:spacing w:line="480" w:lineRule="exact"/>
        <w:ind w:firstLine="630"/>
        <w:rPr>
          <w:rFonts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>四、双方权利与责任</w:t>
      </w:r>
    </w:p>
    <w:p>
      <w:pPr>
        <w:snapToGrid w:val="0"/>
        <w:spacing w:line="480" w:lineRule="exact"/>
        <w:ind w:firstLine="630"/>
        <w:rPr>
          <w:rFonts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>1.乙方须向甲方提供《营业执照》副本，《食品生产许可证》、《食品经营许可证》、</w:t>
      </w:r>
      <w:r>
        <w:rPr>
          <w:rFonts w:hint="eastAsia" w:ascii="宋体" w:hAnsi="宋体" w:cs="宋体"/>
          <w:sz w:val="24"/>
          <w:highlight w:val="none"/>
          <w:lang w:val="en-US" w:eastAsia="zh-CN"/>
        </w:rPr>
        <w:t>《动物防疫条件合格证》</w:t>
      </w:r>
      <w:r>
        <w:rPr>
          <w:rFonts w:hint="eastAsia" w:ascii="宋体" w:hAnsi="宋体" w:cs="宋体"/>
          <w:sz w:val="24"/>
          <w:highlight w:val="none"/>
        </w:rPr>
        <w:t>、《从业人员健康证》《质量检测报告》等原件，查验后保存复印件。</w:t>
      </w:r>
    </w:p>
    <w:p>
      <w:pPr>
        <w:snapToGrid w:val="0"/>
        <w:spacing w:line="460" w:lineRule="exact"/>
        <w:ind w:firstLine="630"/>
        <w:rPr>
          <w:rFonts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>2.乙方所供应的种类、规格及价格按成交价格执行，未经甲方同意，乙方不得随意调整，如有此行为甲方有权解除本合同，因市场变动物品价格浮动超过5%以上(上下浮动小于等于5%不调整价格)，需调整价格，双方依据相关规定协商解决。若遇国家政策规定必须改变配送模式，在甲方提前告知的情况下，可变更合同或解除合同，结算时以实际数量为准。若遇国家政策规定必须改变配送模式，在甲方提前告知的情况下，可变更合同或解除合同，结算时以实际数量为准。</w:t>
      </w:r>
    </w:p>
    <w:p>
      <w:pPr>
        <w:snapToGrid w:val="0"/>
        <w:spacing w:line="480" w:lineRule="exact"/>
        <w:ind w:firstLine="630"/>
        <w:rPr>
          <w:rFonts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>3.甲方为乙方提供配送学校安排。乙方根据甲方提供的名单等情况，安排制定合理的配送时间及路线。乙方未能按照甲方约定时间送货，或者送货数量不足的，甲方有权处以500-2000元罚款；如擅自调换品种，甲方将没收所有调换货物，并处以1000—10000元罚款，并取消供货资格。乙方送货超过规定时间累计3次，经甲方查实，将处以罚金，并终止合同。</w:t>
      </w:r>
    </w:p>
    <w:p>
      <w:pPr>
        <w:snapToGrid w:val="0"/>
        <w:spacing w:line="480" w:lineRule="exact"/>
        <w:ind w:firstLine="630"/>
        <w:rPr>
          <w:rFonts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>4.乙方必须把食品安全和供餐安全放在第一位，必须保质保量。甲方委托学校验收，甲方收货时若发现配送的食品规格、卫生质量标准与合同规定不符时，有权拒收。若发现配送的食品有变质、过期、污染等不合格现象，甲方有权从保证金中予以扣除与货款相当的违约金，如乙方对甲方收货时提出的质量问题有异议，可委托质检部门进行检验，所需费用由乙方承担，并负责甲方因此而造成的损失。若</w:t>
      </w:r>
      <w:r>
        <w:rPr>
          <w:rFonts w:hint="eastAsia" w:ascii="宋体" w:hAnsi="宋体" w:cs="宋体"/>
          <w:kern w:val="0"/>
          <w:sz w:val="24"/>
          <w:highlight w:val="none"/>
        </w:rPr>
        <w:t>因食品质量发生事故的，乙方应积极消除不良影响，</w:t>
      </w:r>
      <w:r>
        <w:rPr>
          <w:rFonts w:hint="eastAsia" w:ascii="宋体" w:hAnsi="宋体" w:cs="宋体"/>
          <w:sz w:val="24"/>
          <w:highlight w:val="none"/>
        </w:rPr>
        <w:t>由此产生的经济损失由乙方负责承担，并负相应的法律责任，甲方有权取消乙方的供货资格。</w:t>
      </w:r>
    </w:p>
    <w:p>
      <w:pPr>
        <w:snapToGrid w:val="0"/>
        <w:spacing w:line="480" w:lineRule="exact"/>
        <w:ind w:firstLine="630"/>
        <w:rPr>
          <w:rFonts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>5.乙方应建立专业的配送队伍，从业人员体检合格，健康证复印件交由甲方备案，且从业人员着装统一。运送、储藏设备、用具必须保持清洁、卫生，必须使用密封装载交通工具配送；在配送过程中，乙方车辆、人员发生的一切不安全事故，由乙方自负，甲方不承担责任。</w:t>
      </w:r>
    </w:p>
    <w:p>
      <w:pPr>
        <w:snapToGrid w:val="0"/>
        <w:spacing w:line="480" w:lineRule="exact"/>
        <w:ind w:firstLine="630"/>
        <w:rPr>
          <w:rFonts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>6.乙方应自觉接受、配合甲方会同工商、卫生、物价、质</w:t>
      </w:r>
      <w:r>
        <w:rPr>
          <w:rFonts w:hint="eastAsia" w:ascii="宋体" w:hAnsi="宋体" w:cs="宋体"/>
          <w:spacing w:val="-4"/>
          <w:sz w:val="24"/>
          <w:highlight w:val="none"/>
        </w:rPr>
        <w:t>监、药监等相关部门对配送物品及库房进行安全检查，若有安全隐患问题，乙方应积极整改。否则，甲方有权解除合同</w:t>
      </w:r>
      <w:r>
        <w:rPr>
          <w:rFonts w:hint="eastAsia" w:ascii="宋体" w:hAnsi="宋体" w:cs="宋体"/>
          <w:sz w:val="24"/>
          <w:highlight w:val="none"/>
        </w:rPr>
        <w:t>。</w:t>
      </w:r>
    </w:p>
    <w:p>
      <w:pPr>
        <w:snapToGrid w:val="0"/>
        <w:spacing w:line="480" w:lineRule="exact"/>
        <w:ind w:firstLine="630"/>
        <w:rPr>
          <w:rFonts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>7.学期末，甲方在</w:t>
      </w:r>
      <w:r>
        <w:rPr>
          <w:rFonts w:hint="eastAsia" w:ascii="宋体" w:hAnsi="宋体" w:cs="宋体"/>
          <w:sz w:val="24"/>
          <w:highlight w:val="none"/>
          <w:lang w:eastAsia="zh-CN"/>
        </w:rPr>
        <w:t>各</w:t>
      </w:r>
      <w:r>
        <w:rPr>
          <w:rFonts w:hint="eastAsia" w:ascii="宋体" w:hAnsi="宋体" w:cs="宋体"/>
          <w:sz w:val="24"/>
          <w:highlight w:val="none"/>
          <w:lang w:val="en-US" w:eastAsia="zh-CN"/>
        </w:rPr>
        <w:t>辖区</w:t>
      </w:r>
      <w:r>
        <w:rPr>
          <w:rFonts w:hint="eastAsia" w:ascii="宋体" w:hAnsi="宋体" w:cs="宋体"/>
          <w:sz w:val="24"/>
          <w:highlight w:val="none"/>
        </w:rPr>
        <w:t>学校中开展乙方服务质量民意测评，满意度未达到80%以上，取消该供货商供货和再次竞标资格。</w:t>
      </w:r>
    </w:p>
    <w:p>
      <w:pPr>
        <w:snapToGrid w:val="0"/>
        <w:spacing w:line="480" w:lineRule="exact"/>
        <w:ind w:firstLine="630"/>
        <w:rPr>
          <w:rFonts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>五、供货期限</w:t>
      </w:r>
    </w:p>
    <w:p>
      <w:pPr>
        <w:widowControl/>
        <w:spacing w:line="580" w:lineRule="exact"/>
        <w:ind w:firstLine="480" w:firstLineChars="200"/>
        <w:rPr>
          <w:rFonts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>本次供货的合同起止时间为 202</w:t>
      </w:r>
      <w:r>
        <w:rPr>
          <w:rFonts w:hint="eastAsia" w:ascii="宋体" w:hAnsi="宋体" w:cs="宋体"/>
          <w:sz w:val="24"/>
          <w:highlight w:val="none"/>
          <w:lang w:val="en-US" w:eastAsia="zh-CN"/>
        </w:rPr>
        <w:t>6</w:t>
      </w:r>
      <w:r>
        <w:rPr>
          <w:rFonts w:hint="eastAsia" w:ascii="宋体" w:hAnsi="宋体" w:cs="宋体"/>
          <w:sz w:val="24"/>
          <w:highlight w:val="none"/>
        </w:rPr>
        <w:t>年</w:t>
      </w:r>
      <w:r>
        <w:rPr>
          <w:rFonts w:hint="eastAsia" w:ascii="宋体" w:hAnsi="宋体" w:cs="宋体"/>
          <w:sz w:val="24"/>
          <w:highlight w:val="none"/>
          <w:u w:val="single"/>
        </w:rPr>
        <w:t xml:space="preserve">   </w:t>
      </w:r>
      <w:r>
        <w:rPr>
          <w:rFonts w:hint="eastAsia" w:ascii="宋体" w:hAnsi="宋体" w:cs="宋体"/>
          <w:sz w:val="24"/>
          <w:highlight w:val="none"/>
        </w:rPr>
        <w:t>月至202</w:t>
      </w:r>
      <w:r>
        <w:rPr>
          <w:rFonts w:hint="eastAsia" w:ascii="宋体" w:hAnsi="宋体" w:cs="宋体"/>
          <w:sz w:val="24"/>
          <w:highlight w:val="none"/>
          <w:lang w:val="en-US" w:eastAsia="zh-CN"/>
        </w:rPr>
        <w:t>7</w:t>
      </w:r>
      <w:r>
        <w:rPr>
          <w:rFonts w:hint="eastAsia" w:ascii="宋体" w:hAnsi="宋体" w:cs="宋体"/>
          <w:sz w:val="24"/>
          <w:highlight w:val="none"/>
        </w:rPr>
        <w:t>年</w:t>
      </w:r>
      <w:r>
        <w:rPr>
          <w:rFonts w:hint="eastAsia" w:ascii="宋体" w:hAnsi="宋体" w:cs="宋体"/>
          <w:sz w:val="24"/>
          <w:highlight w:val="none"/>
          <w:u w:val="single"/>
        </w:rPr>
        <w:t xml:space="preserve">   </w:t>
      </w:r>
      <w:r>
        <w:rPr>
          <w:rFonts w:hint="eastAsia" w:ascii="宋体" w:hAnsi="宋体" w:cs="宋体"/>
          <w:sz w:val="24"/>
          <w:highlight w:val="none"/>
        </w:rPr>
        <w:t>月底，合同期为一学年。</w:t>
      </w:r>
    </w:p>
    <w:p>
      <w:pPr>
        <w:snapToGrid w:val="0"/>
        <w:spacing w:line="480" w:lineRule="exact"/>
        <w:ind w:firstLine="630"/>
        <w:rPr>
          <w:rFonts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>六、资金结算与付款方式</w:t>
      </w:r>
    </w:p>
    <w:p>
      <w:pPr>
        <w:snapToGrid w:val="0"/>
        <w:spacing w:line="480" w:lineRule="exact"/>
        <w:ind w:firstLine="630"/>
        <w:rPr>
          <w:rFonts w:ascii="宋体" w:hAnsi="宋体" w:cs="宋体"/>
          <w:bCs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>1.按实际配送的</w:t>
      </w:r>
      <w:r>
        <w:rPr>
          <w:rFonts w:hint="eastAsia" w:ascii="宋体" w:hAnsi="宋体" w:cs="宋体"/>
          <w:bCs/>
          <w:sz w:val="24"/>
          <w:highlight w:val="none"/>
        </w:rPr>
        <w:t>物品数量及成交单价核算。</w:t>
      </w:r>
    </w:p>
    <w:p>
      <w:pPr>
        <w:snapToGrid w:val="0"/>
        <w:spacing w:line="480" w:lineRule="exact"/>
        <w:ind w:firstLine="630"/>
        <w:rPr>
          <w:rFonts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>2.付款方式：</w:t>
      </w:r>
    </w:p>
    <w:p>
      <w:pPr>
        <w:spacing w:line="480" w:lineRule="exact"/>
        <w:ind w:firstLine="600" w:firstLineChars="250"/>
        <w:rPr>
          <w:rFonts w:ascii="宋体" w:hAnsi="宋体"/>
          <w:sz w:val="24"/>
          <w:highlight w:val="none"/>
        </w:rPr>
      </w:pPr>
      <w:r>
        <w:rPr>
          <w:rFonts w:hint="eastAsia" w:ascii="宋体" w:hAnsi="宋体"/>
          <w:sz w:val="24"/>
          <w:highlight w:val="none"/>
        </w:rPr>
        <w:t>分批次支付，本月据实结算上月货款。（最终以实际签订合同支付方式为准）。</w:t>
      </w:r>
    </w:p>
    <w:p>
      <w:pPr>
        <w:spacing w:line="480" w:lineRule="exact"/>
        <w:ind w:firstLine="600" w:firstLineChars="250"/>
        <w:rPr>
          <w:rFonts w:ascii="宋体" w:hAnsi="宋体"/>
          <w:sz w:val="24"/>
          <w:highlight w:val="none"/>
        </w:rPr>
      </w:pPr>
      <w:r>
        <w:rPr>
          <w:rFonts w:hint="eastAsia" w:ascii="宋体" w:hAnsi="宋体"/>
          <w:sz w:val="24"/>
          <w:highlight w:val="none"/>
        </w:rPr>
        <w:t>结算：结算方式按成交单价结算，以实际发生数量为准，</w:t>
      </w:r>
      <w:r>
        <w:rPr>
          <w:rFonts w:hint="eastAsia" w:ascii="宋体" w:hAnsi="宋体"/>
          <w:sz w:val="24"/>
          <w:highlight w:val="none"/>
          <w:lang w:eastAsia="zh-CN"/>
        </w:rPr>
        <w:t>据实</w:t>
      </w:r>
      <w:r>
        <w:rPr>
          <w:rFonts w:hint="eastAsia" w:ascii="宋体" w:hAnsi="宋体"/>
          <w:sz w:val="24"/>
          <w:highlight w:val="none"/>
        </w:rPr>
        <w:t>结算。</w:t>
      </w:r>
    </w:p>
    <w:p>
      <w:pPr>
        <w:pStyle w:val="19"/>
        <w:spacing w:before="0" w:beforeAutospacing="0" w:after="0" w:afterAutospacing="0" w:line="500" w:lineRule="exact"/>
        <w:ind w:firstLine="480" w:firstLineChars="200"/>
        <w:jc w:val="both"/>
        <w:rPr>
          <w:rFonts w:hAnsi="宋体"/>
          <w:color w:val="000000"/>
          <w:highlight w:val="none"/>
        </w:rPr>
      </w:pPr>
      <w:r>
        <w:rPr>
          <w:rFonts w:hint="eastAsia" w:hAnsi="宋体"/>
          <w:color w:val="000000"/>
          <w:highlight w:val="none"/>
          <w:lang w:val="en-US" w:eastAsia="zh-CN"/>
        </w:rPr>
        <w:t>七</w:t>
      </w:r>
      <w:r>
        <w:rPr>
          <w:rFonts w:hint="eastAsia" w:hAnsi="宋体"/>
          <w:color w:val="000000"/>
          <w:highlight w:val="none"/>
        </w:rPr>
        <w:t>、争议的解决办法</w:t>
      </w:r>
    </w:p>
    <w:p>
      <w:pPr>
        <w:spacing w:line="500" w:lineRule="exact"/>
        <w:ind w:firstLine="480" w:firstLineChars="200"/>
        <w:rPr>
          <w:rFonts w:ascii="宋体" w:hAnsi="宋体" w:cs="宋体"/>
          <w:color w:val="000000"/>
          <w:sz w:val="24"/>
          <w:highlight w:val="none"/>
        </w:rPr>
      </w:pPr>
      <w:r>
        <w:rPr>
          <w:rFonts w:hint="eastAsia" w:ascii="宋体" w:hAnsi="宋体" w:cs="宋体"/>
          <w:color w:val="000000"/>
          <w:sz w:val="24"/>
          <w:highlight w:val="none"/>
        </w:rPr>
        <w:t>在合同履行过程中发生争议，双方应当协商解决。双方不愿协商、调解或者协商、调解不成的，双方商定采取以下方式解决：</w:t>
      </w:r>
    </w:p>
    <w:p>
      <w:pPr>
        <w:spacing w:line="500" w:lineRule="exact"/>
        <w:ind w:firstLine="480" w:firstLineChars="200"/>
        <w:rPr>
          <w:rFonts w:ascii="宋体" w:hAnsi="宋体" w:cs="宋体"/>
          <w:color w:val="000000"/>
          <w:sz w:val="24"/>
          <w:highlight w:val="none"/>
        </w:rPr>
      </w:pPr>
      <w:r>
        <w:rPr>
          <w:rFonts w:hint="eastAsia" w:ascii="宋体" w:hAnsi="宋体" w:cs="宋体"/>
          <w:color w:val="000000"/>
          <w:sz w:val="24"/>
          <w:highlight w:val="none"/>
        </w:rPr>
        <w:t>1.因本合同所发生的任何争议，申请仲裁委员会仲裁。</w:t>
      </w:r>
    </w:p>
    <w:p>
      <w:pPr>
        <w:spacing w:line="500" w:lineRule="exact"/>
        <w:ind w:firstLine="480" w:firstLineChars="200"/>
        <w:rPr>
          <w:rFonts w:ascii="宋体" w:hAnsi="宋体" w:cs="宋体"/>
          <w:color w:val="000000"/>
          <w:sz w:val="24"/>
          <w:highlight w:val="none"/>
        </w:rPr>
      </w:pPr>
      <w:r>
        <w:rPr>
          <w:rFonts w:hint="eastAsia" w:ascii="宋体" w:hAnsi="宋体" w:cs="宋体"/>
          <w:color w:val="000000"/>
          <w:sz w:val="24"/>
          <w:highlight w:val="none"/>
        </w:rPr>
        <w:t>2.按司法程序解决。</w:t>
      </w:r>
    </w:p>
    <w:p>
      <w:pPr>
        <w:spacing w:line="500" w:lineRule="exact"/>
        <w:ind w:firstLine="480" w:firstLineChars="200"/>
        <w:rPr>
          <w:rFonts w:ascii="宋体" w:hAnsi="宋体" w:cs="宋体"/>
          <w:color w:val="000000"/>
          <w:sz w:val="24"/>
          <w:highlight w:val="none"/>
        </w:rPr>
      </w:pPr>
      <w:r>
        <w:rPr>
          <w:rFonts w:hint="eastAsia" w:ascii="宋体" w:hAnsi="宋体" w:cs="宋体"/>
          <w:color w:val="000000"/>
          <w:sz w:val="24"/>
          <w:highlight w:val="none"/>
        </w:rPr>
        <w:t>九、其它未尽事宜</w:t>
      </w:r>
    </w:p>
    <w:p>
      <w:pPr>
        <w:widowControl/>
        <w:spacing w:line="500" w:lineRule="exact"/>
        <w:ind w:firstLine="480" w:firstLineChars="200"/>
        <w:rPr>
          <w:rFonts w:ascii="宋体" w:hAnsi="宋体" w:cs="宋体"/>
          <w:kern w:val="0"/>
          <w:sz w:val="24"/>
          <w:highlight w:val="none"/>
          <w:u w:val="single"/>
        </w:rPr>
      </w:pPr>
      <w:r>
        <w:rPr>
          <w:rFonts w:hint="eastAsia" w:ascii="宋体" w:hAnsi="宋体" w:cs="宋体"/>
          <w:color w:val="000000"/>
          <w:sz w:val="24"/>
          <w:highlight w:val="none"/>
        </w:rPr>
        <w:t>1.</w:t>
      </w:r>
      <w:r>
        <w:rPr>
          <w:rFonts w:hint="eastAsia" w:ascii="宋体" w:hAnsi="宋体" w:cs="宋体"/>
          <w:kern w:val="0"/>
          <w:sz w:val="24"/>
          <w:highlight w:val="none"/>
        </w:rPr>
        <w:t>通过</w:t>
      </w:r>
      <w:r>
        <w:rPr>
          <w:rFonts w:hint="eastAsia" w:ascii="宋体" w:hAnsi="宋体" w:cs="宋体"/>
          <w:kern w:val="0"/>
          <w:sz w:val="24"/>
          <w:highlight w:val="none"/>
          <w:lang w:val="en-US" w:eastAsia="zh-CN"/>
        </w:rPr>
        <w:t>竞争性磋商</w:t>
      </w:r>
      <w:r>
        <w:rPr>
          <w:rFonts w:hint="eastAsia" w:ascii="宋体" w:hAnsi="宋体" w:cs="宋体"/>
          <w:kern w:val="0"/>
          <w:sz w:val="24"/>
          <w:highlight w:val="none"/>
        </w:rPr>
        <w:t>确定的供货商为</w:t>
      </w:r>
      <w:r>
        <w:rPr>
          <w:rFonts w:hint="eastAsia" w:ascii="宋体" w:hAnsi="宋体" w:cs="宋体"/>
          <w:kern w:val="0"/>
          <w:sz w:val="24"/>
          <w:highlight w:val="none"/>
          <w:u w:val="single"/>
        </w:rPr>
        <w:t xml:space="preserve">                 </w:t>
      </w:r>
      <w:r>
        <w:rPr>
          <w:rFonts w:hint="eastAsia" w:ascii="宋体" w:hAnsi="宋体" w:cs="宋体"/>
          <w:kern w:val="0"/>
          <w:sz w:val="24"/>
          <w:highlight w:val="none"/>
        </w:rPr>
        <w:t>,联系人：</w:t>
      </w:r>
      <w:r>
        <w:rPr>
          <w:rFonts w:hint="eastAsia" w:ascii="宋体" w:hAnsi="宋体" w:cs="宋体"/>
          <w:kern w:val="0"/>
          <w:sz w:val="24"/>
          <w:highlight w:val="none"/>
          <w:u w:val="single"/>
        </w:rPr>
        <w:t xml:space="preserve">         </w:t>
      </w:r>
      <w:r>
        <w:rPr>
          <w:rFonts w:hint="eastAsia" w:ascii="宋体" w:hAnsi="宋体" w:cs="宋体"/>
          <w:kern w:val="0"/>
          <w:sz w:val="24"/>
          <w:highlight w:val="none"/>
        </w:rPr>
        <w:t>，电话：</w:t>
      </w:r>
      <w:r>
        <w:rPr>
          <w:rFonts w:hint="eastAsia" w:ascii="宋体" w:hAnsi="宋体" w:cs="宋体"/>
          <w:kern w:val="0"/>
          <w:sz w:val="24"/>
          <w:highlight w:val="none"/>
          <w:u w:val="single"/>
        </w:rPr>
        <w:t xml:space="preserve">              </w:t>
      </w:r>
      <w:r>
        <w:rPr>
          <w:rFonts w:hint="eastAsia" w:ascii="宋体" w:hAnsi="宋体" w:cs="宋体"/>
          <w:kern w:val="0"/>
          <w:sz w:val="24"/>
          <w:highlight w:val="none"/>
        </w:rPr>
        <w:t>。</w:t>
      </w:r>
    </w:p>
    <w:p>
      <w:pPr>
        <w:widowControl/>
        <w:spacing w:line="500" w:lineRule="exact"/>
        <w:ind w:firstLine="480" w:firstLineChars="200"/>
        <w:rPr>
          <w:rFonts w:ascii="宋体" w:hAnsi="宋体" w:cs="宋体"/>
          <w:kern w:val="0"/>
          <w:sz w:val="24"/>
          <w:highlight w:val="none"/>
        </w:rPr>
      </w:pPr>
      <w:r>
        <w:rPr>
          <w:rFonts w:hint="eastAsia" w:ascii="宋体" w:hAnsi="宋体" w:cs="宋体"/>
          <w:kern w:val="0"/>
          <w:sz w:val="24"/>
          <w:highlight w:val="none"/>
        </w:rPr>
        <w:t>2.</w:t>
      </w:r>
      <w:r>
        <w:rPr>
          <w:rFonts w:hint="eastAsia" w:ascii="宋体" w:hAnsi="宋体" w:cs="宋体"/>
          <w:color w:val="000000"/>
          <w:sz w:val="24"/>
          <w:highlight w:val="none"/>
        </w:rPr>
        <w:t>乙方如违约，将取消其以后参加甲方采购资格。</w:t>
      </w:r>
    </w:p>
    <w:p>
      <w:pPr>
        <w:widowControl/>
        <w:spacing w:line="500" w:lineRule="exact"/>
        <w:ind w:firstLine="480" w:firstLineChars="200"/>
        <w:rPr>
          <w:rFonts w:ascii="宋体" w:hAnsi="宋体" w:cs="宋体"/>
          <w:color w:val="000000"/>
          <w:sz w:val="24"/>
          <w:highlight w:val="none"/>
        </w:rPr>
      </w:pPr>
      <w:r>
        <w:rPr>
          <w:rFonts w:hint="eastAsia" w:ascii="宋体" w:hAnsi="宋体" w:cs="宋体"/>
          <w:color w:val="000000"/>
          <w:sz w:val="24"/>
          <w:highlight w:val="none"/>
        </w:rPr>
        <w:t>3.本合同经双方签字盖章生效，即具有法律约束力，双方必须全面履行合同规定的义务，不得单方任意变更或解除，若遇不可抗力原因，不能履行合同时，应提前三个工作日以书面形式通知对方，以书面形式变更或解除合同。</w:t>
      </w:r>
    </w:p>
    <w:p>
      <w:pPr>
        <w:spacing w:line="500" w:lineRule="exact"/>
        <w:ind w:firstLine="480" w:firstLineChars="200"/>
        <w:rPr>
          <w:rFonts w:ascii="宋体" w:hAnsi="宋体" w:cs="宋体"/>
          <w:color w:val="000000"/>
          <w:sz w:val="24"/>
          <w:highlight w:val="none"/>
        </w:rPr>
      </w:pPr>
      <w:bookmarkStart w:id="2" w:name="OLE_LINK4"/>
      <w:bookmarkStart w:id="3" w:name="OLE_LINK3"/>
      <w:r>
        <w:rPr>
          <w:rFonts w:hint="eastAsia" w:ascii="宋体" w:hAnsi="宋体" w:cs="宋体"/>
          <w:color w:val="000000"/>
          <w:sz w:val="24"/>
          <w:highlight w:val="none"/>
        </w:rPr>
        <w:t>4.本合同一式三份，甲、乙双方各一份，教体局一份。</w:t>
      </w:r>
    </w:p>
    <w:bookmarkEnd w:id="2"/>
    <w:bookmarkEnd w:id="3"/>
    <w:p>
      <w:pPr>
        <w:spacing w:line="500" w:lineRule="exact"/>
        <w:ind w:firstLine="480" w:firstLineChars="200"/>
        <w:rPr>
          <w:rFonts w:ascii="宋体" w:hAnsi="宋体" w:cs="宋体"/>
          <w:color w:val="000000"/>
          <w:sz w:val="24"/>
          <w:highlight w:val="none"/>
        </w:rPr>
      </w:pPr>
      <w:r>
        <w:rPr>
          <w:rFonts w:hint="eastAsia" w:ascii="宋体" w:hAnsi="宋体" w:cs="宋体"/>
          <w:color w:val="000000"/>
          <w:sz w:val="24"/>
          <w:highlight w:val="none"/>
        </w:rPr>
        <w:t>5.未尽事宜，另行商议。</w:t>
      </w:r>
    </w:p>
    <w:p>
      <w:pPr>
        <w:snapToGrid w:val="0"/>
        <w:spacing w:line="480" w:lineRule="exact"/>
        <w:ind w:firstLine="480" w:firstLineChars="200"/>
        <w:rPr>
          <w:rFonts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>十、本合同有效附件</w:t>
      </w:r>
    </w:p>
    <w:p>
      <w:pPr>
        <w:snapToGrid w:val="0"/>
        <w:spacing w:line="480" w:lineRule="exact"/>
        <w:ind w:firstLine="480" w:firstLineChars="200"/>
        <w:rPr>
          <w:rFonts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>1.</w:t>
      </w:r>
      <w:r>
        <w:rPr>
          <w:rFonts w:hint="eastAsia" w:ascii="宋体" w:hAnsi="宋体" w:cs="宋体"/>
          <w:sz w:val="24"/>
          <w:highlight w:val="none"/>
          <w:lang w:val="en-US" w:eastAsia="zh-CN"/>
        </w:rPr>
        <w:t>成交</w:t>
      </w:r>
      <w:r>
        <w:rPr>
          <w:rFonts w:hint="eastAsia" w:ascii="宋体" w:hAnsi="宋体" w:cs="宋体"/>
          <w:sz w:val="24"/>
          <w:highlight w:val="none"/>
        </w:rPr>
        <w:t>通知书。</w:t>
      </w:r>
    </w:p>
    <w:p>
      <w:pPr>
        <w:snapToGrid w:val="0"/>
        <w:spacing w:line="480" w:lineRule="exact"/>
        <w:ind w:firstLine="480" w:firstLineChars="200"/>
        <w:rPr>
          <w:rFonts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>2.相关澄清等文件。</w:t>
      </w:r>
    </w:p>
    <w:p>
      <w:pPr>
        <w:snapToGrid w:val="0"/>
        <w:spacing w:line="336" w:lineRule="auto"/>
        <w:ind w:firstLine="960" w:firstLineChars="400"/>
        <w:rPr>
          <w:rFonts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>甲方（盖章）：                乙方（盖章）：</w:t>
      </w:r>
    </w:p>
    <w:p>
      <w:pPr>
        <w:snapToGrid w:val="0"/>
        <w:spacing w:line="336" w:lineRule="auto"/>
        <w:ind w:firstLine="960" w:firstLineChars="400"/>
        <w:rPr>
          <w:rFonts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>甲方代表人签字：             乙方代表人签字：</w:t>
      </w:r>
    </w:p>
    <w:p>
      <w:pPr>
        <w:snapToGrid w:val="0"/>
        <w:spacing w:line="336" w:lineRule="auto"/>
        <w:ind w:firstLine="960" w:firstLineChars="400"/>
        <w:rPr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>电话：                        电话：</w:t>
      </w:r>
    </w:p>
    <w:p>
      <w:pPr>
        <w:ind w:firstLine="960" w:firstLineChars="400"/>
        <w:rPr>
          <w:rFonts w:hint="eastAsia" w:ascii="华文中宋" w:eastAsia="华文中宋"/>
          <w:color w:val="auto"/>
          <w:w w:val="90"/>
          <w:sz w:val="48"/>
          <w:szCs w:val="48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>年   月   日                   年   月   日</w:t>
      </w:r>
    </w:p>
    <w:p>
      <w:pPr>
        <w:rPr>
          <w:rFonts w:hint="eastAsia" w:ascii="宋体" w:hAnsi="宋体" w:eastAsia="宋体" w:cs="宋体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隶书">
    <w:altName w:val="微软雅黑"/>
    <w:panose1 w:val="0201050906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黑体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0659F4"/>
    <w:rsid w:val="12F82CAB"/>
    <w:rsid w:val="35E408B0"/>
    <w:rsid w:val="36E44B5A"/>
    <w:rsid w:val="3AF73010"/>
    <w:rsid w:val="427A45C5"/>
    <w:rsid w:val="4CA54934"/>
    <w:rsid w:val="57460AC2"/>
    <w:rsid w:val="5DFB16FB"/>
    <w:rsid w:val="60DE3FD0"/>
    <w:rsid w:val="62013F63"/>
    <w:rsid w:val="643F337E"/>
    <w:rsid w:val="664B7EA3"/>
    <w:rsid w:val="6F3674CA"/>
    <w:rsid w:val="7E4802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qFormat="1"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qFormat="1" w:uiPriority="99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qFormat="1"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qFormat="1"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17">
    <w:name w:val="Default Paragraph Font"/>
    <w:semiHidden/>
    <w:qFormat/>
    <w:uiPriority w:val="0"/>
  </w:style>
  <w:style w:type="table" w:default="1" w:styleId="1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  <w:rPr>
      <w:rFonts w:ascii="Times New Roman" w:hAnsi="Times New Roman"/>
    </w:rPr>
  </w:style>
  <w:style w:type="paragraph" w:styleId="4">
    <w:name w:val="index 5"/>
    <w:basedOn w:val="1"/>
    <w:next w:val="1"/>
    <w:qFormat/>
    <w:uiPriority w:val="0"/>
    <w:pPr>
      <w:ind w:left="1680"/>
    </w:pPr>
  </w:style>
  <w:style w:type="paragraph" w:styleId="5">
    <w:name w:val="annotation text"/>
    <w:basedOn w:val="1"/>
    <w:semiHidden/>
    <w:unhideWhenUsed/>
    <w:qFormat/>
    <w:uiPriority w:val="99"/>
    <w:pPr>
      <w:jc w:val="left"/>
    </w:pPr>
  </w:style>
  <w:style w:type="paragraph" w:styleId="6">
    <w:name w:val="Body Text Indent"/>
    <w:next w:val="7"/>
    <w:qFormat/>
    <w:uiPriority w:val="0"/>
    <w:pPr>
      <w:widowControl w:val="0"/>
      <w:ind w:firstLine="225" w:firstLineChars="225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paragraph" w:styleId="7">
    <w:name w:val="Normal (Web)"/>
    <w:qFormat/>
    <w:uiPriority w:val="0"/>
    <w:pPr>
      <w:spacing w:before="100" w:beforeAutospacing="1" w:after="100" w:afterAutospacing="1"/>
    </w:pPr>
    <w:rPr>
      <w:rFonts w:ascii="宋体" w:hAnsi="宋体" w:eastAsia="仿宋_GB2312" w:cs="宋体"/>
      <w:sz w:val="24"/>
      <w:szCs w:val="30"/>
      <w:lang w:val="en-US" w:eastAsia="zh-CN" w:bidi="ar-SA"/>
    </w:rPr>
  </w:style>
  <w:style w:type="paragraph" w:styleId="8">
    <w:name w:val="toc 5"/>
    <w:basedOn w:val="1"/>
    <w:next w:val="1"/>
    <w:qFormat/>
    <w:uiPriority w:val="0"/>
    <w:pPr>
      <w:ind w:left="1680"/>
    </w:pPr>
  </w:style>
  <w:style w:type="paragraph" w:styleId="9">
    <w:name w:val="footer"/>
    <w:basedOn w:val="1"/>
    <w:qFormat/>
    <w:uiPriority w:val="0"/>
    <w:pPr>
      <w:tabs>
        <w:tab w:val="center" w:pos="4140"/>
        <w:tab w:val="right" w:pos="8300"/>
      </w:tabs>
      <w:snapToGrid w:val="0"/>
      <w:jc w:val="left"/>
    </w:pPr>
    <w:rPr>
      <w:rFonts w:ascii="Times New Roman" w:hAnsi="Times New Roman" w:cs="Times New Roman"/>
      <w:sz w:val="18"/>
    </w:rPr>
  </w:style>
  <w:style w:type="paragraph" w:styleId="10">
    <w:name w:val="envelope return"/>
    <w:basedOn w:val="1"/>
    <w:qFormat/>
    <w:uiPriority w:val="0"/>
    <w:pPr>
      <w:snapToGrid w:val="0"/>
    </w:pPr>
    <w:rPr>
      <w:rFonts w:ascii="Arial" w:hAnsi="Arial"/>
    </w:rPr>
  </w:style>
  <w:style w:type="paragraph" w:styleId="11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2">
    <w:name w:val="index 9"/>
    <w:basedOn w:val="1"/>
    <w:next w:val="1"/>
    <w:semiHidden/>
    <w:unhideWhenUsed/>
    <w:qFormat/>
    <w:uiPriority w:val="99"/>
    <w:pPr>
      <w:ind w:left="1600" w:leftChars="1600"/>
    </w:pPr>
  </w:style>
  <w:style w:type="paragraph" w:styleId="13">
    <w:name w:val="table of figures"/>
    <w:basedOn w:val="1"/>
    <w:next w:val="1"/>
    <w:qFormat/>
    <w:uiPriority w:val="0"/>
  </w:style>
  <w:style w:type="paragraph" w:styleId="14">
    <w:name w:val="toc 2"/>
    <w:basedOn w:val="1"/>
    <w:next w:val="1"/>
    <w:qFormat/>
    <w:uiPriority w:val="0"/>
    <w:pPr>
      <w:ind w:left="420"/>
    </w:pPr>
  </w:style>
  <w:style w:type="paragraph" w:styleId="15">
    <w:name w:val="Body Text 2"/>
    <w:basedOn w:val="1"/>
    <w:qFormat/>
    <w:uiPriority w:val="0"/>
    <w:pPr>
      <w:spacing w:line="440" w:lineRule="exact"/>
    </w:pPr>
  </w:style>
  <w:style w:type="character" w:styleId="18">
    <w:name w:val="Strong"/>
    <w:basedOn w:val="17"/>
    <w:qFormat/>
    <w:uiPriority w:val="0"/>
    <w:rPr>
      <w:b/>
    </w:rPr>
  </w:style>
  <w:style w:type="paragraph" w:customStyle="1" w:styleId="19">
    <w:name w:val="reader-word-layer reader-word-s3-5"/>
    <w:next w:val="12"/>
    <w:qFormat/>
    <w:uiPriority w:val="0"/>
    <w:pPr>
      <w:spacing w:before="100" w:beforeAutospacing="1" w:after="100" w:afterAutospacing="1"/>
    </w:pPr>
    <w:rPr>
      <w:rFonts w:ascii="宋体" w:hAnsi="Times New Roman" w:eastAsia="宋体" w:cs="宋体"/>
      <w:kern w:val="0"/>
      <w:sz w:val="24"/>
      <w:szCs w:val="24"/>
      <w:lang w:val="en-US" w:eastAsia="zh-CN" w:bidi="ar-SA"/>
    </w:rPr>
  </w:style>
  <w:style w:type="paragraph" w:customStyle="1" w:styleId="20">
    <w:name w:val="reader-word-layer reader-word-s2-1"/>
    <w:next w:val="4"/>
    <w:qFormat/>
    <w:uiPriority w:val="0"/>
    <w:pPr>
      <w:spacing w:before="100" w:beforeAutospacing="1" w:after="100" w:afterAutospacing="1"/>
    </w:pPr>
    <w:rPr>
      <w:rFonts w:ascii="宋体" w:hAnsi="Times New Roman" w:eastAsia="宋体" w:cs="宋体"/>
      <w:sz w:val="24"/>
      <w:szCs w:val="24"/>
      <w:lang w:val="en-US" w:eastAsia="zh-CN" w:bidi="ar-SA"/>
    </w:rPr>
  </w:style>
  <w:style w:type="paragraph" w:customStyle="1" w:styleId="21">
    <w:name w:val="reader-word-layer reader-word-s3-1"/>
    <w:next w:val="14"/>
    <w:qFormat/>
    <w:uiPriority w:val="0"/>
    <w:pPr>
      <w:spacing w:before="100" w:beforeAutospacing="1" w:after="100" w:afterAutospacing="1"/>
    </w:pPr>
    <w:rPr>
      <w:rFonts w:ascii="宋体" w:hAnsi="Times New Roman" w:eastAsia="宋体" w:cs="宋体"/>
      <w:sz w:val="24"/>
      <w:szCs w:val="24"/>
      <w:lang w:val="en-US" w:eastAsia="zh-CN" w:bidi="ar-SA"/>
    </w:rPr>
  </w:style>
  <w:style w:type="paragraph" w:customStyle="1" w:styleId="22">
    <w:name w:val="reader-word-layer reader-word-s5-1"/>
    <w:next w:val="8"/>
    <w:qFormat/>
    <w:uiPriority w:val="0"/>
    <w:pPr>
      <w:spacing w:before="100" w:beforeAutospacing="1" w:after="100" w:afterAutospacing="1"/>
    </w:pPr>
    <w:rPr>
      <w:rFonts w:ascii="宋体" w:hAnsi="Times New Roman" w:eastAsia="宋体" w:cs="宋体"/>
      <w:sz w:val="24"/>
      <w:szCs w:val="24"/>
      <w:lang w:val="en-US" w:eastAsia="zh-CN" w:bidi="ar-SA"/>
    </w:rPr>
  </w:style>
  <w:style w:type="paragraph" w:customStyle="1" w:styleId="23">
    <w:name w:val="reader-word-layer reader-word-s6-8"/>
    <w:next w:val="9"/>
    <w:qFormat/>
    <w:uiPriority w:val="0"/>
    <w:pPr>
      <w:spacing w:before="100" w:beforeAutospacing="1" w:after="100" w:afterAutospacing="1"/>
    </w:pPr>
    <w:rPr>
      <w:rFonts w:ascii="宋体" w:hAnsi="Times New Roman" w:eastAsia="宋体" w:cs="宋体"/>
      <w:sz w:val="24"/>
      <w:szCs w:val="24"/>
      <w:lang w:val="en-US" w:eastAsia="zh-CN" w:bidi="ar-SA"/>
    </w:rPr>
  </w:style>
  <w:style w:type="paragraph" w:customStyle="1" w:styleId="24">
    <w:name w:val="reader-word-layer reader-word-s6-4"/>
    <w:next w:val="5"/>
    <w:qFormat/>
    <w:uiPriority w:val="0"/>
    <w:pPr>
      <w:spacing w:before="100" w:beforeAutospacing="1" w:after="100" w:afterAutospacing="1"/>
    </w:pPr>
    <w:rPr>
      <w:rFonts w:ascii="宋体" w:hAnsi="Times New Roman" w:eastAsia="宋体" w:cs="宋体"/>
      <w:sz w:val="24"/>
      <w:szCs w:val="24"/>
      <w:lang w:val="en-US" w:eastAsia="zh-CN" w:bidi="ar-SA"/>
    </w:rPr>
  </w:style>
  <w:style w:type="paragraph" w:customStyle="1" w:styleId="25">
    <w:name w:val="reader-word-layer reader-word-s7-3"/>
    <w:next w:val="13"/>
    <w:qFormat/>
    <w:uiPriority w:val="0"/>
    <w:pPr>
      <w:spacing w:before="100" w:beforeAutospacing="1" w:after="100" w:afterAutospacing="1"/>
    </w:pPr>
    <w:rPr>
      <w:rFonts w:ascii="宋体" w:hAnsi="Times New Roman" w:eastAsia="宋体" w:cs="宋体"/>
      <w:sz w:val="24"/>
      <w:szCs w:val="24"/>
      <w:lang w:val="en-US" w:eastAsia="zh-CN" w:bidi="ar-SA"/>
    </w:rPr>
  </w:style>
  <w:style w:type="paragraph" w:customStyle="1" w:styleId="26">
    <w:name w:val="reader-word-layer reader-word-s3-11"/>
    <w:next w:val="10"/>
    <w:qFormat/>
    <w:uiPriority w:val="0"/>
    <w:pPr>
      <w:spacing w:before="100" w:beforeAutospacing="1" w:after="100" w:afterAutospacing="1"/>
    </w:pPr>
    <w:rPr>
      <w:rFonts w:ascii="宋体" w:hAnsi="Times New Roman" w:eastAsia="宋体" w:cs="宋体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12</Pages>
  <Words>5475</Words>
  <Characters>5610</Characters>
  <Lines>0</Lines>
  <Paragraphs>0</Paragraphs>
  <TotalTime>2</TotalTime>
  <ScaleCrop>false</ScaleCrop>
  <LinksUpToDate>false</LinksUpToDate>
  <CharactersWithSpaces>5952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2026-07-27T07:23:00Z</dcterms:created>
  <dc:creator>Administrator</dc:creator>
  <cp:lastModifiedBy>WPS_1783298720</cp:lastModifiedBy>
  <dcterms:modified xsi:type="dcterms:W3CDTF">2026-08-12T11:07:18Z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  <property fmtid="{D5CDD505-2E9C-101B-9397-08002B2CF9AE}" pid="3" name="KSOTemplateDocerSaveRecord">
    <vt:lpwstr>eyJoZGlkIjoiMmNmYTIyNDg4NDc4Y2E5MjM1Y2EyMzFiOWY3ODZkMGEiLCJ1c2VySWQiOiIyMzA2MzI1OTAifQ==</vt:lpwstr>
  </property>
  <property fmtid="{D5CDD505-2E9C-101B-9397-08002B2CF9AE}" pid="4" name="ICV">
    <vt:lpwstr>65FF3709132F433D90C7216A4BB6424D_12</vt:lpwstr>
  </property>
</Properties>
</file>