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版本号：ZJXHZ-ZBDL-2026-01720260703001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宁强县林业局2026年重点区域绿化项目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ZJXHZ-ZBDL-2026-017</w:t>
      </w:r>
      <w:r>
        <w:br/>
      </w:r>
      <w:r>
        <w:br/>
      </w:r>
      <w:r>
        <w:br/>
      </w:r>
    </w:p>
    <w:p>
      <w:pPr>
        <w:pStyle w:val="null3"/>
        <w:jc w:val="center"/>
        <w:outlineLvl w:val="2"/>
      </w:pPr>
      <w:r>
        <w:rPr>
          <w:rFonts w:ascii="仿宋_GB2312" w:hAnsi="仿宋_GB2312" w:cs="仿宋_GB2312" w:eastAsia="仿宋_GB2312"/>
          <w:sz w:val="28"/>
          <w:b/>
        </w:rPr>
        <w:t>宁强县林业局机关</w:t>
      </w:r>
    </w:p>
    <w:p>
      <w:pPr>
        <w:pStyle w:val="null3"/>
        <w:jc w:val="center"/>
        <w:outlineLvl w:val="2"/>
      </w:pPr>
      <w:r>
        <w:rPr>
          <w:rFonts w:ascii="仿宋_GB2312" w:hAnsi="仿宋_GB2312" w:cs="仿宋_GB2312" w:eastAsia="仿宋_GB2312"/>
          <w:sz w:val="28"/>
          <w:b/>
        </w:rPr>
        <w:t>中佳信建设管理集团有限公司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中佳信建设管理集团有限公司</w:t>
      </w:r>
      <w:r>
        <w:rPr>
          <w:rFonts w:ascii="仿宋_GB2312" w:hAnsi="仿宋_GB2312" w:cs="仿宋_GB2312" w:eastAsia="仿宋_GB2312"/>
        </w:rPr>
        <w:t>（以下简称“代理机构”）受</w:t>
      </w:r>
      <w:r>
        <w:rPr>
          <w:rFonts w:ascii="仿宋_GB2312" w:hAnsi="仿宋_GB2312" w:cs="仿宋_GB2312" w:eastAsia="仿宋_GB2312"/>
        </w:rPr>
        <w:t>宁强县林业局机关</w:t>
      </w:r>
      <w:r>
        <w:rPr>
          <w:rFonts w:ascii="仿宋_GB2312" w:hAnsi="仿宋_GB2312" w:cs="仿宋_GB2312" w:eastAsia="仿宋_GB2312"/>
        </w:rPr>
        <w:t>委托，拟对</w:t>
      </w:r>
      <w:r>
        <w:rPr>
          <w:rFonts w:ascii="仿宋_GB2312" w:hAnsi="仿宋_GB2312" w:cs="仿宋_GB2312" w:eastAsia="仿宋_GB2312"/>
        </w:rPr>
        <w:t>宁强县林业局2026年重点区域绿化项目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ZJXHZ-ZBDL-2026-017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宁强县林业局2026年重点区域绿化项目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道路绿化⾥程9429⽶，⽚状绿化29584平⽅⽶，栽植绿化苗⽊9118株。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采购包1（宁强县林业局2026年重点区域绿化项目）：属于专门面向中小企业采购。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承担⺠事责任能⼒的法⼈或其他组织或⾃然⼈：供应商须为独⽴承担⺠事责任能⼒的法⼈或其他组织或⾃然⼈。其中企业法⼈应提供有效的统⼀社会信⽤代码的营业执照，事业法⼈应提供事业单位法⼈证、组织机构代码证等证明⽂件，其他组织应提供合法证明⽂件，⾃然⼈提供⾝份证明⽂件；（材料应清晰可辨并进⾏电⼦签章）</w:t>
      </w:r>
    </w:p>
    <w:p>
      <w:pPr>
        <w:pStyle w:val="null3"/>
      </w:pPr>
      <w:r>
        <w:rPr>
          <w:rFonts w:ascii="仿宋_GB2312" w:hAnsi="仿宋_GB2312" w:cs="仿宋_GB2312" w:eastAsia="仿宋_GB2312"/>
        </w:rPr>
        <w:t>2、授权代表⾝份证明：法定代表⼈亲⾃参与磋商的，需出具法定代表⼈⾝份证明及⾝份证复印件，并与营业执照上信息⼀致；法定代表⼈委托授权代表参与磋商的，需出具法定代表⼈授权书以及授权代表的⾝份证复印件；（材料应清晰可辨并进⾏电⼦签章）</w:t>
      </w:r>
    </w:p>
    <w:p>
      <w:pPr>
        <w:pStyle w:val="null3"/>
      </w:pPr>
      <w:r>
        <w:rPr>
          <w:rFonts w:ascii="仿宋_GB2312" w:hAnsi="仿宋_GB2312" w:cs="仿宋_GB2312" w:eastAsia="仿宋_GB2312"/>
        </w:rPr>
        <w:t>3、汉中市政府采购供应商资格承诺函：供应商应具备健全的财务会计制度、履⾏合同所需的设备和专业技术能⼒、依法缴纳税收和社会保障资⾦，以及参加本项⽬采购活动前3年内经营活动⽆重⼤违法记录；供应商未被列⼊“信⽤中国”⽹站“失信被执⾏⼈”、“重⼤税收违法案件当事⼈名单”中，也未列⼊“中国政府采购⽹”的“政府采购严重违法失信⾏为记录名单”中，（拟参与本项⽬的供应商应按照汉中市财政局《关于全⾯推⾏政府采购供应商基本资格条件承诺制的通知》（汉财办采管〔2024〕20号）⽂件要求，提供《汉中市政府采购供应商资格承诺函》）；（材料应清晰可辨并进⾏电⼦签章）</w:t>
      </w:r>
    </w:p>
    <w:p>
      <w:pPr>
        <w:pStyle w:val="null3"/>
      </w:pPr>
      <w:r>
        <w:rPr>
          <w:rFonts w:ascii="仿宋_GB2312" w:hAnsi="仿宋_GB2312" w:cs="仿宋_GB2312" w:eastAsia="仿宋_GB2312"/>
        </w:rPr>
        <w:t>4、资质要求：供应商须提供相关部⻔颁发的《林草种⼦⽣产经营许可证》或《林⽊种⼦⽣产经营许可证》</w:t>
      </w:r>
    </w:p>
    <w:p>
      <w:pPr>
        <w:pStyle w:val="null3"/>
      </w:pPr>
      <w:r>
        <w:rPr>
          <w:rFonts w:ascii="仿宋_GB2312" w:hAnsi="仿宋_GB2312" w:cs="仿宋_GB2312" w:eastAsia="仿宋_GB2312"/>
        </w:rPr>
        <w:t>5、本项⽬不接受联合体磋商：本项⽬不接受联合体磋商（提供⾮联合体声明）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宁强县林业局机关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宁强县汉源街道办民主街6号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向文何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0916-4221468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中佳信建设管理集团有限公司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汉中市汉台区西环路北段天汉龙城写字楼5楼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0916-8885914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开户名称：中佳信建设管理集团有限公司汉中分公司</w:t>
            </w:r>
          </w:p>
          <w:p>
            <w:pPr>
              <w:pStyle w:val="null3"/>
            </w:pPr>
            <w:r>
              <w:rPr>
                <w:rFonts w:ascii="仿宋_GB2312" w:hAnsi="仿宋_GB2312" w:cs="仿宋_GB2312" w:eastAsia="仿宋_GB2312"/>
              </w:rPr>
              <w:t>开户银行：中国⼯商银⾏股份有限公司汉中西环路⽀⾏</w:t>
            </w:r>
          </w:p>
          <w:p>
            <w:pPr>
              <w:pStyle w:val="null3"/>
            </w:pPr>
            <w:r>
              <w:rPr>
                <w:rFonts w:ascii="仿宋_GB2312" w:hAnsi="仿宋_GB2312" w:cs="仿宋_GB2312" w:eastAsia="仿宋_GB2312"/>
              </w:rPr>
              <w:t>银行账号：2606053909200071312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 号）、国家发展改革委办公厅《关于招标代理服务收费有关问题的通知》（发改办价格［2003］857 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宁强县林业局机关</w:t>
      </w:r>
      <w:r>
        <w:rPr>
          <w:rFonts w:ascii="仿宋_GB2312" w:hAnsi="仿宋_GB2312" w:cs="仿宋_GB2312" w:eastAsia="仿宋_GB2312"/>
        </w:rPr>
        <w:t>和</w:t>
      </w:r>
      <w:r>
        <w:rPr>
          <w:rFonts w:ascii="仿宋_GB2312" w:hAnsi="仿宋_GB2312" w:cs="仿宋_GB2312" w:eastAsia="仿宋_GB2312"/>
        </w:rPr>
        <w:t>中佳信建设管理集团有限公司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宁强县林业局机关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中佳信建设管理集团有限公司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宁强县林业局机关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中佳信建设管理集团有限公司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符合相关标准，验收合格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联系人：蔡工</w:t>
      </w:r>
    </w:p>
    <w:p>
      <w:pPr>
        <w:pStyle w:val="null3"/>
      </w:pPr>
      <w:r>
        <w:rPr>
          <w:rFonts w:ascii="仿宋_GB2312" w:hAnsi="仿宋_GB2312" w:cs="仿宋_GB2312" w:eastAsia="仿宋_GB2312"/>
        </w:rPr>
        <w:t>联系电话：0916-8885914</w:t>
      </w:r>
    </w:p>
    <w:p>
      <w:pPr>
        <w:pStyle w:val="null3"/>
      </w:pPr>
      <w:r>
        <w:rPr>
          <w:rFonts w:ascii="仿宋_GB2312" w:hAnsi="仿宋_GB2312" w:cs="仿宋_GB2312" w:eastAsia="仿宋_GB2312"/>
        </w:rPr>
        <w:t>地址：汉中市汉台区西环路北段天汉⻰城五楼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本项目概况为：道路绿化里程9429米，片状绿化29584平方米，栽植绿化苗木9118株。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道路绿化里程9429米，片状绿化29584平方米，栽植绿化苗木9118株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标的名称：道路绿化里程9429米，片状绿化29584平方米，栽植绿化苗木9118株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pPr>
            <w:r>
              <w:rPr>
                <w:rFonts w:ascii="仿宋_GB2312" w:hAnsi="仿宋_GB2312" w:cs="仿宋_GB2312" w:eastAsia="仿宋_GB2312"/>
                <w:sz w:val="15"/>
              </w:rPr>
              <w:t>一、调查区划</w:t>
            </w:r>
          </w:p>
          <w:p>
            <w:pPr>
              <w:pStyle w:val="null3"/>
              <w:ind w:firstLine="643"/>
            </w:pPr>
            <w:r>
              <w:rPr>
                <w:rFonts w:ascii="仿宋_GB2312" w:hAnsi="仿宋_GB2312" w:cs="仿宋_GB2312" w:eastAsia="仿宋_GB2312"/>
                <w:sz w:val="15"/>
                <w:b/>
              </w:rPr>
              <w:t>1.</w:t>
            </w:r>
            <w:r>
              <w:rPr>
                <w:rFonts w:ascii="仿宋_GB2312" w:hAnsi="仿宋_GB2312" w:cs="仿宋_GB2312" w:eastAsia="仿宋_GB2312"/>
                <w:sz w:val="15"/>
                <w:b/>
              </w:rPr>
              <w:t>项目位置</w:t>
            </w:r>
            <w:r>
              <w:rPr>
                <w:rFonts w:ascii="仿宋_GB2312" w:hAnsi="仿宋_GB2312" w:cs="仿宋_GB2312" w:eastAsia="仿宋_GB2312"/>
                <w:sz w:val="15"/>
              </w:rPr>
              <w:t>：汉中市宁强县毛坝河镇至草川子村公路沿线两侧。</w:t>
            </w:r>
          </w:p>
          <w:p>
            <w:pPr>
              <w:pStyle w:val="null3"/>
              <w:ind w:firstLine="643"/>
            </w:pPr>
            <w:r>
              <w:rPr>
                <w:rFonts w:ascii="仿宋_GB2312" w:hAnsi="仿宋_GB2312" w:cs="仿宋_GB2312" w:eastAsia="仿宋_GB2312"/>
                <w:sz w:val="15"/>
                <w:b/>
              </w:rPr>
              <w:t>2.区划布局</w:t>
            </w:r>
            <w:r>
              <w:rPr>
                <w:rFonts w:ascii="仿宋_GB2312" w:hAnsi="仿宋_GB2312" w:cs="仿宋_GB2312" w:eastAsia="仿宋_GB2312"/>
                <w:sz w:val="15"/>
              </w:rPr>
              <w:t>：</w:t>
            </w:r>
          </w:p>
          <w:p>
            <w:pPr>
              <w:pStyle w:val="null3"/>
              <w:ind w:firstLine="643"/>
            </w:pPr>
            <w:r>
              <w:rPr>
                <w:rFonts w:ascii="仿宋_GB2312" w:hAnsi="仿宋_GB2312" w:cs="仿宋_GB2312" w:eastAsia="仿宋_GB2312"/>
                <w:sz w:val="15"/>
                <w:b/>
              </w:rPr>
              <w:t>路段划分</w:t>
            </w:r>
            <w:r>
              <w:rPr>
                <w:rFonts w:ascii="仿宋_GB2312" w:hAnsi="仿宋_GB2312" w:cs="仿宋_GB2312" w:eastAsia="仿宋_GB2312"/>
                <w:sz w:val="15"/>
              </w:rPr>
              <w:t>：绿化里程总长</w:t>
            </w:r>
            <w:r>
              <w:rPr>
                <w:rFonts w:ascii="仿宋_GB2312" w:hAnsi="仿宋_GB2312" w:cs="仿宋_GB2312" w:eastAsia="仿宋_GB2312"/>
                <w:sz w:val="15"/>
              </w:rPr>
              <w:t>9429米（两侧合计）。根据道路两侧实际宽度、视线条件和周边环境，将绿化区划分为标准栽植段、节点景观段和边坡防护段。</w:t>
            </w:r>
          </w:p>
          <w:p>
            <w:pPr>
              <w:pStyle w:val="null3"/>
              <w:ind w:firstLine="643"/>
            </w:pPr>
            <w:r>
              <w:rPr>
                <w:rFonts w:ascii="仿宋_GB2312" w:hAnsi="仿宋_GB2312" w:cs="仿宋_GB2312" w:eastAsia="仿宋_GB2312"/>
                <w:sz w:val="15"/>
                <w:b/>
              </w:rPr>
              <w:t>栽植方式</w:t>
            </w:r>
            <w:r>
              <w:rPr>
                <w:rFonts w:ascii="仿宋_GB2312" w:hAnsi="仿宋_GB2312" w:cs="仿宋_GB2312" w:eastAsia="仿宋_GB2312"/>
                <w:sz w:val="15"/>
              </w:rPr>
              <w:t>：公路两侧采用</w:t>
            </w:r>
            <w:r>
              <w:rPr>
                <w:rFonts w:ascii="仿宋_GB2312" w:hAnsi="仿宋_GB2312" w:cs="仿宋_GB2312" w:eastAsia="仿宋_GB2312"/>
                <w:sz w:val="15"/>
              </w:rPr>
              <w:t>“乔灌搭配、株间混交”的模式，沿公路两侧单排或块状栽植。片状绿化采用行间混交或与原有树种灵活配置。</w:t>
            </w:r>
          </w:p>
          <w:p>
            <w:pPr>
              <w:pStyle w:val="null3"/>
              <w:ind w:firstLine="643"/>
            </w:pPr>
            <w:r>
              <w:rPr>
                <w:rFonts w:ascii="仿宋_GB2312" w:hAnsi="仿宋_GB2312" w:cs="仿宋_GB2312" w:eastAsia="仿宋_GB2312"/>
                <w:sz w:val="15"/>
                <w:b/>
              </w:rPr>
              <w:t>3.</w:t>
            </w:r>
            <w:r>
              <w:rPr>
                <w:rFonts w:ascii="仿宋_GB2312" w:hAnsi="仿宋_GB2312" w:cs="仿宋_GB2312" w:eastAsia="仿宋_GB2312"/>
                <w:sz w:val="15"/>
              </w:rPr>
              <w:t>本次共区划</w:t>
            </w:r>
            <w:r>
              <w:rPr>
                <w:rFonts w:ascii="仿宋_GB2312" w:hAnsi="仿宋_GB2312" w:cs="仿宋_GB2312" w:eastAsia="仿宋_GB2312"/>
                <w:sz w:val="15"/>
              </w:rPr>
              <w:t>58个作业小班，其中主要沿毛坝河至草川子公路两侧绿化56个小班，两侧合计绿化里程9429米；片状造林小班2个，绿化面积29584平方米（折合44.</w:t>
            </w:r>
            <w:r>
              <w:rPr>
                <w:rFonts w:ascii="仿宋_GB2312" w:hAnsi="仿宋_GB2312" w:cs="仿宋_GB2312" w:eastAsia="仿宋_GB2312"/>
                <w:sz w:val="15"/>
              </w:rPr>
              <w:t>4</w:t>
            </w:r>
            <w:r>
              <w:rPr>
                <w:rFonts w:ascii="仿宋_GB2312" w:hAnsi="仿宋_GB2312" w:cs="仿宋_GB2312" w:eastAsia="仿宋_GB2312"/>
                <w:sz w:val="15"/>
              </w:rPr>
              <w:t>亩）。</w:t>
            </w:r>
          </w:p>
          <w:p>
            <w:pPr>
              <w:pStyle w:val="null3"/>
              <w:ind w:firstLine="640"/>
            </w:pPr>
            <w:r>
              <w:rPr>
                <w:rFonts w:ascii="仿宋_GB2312" w:hAnsi="仿宋_GB2312" w:cs="仿宋_GB2312" w:eastAsia="仿宋_GB2312"/>
                <w:sz w:val="15"/>
              </w:rPr>
              <w:t>二、绿化方案</w:t>
            </w:r>
          </w:p>
          <w:p>
            <w:pPr>
              <w:pStyle w:val="null3"/>
              <w:ind w:firstLine="640"/>
            </w:pPr>
            <w:r>
              <w:rPr>
                <w:rFonts w:ascii="仿宋_GB2312" w:hAnsi="仿宋_GB2312" w:cs="仿宋_GB2312" w:eastAsia="仿宋_GB2312"/>
                <w:sz w:val="15"/>
              </w:rPr>
              <w:t>结合绿化区域地块立地条件和实际情况，公路两侧本次设计为单侧单排种植，考近山体道路一侧，栽植品种为</w:t>
            </w:r>
            <w:r>
              <w:rPr>
                <w:rFonts w:ascii="仿宋_GB2312" w:hAnsi="仿宋_GB2312" w:cs="仿宋_GB2312" w:eastAsia="仿宋_GB2312"/>
                <w:sz w:val="15"/>
              </w:rPr>
              <w:t>红叶石楠球，株距</w:t>
            </w:r>
            <w:r>
              <w:rPr>
                <w:rFonts w:ascii="仿宋_GB2312" w:hAnsi="仿宋_GB2312" w:cs="仿宋_GB2312" w:eastAsia="仿宋_GB2312"/>
                <w:sz w:val="15"/>
              </w:rPr>
              <w:t>2米</w:t>
            </w:r>
            <w:r>
              <w:rPr>
                <w:rFonts w:ascii="仿宋_GB2312" w:hAnsi="仿宋_GB2312" w:cs="仿宋_GB2312" w:eastAsia="仿宋_GB2312"/>
                <w:sz w:val="15"/>
              </w:rPr>
              <w:t>；道路外侧</w:t>
            </w:r>
            <w:r>
              <w:rPr>
                <w:rFonts w:ascii="仿宋_GB2312" w:hAnsi="仿宋_GB2312" w:cs="仿宋_GB2312" w:eastAsia="仿宋_GB2312"/>
                <w:sz w:val="15"/>
              </w:rPr>
              <w:t>紫薇</w:t>
            </w:r>
            <w:r>
              <w:rPr>
                <w:rFonts w:ascii="仿宋_GB2312" w:hAnsi="仿宋_GB2312" w:cs="仿宋_GB2312" w:eastAsia="仿宋_GB2312"/>
                <w:sz w:val="15"/>
              </w:rPr>
              <w:t>（珙桐）</w:t>
            </w:r>
            <w:r>
              <w:rPr>
                <w:rFonts w:ascii="仿宋_GB2312" w:hAnsi="仿宋_GB2312" w:cs="仿宋_GB2312" w:eastAsia="仿宋_GB2312"/>
                <w:sz w:val="15"/>
              </w:rPr>
              <w:t>和红叶石楠球交替栽植，株距</w:t>
            </w:r>
            <w:r>
              <w:rPr>
                <w:rFonts w:ascii="仿宋_GB2312" w:hAnsi="仿宋_GB2312" w:cs="仿宋_GB2312" w:eastAsia="仿宋_GB2312"/>
                <w:sz w:val="15"/>
              </w:rPr>
              <w:t>2米，实际施工中若遇狭窄路段可调整为点状种植。片状造林根据实际地形和原有树种营造混交林。</w:t>
            </w:r>
            <w:r>
              <w:rPr>
                <w:rFonts w:ascii="仿宋_GB2312" w:hAnsi="仿宋_GB2312" w:cs="仿宋_GB2312" w:eastAsia="仿宋_GB2312"/>
                <w:sz w:val="15"/>
              </w:rPr>
              <w:t xml:space="preserve"> </w:t>
            </w:r>
          </w:p>
          <w:p>
            <w:pPr>
              <w:pStyle w:val="null3"/>
              <w:ind w:left="645"/>
            </w:pPr>
            <w:r>
              <w:rPr>
                <w:rFonts w:ascii="仿宋_GB2312" w:hAnsi="仿宋_GB2312" w:cs="仿宋_GB2312" w:eastAsia="仿宋_GB2312"/>
                <w:sz w:val="15"/>
                <w:b/>
              </w:rPr>
              <w:t>（一）树种选择：</w:t>
            </w:r>
          </w:p>
          <w:p>
            <w:pPr>
              <w:pStyle w:val="null3"/>
              <w:ind w:firstLine="643"/>
            </w:pPr>
            <w:r>
              <w:rPr>
                <w:rFonts w:ascii="仿宋_GB2312" w:hAnsi="仿宋_GB2312" w:cs="仿宋_GB2312" w:eastAsia="仿宋_GB2312"/>
                <w:sz w:val="15"/>
                <w:b/>
              </w:rPr>
              <w:t>1.主要树种：</w:t>
            </w:r>
            <w:r>
              <w:rPr>
                <w:rFonts w:ascii="仿宋_GB2312" w:hAnsi="仿宋_GB2312" w:cs="仿宋_GB2312" w:eastAsia="仿宋_GB2312"/>
                <w:sz w:val="15"/>
              </w:rPr>
              <w:t>紫薇、珙桐、桂花、樱花、红叶石楠球。</w:t>
            </w:r>
          </w:p>
          <w:p>
            <w:pPr>
              <w:pStyle w:val="null3"/>
              <w:ind w:firstLine="643"/>
            </w:pPr>
            <w:r>
              <w:rPr>
                <w:rFonts w:ascii="仿宋_GB2312" w:hAnsi="仿宋_GB2312" w:cs="仿宋_GB2312" w:eastAsia="仿宋_GB2312"/>
                <w:sz w:val="15"/>
                <w:b/>
              </w:rPr>
              <w:t>2.配置模式：</w:t>
            </w:r>
            <w:r>
              <w:rPr>
                <w:rFonts w:ascii="仿宋_GB2312" w:hAnsi="仿宋_GB2312" w:cs="仿宋_GB2312" w:eastAsia="仿宋_GB2312"/>
                <w:sz w:val="15"/>
              </w:rPr>
              <w:t>为形成连续且富有变化的景观，设计采用</w:t>
            </w:r>
            <w:r>
              <w:rPr>
                <w:rFonts w:ascii="仿宋_GB2312" w:hAnsi="仿宋_GB2312" w:cs="仿宋_GB2312" w:eastAsia="仿宋_GB2312"/>
                <w:sz w:val="15"/>
              </w:rPr>
              <w:t>“间隔交替”或“分段聚焦”的方式。</w:t>
            </w:r>
          </w:p>
          <w:p>
            <w:pPr>
              <w:pStyle w:val="null3"/>
              <w:ind w:firstLine="643"/>
            </w:pPr>
            <w:r>
              <w:rPr>
                <w:rFonts w:ascii="仿宋_GB2312" w:hAnsi="仿宋_GB2312" w:cs="仿宋_GB2312" w:eastAsia="仿宋_GB2312"/>
                <w:sz w:val="15"/>
                <w:b/>
              </w:rPr>
              <w:t>模式一</w:t>
            </w:r>
            <w:r>
              <w:rPr>
                <w:rFonts w:ascii="仿宋_GB2312" w:hAnsi="仿宋_GB2312" w:cs="仿宋_GB2312" w:eastAsia="仿宋_GB2312"/>
                <w:sz w:val="15"/>
              </w:rPr>
              <w:t>（交替种植）：紫薇（珙桐）与红叶石楠交替种植，形成韵律感。</w:t>
            </w:r>
          </w:p>
          <w:p>
            <w:pPr>
              <w:pStyle w:val="null3"/>
              <w:ind w:firstLine="643"/>
            </w:pPr>
            <w:r>
              <w:rPr>
                <w:rFonts w:ascii="仿宋_GB2312" w:hAnsi="仿宋_GB2312" w:cs="仿宋_GB2312" w:eastAsia="仿宋_GB2312"/>
                <w:sz w:val="15"/>
                <w:b/>
              </w:rPr>
              <w:t>模式二</w:t>
            </w:r>
            <w:r>
              <w:rPr>
                <w:rFonts w:ascii="仿宋_GB2312" w:hAnsi="仿宋_GB2312" w:cs="仿宋_GB2312" w:eastAsia="仿宋_GB2312"/>
                <w:sz w:val="15"/>
              </w:rPr>
              <w:t>（块状种植）：路边面积较大的空地，栽植珙桐、桂花及樱花。</w:t>
            </w:r>
          </w:p>
          <w:p>
            <w:pPr>
              <w:pStyle w:val="null3"/>
              <w:ind w:firstLine="643"/>
            </w:pPr>
            <w:r>
              <w:rPr>
                <w:rFonts w:ascii="仿宋_GB2312" w:hAnsi="仿宋_GB2312" w:cs="仿宋_GB2312" w:eastAsia="仿宋_GB2312"/>
                <w:sz w:val="15"/>
                <w:b/>
              </w:rPr>
              <w:t>3.栽植密度：</w:t>
            </w:r>
            <w:r>
              <w:rPr>
                <w:rFonts w:ascii="仿宋_GB2312" w:hAnsi="仿宋_GB2312" w:cs="仿宋_GB2312" w:eastAsia="仿宋_GB2312"/>
                <w:sz w:val="15"/>
              </w:rPr>
              <w:t>公路两侧绿化，红叶石楠球或紫薇（珙桐）和红叶石楠球交替栽植，株距</w:t>
            </w:r>
            <w:r>
              <w:rPr>
                <w:rFonts w:ascii="仿宋_GB2312" w:hAnsi="仿宋_GB2312" w:cs="仿宋_GB2312" w:eastAsia="仿宋_GB2312"/>
                <w:sz w:val="15"/>
              </w:rPr>
              <w:t>2米。</w:t>
            </w:r>
            <w:r>
              <w:rPr>
                <w:rFonts w:ascii="仿宋_GB2312" w:hAnsi="仿宋_GB2312" w:cs="仿宋_GB2312" w:eastAsia="仿宋_GB2312"/>
                <w:sz w:val="15"/>
              </w:rPr>
              <w:t xml:space="preserve"> </w:t>
            </w:r>
            <w:r>
              <w:rPr>
                <w:rFonts w:ascii="仿宋_GB2312" w:hAnsi="仿宋_GB2312" w:cs="仿宋_GB2312" w:eastAsia="仿宋_GB2312"/>
                <w:sz w:val="15"/>
              </w:rPr>
              <w:t>片状造林密度株行距为</w:t>
            </w:r>
            <w:r>
              <w:rPr>
                <w:rFonts w:ascii="仿宋_GB2312" w:hAnsi="仿宋_GB2312" w:cs="仿宋_GB2312" w:eastAsia="仿宋_GB2312"/>
                <w:sz w:val="15"/>
              </w:rPr>
              <w:t>2×3米或3×3米。</w:t>
            </w:r>
          </w:p>
          <w:p>
            <w:pPr>
              <w:pStyle w:val="null3"/>
              <w:ind w:firstLine="640"/>
            </w:pPr>
            <w:r>
              <w:rPr>
                <w:rFonts w:ascii="仿宋_GB2312" w:hAnsi="仿宋_GB2312" w:cs="仿宋_GB2312" w:eastAsia="仿宋_GB2312"/>
                <w:sz w:val="15"/>
              </w:rPr>
              <w:t>三、主要造林技术措施</w:t>
            </w:r>
          </w:p>
          <w:p>
            <w:pPr>
              <w:pStyle w:val="null3"/>
              <w:ind w:left="645"/>
            </w:pPr>
            <w:r>
              <w:rPr>
                <w:rFonts w:ascii="仿宋_GB2312" w:hAnsi="仿宋_GB2312" w:cs="仿宋_GB2312" w:eastAsia="仿宋_GB2312"/>
                <w:sz w:val="15"/>
                <w:b/>
              </w:rPr>
              <w:t>（一）整地</w:t>
            </w:r>
          </w:p>
          <w:p>
            <w:pPr>
              <w:pStyle w:val="null3"/>
              <w:ind w:firstLine="643"/>
            </w:pPr>
            <w:r>
              <w:rPr>
                <w:rFonts w:ascii="仿宋_GB2312" w:hAnsi="仿宋_GB2312" w:cs="仿宋_GB2312" w:eastAsia="仿宋_GB2312"/>
                <w:sz w:val="15"/>
                <w:b/>
              </w:rPr>
              <w:t>1.平整土地：</w:t>
            </w:r>
            <w:r>
              <w:rPr>
                <w:rFonts w:ascii="仿宋_GB2312" w:hAnsi="仿宋_GB2312" w:cs="仿宋_GB2312" w:eastAsia="仿宋_GB2312"/>
                <w:sz w:val="15"/>
              </w:rPr>
              <w:t>对绿化区域进行全面平整，清除区域内的杂草、石块、建筑垃圾等杂物，集中堆放、妥善处理，避免污染环境。</w:t>
            </w:r>
            <w:r>
              <w:rPr>
                <w:rFonts w:ascii="仿宋_GB2312" w:hAnsi="仿宋_GB2312" w:cs="仿宋_GB2312" w:eastAsia="仿宋_GB2312"/>
                <w:sz w:val="15"/>
              </w:rPr>
              <w:t>对高低不平的地块进行机械平整，确保地面平整，利于灌溉和美观。</w:t>
            </w:r>
          </w:p>
          <w:p>
            <w:pPr>
              <w:pStyle w:val="null3"/>
              <w:ind w:firstLine="643"/>
            </w:pPr>
            <w:r>
              <w:rPr>
                <w:rFonts w:ascii="仿宋_GB2312" w:hAnsi="仿宋_GB2312" w:cs="仿宋_GB2312" w:eastAsia="仿宋_GB2312"/>
                <w:sz w:val="15"/>
                <w:b/>
              </w:rPr>
              <w:t>2.客土回填：</w:t>
            </w:r>
            <w:r>
              <w:rPr>
                <w:rFonts w:ascii="仿宋_GB2312" w:hAnsi="仿宋_GB2312" w:cs="仿宋_GB2312" w:eastAsia="仿宋_GB2312"/>
                <w:sz w:val="15"/>
              </w:rPr>
              <w:t>因公路沿线部分土壤贫瘠、质地不佳、</w:t>
            </w:r>
            <w:r>
              <w:rPr>
                <w:rFonts w:ascii="仿宋_GB2312" w:hAnsi="仿宋_GB2312" w:cs="仿宋_GB2312" w:eastAsia="仿宋_GB2312"/>
                <w:sz w:val="15"/>
              </w:rPr>
              <w:t>pH值不符，需全部外运客土回填栽植穴。客土选择肥沃、疏松、透气的沙壤土或壤土，不含杂质、石块和有害污染物，pH值控制在6.0-7.5，符合紫薇、珙桐、红叶石楠球、桂花及樱花生长需求。</w:t>
            </w:r>
          </w:p>
          <w:p>
            <w:pPr>
              <w:pStyle w:val="null3"/>
              <w:ind w:firstLine="643"/>
            </w:pPr>
            <w:r>
              <w:rPr>
                <w:rFonts w:ascii="仿宋_GB2312" w:hAnsi="仿宋_GB2312" w:cs="仿宋_GB2312" w:eastAsia="仿宋_GB2312"/>
                <w:sz w:val="15"/>
                <w:b/>
              </w:rPr>
              <w:t>3.挖穴：</w:t>
            </w:r>
            <w:r>
              <w:rPr>
                <w:rFonts w:ascii="仿宋_GB2312" w:hAnsi="仿宋_GB2312" w:cs="仿宋_GB2312" w:eastAsia="仿宋_GB2312"/>
                <w:sz w:val="15"/>
              </w:rPr>
              <w:t>根据苗木规格开挖种植穴，确保种植穴大小适中，满足苗木根系生长需求。种植穴规格为</w:t>
            </w:r>
            <w:r>
              <w:rPr>
                <w:rFonts w:ascii="仿宋_GB2312" w:hAnsi="仿宋_GB2312" w:cs="仿宋_GB2312" w:eastAsia="仿宋_GB2312"/>
                <w:sz w:val="15"/>
              </w:rPr>
              <w:t>40厘米×40厘米×40厘米；种植穴开挖后，在穴底铺设10厘米厚的腐熟有机肥（羊粪、鸡粪等）作为底肥，与客土混合均匀，提升土壤肥力，底肥铺设后覆盖5厘米厚客土，避免苗木根系直接接触肥料造成烧根。</w:t>
            </w:r>
          </w:p>
          <w:p>
            <w:pPr>
              <w:pStyle w:val="null3"/>
              <w:ind w:left="645"/>
            </w:pPr>
            <w:r>
              <w:rPr>
                <w:rFonts w:ascii="仿宋_GB2312" w:hAnsi="仿宋_GB2312" w:cs="仿宋_GB2312" w:eastAsia="仿宋_GB2312"/>
                <w:sz w:val="15"/>
                <w:b/>
              </w:rPr>
              <w:t>（二）苗木处理</w:t>
            </w:r>
          </w:p>
          <w:p>
            <w:pPr>
              <w:pStyle w:val="null3"/>
              <w:ind w:firstLine="643"/>
            </w:pPr>
            <w:r>
              <w:rPr>
                <w:rFonts w:ascii="仿宋_GB2312" w:hAnsi="仿宋_GB2312" w:cs="仿宋_GB2312" w:eastAsia="仿宋_GB2312"/>
                <w:sz w:val="15"/>
                <w:b/>
              </w:rPr>
              <w:t>1.起苗与运输：</w:t>
            </w:r>
            <w:r>
              <w:rPr>
                <w:rFonts w:ascii="仿宋_GB2312" w:hAnsi="仿宋_GB2312" w:cs="仿宋_GB2312" w:eastAsia="仿宋_GB2312"/>
                <w:sz w:val="15"/>
              </w:rPr>
              <w:t>苗木应随起随栽，根系蘸泥浆保湿。长途运输需遮盖防风，确保根系完整、树冠无损伤。</w:t>
            </w:r>
          </w:p>
          <w:p>
            <w:pPr>
              <w:pStyle w:val="null3"/>
              <w:ind w:firstLine="643"/>
            </w:pPr>
            <w:r>
              <w:rPr>
                <w:rFonts w:ascii="仿宋_GB2312" w:hAnsi="仿宋_GB2312" w:cs="仿宋_GB2312" w:eastAsia="仿宋_GB2312"/>
                <w:sz w:val="15"/>
                <w:b/>
              </w:rPr>
              <w:t>2.修剪：</w:t>
            </w:r>
            <w:r>
              <w:rPr>
                <w:rFonts w:ascii="仿宋_GB2312" w:hAnsi="仿宋_GB2312" w:cs="仿宋_GB2312" w:eastAsia="仿宋_GB2312"/>
                <w:sz w:val="15"/>
              </w:rPr>
              <w:t>栽植前进行适度修剪，去除枯枝、病弱枝及过密枝。紫薇、珙桐、桂花、樱花修剪以保持树形为主；红叶石楠球可适当疏枝，减少水分蒸发。</w:t>
            </w:r>
          </w:p>
          <w:p>
            <w:pPr>
              <w:pStyle w:val="null3"/>
              <w:ind w:left="645"/>
            </w:pPr>
            <w:r>
              <w:rPr>
                <w:rFonts w:ascii="仿宋_GB2312" w:hAnsi="仿宋_GB2312" w:cs="仿宋_GB2312" w:eastAsia="仿宋_GB2312"/>
                <w:sz w:val="15"/>
                <w:b/>
              </w:rPr>
              <w:t>（三）栽植</w:t>
            </w:r>
          </w:p>
          <w:p>
            <w:pPr>
              <w:pStyle w:val="null3"/>
              <w:ind w:firstLine="640"/>
            </w:pPr>
            <w:r>
              <w:rPr>
                <w:rFonts w:ascii="仿宋_GB2312" w:hAnsi="仿宋_GB2312" w:cs="仿宋_GB2312" w:eastAsia="仿宋_GB2312"/>
                <w:sz w:val="15"/>
              </w:rPr>
              <w:t>全部采用植苗造林，栽植时间为</w:t>
            </w:r>
            <w:r>
              <w:rPr>
                <w:rFonts w:ascii="仿宋_GB2312" w:hAnsi="仿宋_GB2312" w:cs="仿宋_GB2312" w:eastAsia="仿宋_GB2312"/>
                <w:sz w:val="15"/>
              </w:rPr>
              <w:t>2026年秋冬季。栽植时根系舒展，不可窝根或露根，分层踩实，保留15厘米左右深的围堰，以利于蓄水保墒，如使用容器苗，栽植前需去掉容器后栽植。具体应做到以下几个要点:</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1）选用长势旺盛、发育良好、干茎粗壮、根系发达、顶芽饱满、无病虫害、无机械损伤的苗木，凡是感染病害遭受虫害，受机械损伤，须根短少，主根过短，梢部没有木质化，以及起苗后在假植、运输过程中发生霉烂的苗木，都不得使用。为了保证栽植成活率，栽植前应对苗木地上部分进行必要的疏枝、修剪等处理，进行修根、蘸泥浆、浸水等方法处理。</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2）未能当天栽种的裸根苗和1～2天内未能栽完的土球苗，宜采取假植措施。裸根苗按列稍斜放置，挖土埋根；带土球苗集中放好，四周培土。土壤过干时适量浇水和叶面喷水。</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3）栽植要作到“苗端、根展、深栽、砸实”。</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4）严格按照“三埋两踩一提苗”的栽植技术进行栽植。</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5）栽后要及时浇水，头遍水要浇透，第三日再浇二遍水，第七日浇第三遍水，待水下渗后覆土。</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6）地径3cm以上的苗木，以及栽植季节大风易发地段的苗木，栽植后宜设支撑，防止受风倒伏。</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7）造林时应以科技为依托，广泛采用生根粉、保水剂和地膜覆盖技术，提高造林成活率</w:t>
            </w:r>
          </w:p>
          <w:p>
            <w:pPr>
              <w:pStyle w:val="null3"/>
              <w:ind w:left="645"/>
            </w:pPr>
            <w:r>
              <w:rPr>
                <w:rFonts w:ascii="仿宋_GB2312" w:hAnsi="仿宋_GB2312" w:cs="仿宋_GB2312" w:eastAsia="仿宋_GB2312"/>
                <w:sz w:val="15"/>
                <w:b/>
              </w:rPr>
              <w:t>（四）苗木规格及需要量</w:t>
            </w:r>
          </w:p>
          <w:p>
            <w:pPr>
              <w:pStyle w:val="null3"/>
              <w:ind w:firstLine="643"/>
            </w:pPr>
            <w:r>
              <w:rPr>
                <w:rFonts w:ascii="仿宋_GB2312" w:hAnsi="仿宋_GB2312" w:cs="仿宋_GB2312" w:eastAsia="仿宋_GB2312"/>
                <w:sz w:val="15"/>
                <w:b/>
              </w:rPr>
              <w:t>1.苗木规格</w:t>
            </w:r>
          </w:p>
          <w:p>
            <w:pPr>
              <w:pStyle w:val="null3"/>
              <w:ind w:firstLine="640"/>
            </w:pPr>
            <w:r>
              <w:rPr>
                <w:rFonts w:ascii="仿宋_GB2312" w:hAnsi="仿宋_GB2312" w:cs="仿宋_GB2312" w:eastAsia="仿宋_GB2312"/>
                <w:sz w:val="15"/>
              </w:rPr>
              <w:t>苗木规格确定要求如下：</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1）乔木宜选择适度规格的苗木，除必须截干栽植的树种外，应使用全冠苗。</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2）灌木、藤本宜选择苗龄 2 年以上的苗木。</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3）片林绿化不宜使用大规格苗木。</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4）项目造林用苗必须采用林木种苗管理部门组织供应或经其检验的具有“两证一签”(即检疫证、合格证、标签)，符合陕西省《主要造林树种苗木质量分级》DB61/T 378-2006标准的II级以上优质苗木。具体苗木标准如下:</w:t>
            </w:r>
          </w:p>
          <w:p>
            <w:pPr>
              <w:pStyle w:val="null3"/>
              <w:ind w:firstLine="640"/>
            </w:pPr>
            <w:r>
              <w:rPr>
                <w:rFonts w:ascii="仿宋_GB2312" w:hAnsi="仿宋_GB2312" w:cs="仿宋_GB2312" w:eastAsia="仿宋_GB2312"/>
                <w:sz w:val="15"/>
              </w:rPr>
              <w:t>紫薇</w:t>
            </w:r>
            <w:r>
              <w:rPr>
                <w:rFonts w:ascii="仿宋_GB2312" w:hAnsi="仿宋_GB2312" w:cs="仿宋_GB2312" w:eastAsia="仿宋_GB2312"/>
                <w:sz w:val="15"/>
              </w:rPr>
              <w:t>:全冠，米径≥4厘米，树型良好，根部带土球≥30厘米，草绳包扎。</w:t>
            </w:r>
          </w:p>
          <w:p>
            <w:pPr>
              <w:pStyle w:val="null3"/>
              <w:ind w:firstLine="640"/>
            </w:pPr>
            <w:r>
              <w:rPr>
                <w:rFonts w:ascii="仿宋_GB2312" w:hAnsi="仿宋_GB2312" w:cs="仿宋_GB2312" w:eastAsia="仿宋_GB2312"/>
                <w:sz w:val="15"/>
              </w:rPr>
              <w:t>珙桐：全冠，米径</w:t>
            </w:r>
            <w:r>
              <w:rPr>
                <w:rFonts w:ascii="仿宋_GB2312" w:hAnsi="仿宋_GB2312" w:cs="仿宋_GB2312" w:eastAsia="仿宋_GB2312"/>
                <w:sz w:val="15"/>
              </w:rPr>
              <w:t>≥4厘米，树型良好，根部带土球≥30厘米，草绳包扎。</w:t>
            </w:r>
          </w:p>
          <w:p>
            <w:pPr>
              <w:pStyle w:val="null3"/>
              <w:ind w:firstLine="640"/>
            </w:pPr>
            <w:r>
              <w:rPr>
                <w:rFonts w:ascii="仿宋_GB2312" w:hAnsi="仿宋_GB2312" w:cs="仿宋_GB2312" w:eastAsia="仿宋_GB2312"/>
                <w:sz w:val="15"/>
              </w:rPr>
              <w:t>桂花：全冠，米径</w:t>
            </w:r>
            <w:r>
              <w:rPr>
                <w:rFonts w:ascii="仿宋_GB2312" w:hAnsi="仿宋_GB2312" w:cs="仿宋_GB2312" w:eastAsia="仿宋_GB2312"/>
                <w:sz w:val="15"/>
              </w:rPr>
              <w:t>≥4厘米，树型良好，根部带土球≥30厘米，草绳包扎。</w:t>
            </w:r>
          </w:p>
          <w:p>
            <w:pPr>
              <w:pStyle w:val="null3"/>
              <w:ind w:firstLine="640"/>
            </w:pPr>
            <w:r>
              <w:rPr>
                <w:rFonts w:ascii="仿宋_GB2312" w:hAnsi="仿宋_GB2312" w:cs="仿宋_GB2312" w:eastAsia="仿宋_GB2312"/>
                <w:sz w:val="15"/>
              </w:rPr>
              <w:t>樱花：全冠，米径</w:t>
            </w:r>
            <w:r>
              <w:rPr>
                <w:rFonts w:ascii="仿宋_GB2312" w:hAnsi="仿宋_GB2312" w:cs="仿宋_GB2312" w:eastAsia="仿宋_GB2312"/>
                <w:sz w:val="15"/>
              </w:rPr>
              <w:t>≥4厘米，树型良好，根部带土球≥30厘米，草绳包扎。</w:t>
            </w:r>
          </w:p>
          <w:p>
            <w:pPr>
              <w:pStyle w:val="null3"/>
              <w:ind w:firstLine="640"/>
            </w:pPr>
            <w:r>
              <w:rPr>
                <w:rFonts w:ascii="仿宋_GB2312" w:hAnsi="仿宋_GB2312" w:cs="仿宋_GB2312" w:eastAsia="仿宋_GB2312"/>
                <w:sz w:val="15"/>
              </w:rPr>
              <w:t>红叶石楠球</w:t>
            </w:r>
            <w:r>
              <w:rPr>
                <w:rFonts w:ascii="仿宋_GB2312" w:hAnsi="仿宋_GB2312" w:cs="仿宋_GB2312" w:eastAsia="仿宋_GB2312"/>
                <w:sz w:val="15"/>
              </w:rPr>
              <w:t>:</w:t>
            </w:r>
            <w:r>
              <w:rPr>
                <w:rFonts w:ascii="仿宋_GB2312" w:hAnsi="仿宋_GB2312" w:cs="仿宋_GB2312" w:eastAsia="仿宋_GB2312"/>
                <w:sz w:val="15"/>
              </w:rPr>
              <w:t xml:space="preserve"> </w:t>
            </w:r>
            <w:r>
              <w:rPr>
                <w:rFonts w:ascii="仿宋_GB2312" w:hAnsi="仿宋_GB2312" w:cs="仿宋_GB2312" w:eastAsia="仿宋_GB2312"/>
                <w:sz w:val="15"/>
              </w:rPr>
              <w:t>全冠，冠径</w:t>
            </w:r>
            <w:r>
              <w:rPr>
                <w:rFonts w:ascii="仿宋_GB2312" w:hAnsi="仿宋_GB2312" w:cs="仿宋_GB2312" w:eastAsia="仿宋_GB2312"/>
                <w:sz w:val="15"/>
              </w:rPr>
              <w:t>≥80厘米，冠形饱满，根部带土球&gt;30厘米，草绳包扎。</w:t>
            </w:r>
          </w:p>
          <w:p>
            <w:pPr>
              <w:pStyle w:val="null3"/>
              <w:ind w:firstLine="643"/>
            </w:pPr>
            <w:r>
              <w:rPr>
                <w:rFonts w:ascii="仿宋_GB2312" w:hAnsi="仿宋_GB2312" w:cs="仿宋_GB2312" w:eastAsia="仿宋_GB2312"/>
                <w:sz w:val="15"/>
                <w:b/>
              </w:rPr>
              <w:t>2.苗木需要量</w:t>
            </w:r>
          </w:p>
          <w:p>
            <w:pPr>
              <w:pStyle w:val="null3"/>
              <w:ind w:firstLine="640"/>
            </w:pPr>
            <w:r>
              <w:rPr>
                <w:rFonts w:ascii="仿宋_GB2312" w:hAnsi="仿宋_GB2312" w:cs="仿宋_GB2312" w:eastAsia="仿宋_GB2312"/>
                <w:sz w:val="15"/>
              </w:rPr>
              <w:t>经计算需红叶石楠苗木</w:t>
            </w:r>
            <w:r>
              <w:rPr>
                <w:rFonts w:ascii="仿宋_GB2312" w:hAnsi="仿宋_GB2312" w:cs="仿宋_GB2312" w:eastAsia="仿宋_GB2312"/>
                <w:sz w:val="15"/>
              </w:rPr>
              <w:t>3528株，紫薇1007株，珙桐1119株，桂花456株，樱花3008株。</w:t>
            </w:r>
          </w:p>
          <w:p>
            <w:pPr>
              <w:pStyle w:val="null3"/>
              <w:ind w:left="645"/>
            </w:pPr>
            <w:r>
              <w:rPr>
                <w:rFonts w:ascii="仿宋_GB2312" w:hAnsi="仿宋_GB2312" w:cs="仿宋_GB2312" w:eastAsia="仿宋_GB2312"/>
                <w:sz w:val="15"/>
                <w:b/>
              </w:rPr>
              <w:t>（五）成活率调查与补植</w:t>
            </w:r>
          </w:p>
          <w:p>
            <w:pPr>
              <w:pStyle w:val="null3"/>
              <w:ind w:firstLine="643"/>
            </w:pPr>
            <w:r>
              <w:rPr>
                <w:rFonts w:ascii="仿宋_GB2312" w:hAnsi="仿宋_GB2312" w:cs="仿宋_GB2312" w:eastAsia="仿宋_GB2312"/>
                <w:sz w:val="15"/>
                <w:b/>
              </w:rPr>
              <w:t>1.成活率调查：</w:t>
            </w:r>
            <w:r>
              <w:rPr>
                <w:rFonts w:ascii="仿宋_GB2312" w:hAnsi="仿宋_GB2312" w:cs="仿宋_GB2312" w:eastAsia="仿宋_GB2312"/>
                <w:sz w:val="15"/>
              </w:rPr>
              <w:t>栽植后第一个生长季末进行成活率调查，要求成活率需达到</w:t>
            </w:r>
            <w:r>
              <w:rPr>
                <w:rFonts w:ascii="仿宋_GB2312" w:hAnsi="仿宋_GB2312" w:cs="仿宋_GB2312" w:eastAsia="仿宋_GB2312"/>
                <w:sz w:val="15"/>
              </w:rPr>
              <w:t>90%以上。</w:t>
            </w:r>
          </w:p>
          <w:p>
            <w:pPr>
              <w:pStyle w:val="null3"/>
              <w:ind w:firstLine="643"/>
            </w:pPr>
            <w:r>
              <w:rPr>
                <w:rFonts w:ascii="仿宋_GB2312" w:hAnsi="仿宋_GB2312" w:cs="仿宋_GB2312" w:eastAsia="仿宋_GB2312"/>
                <w:sz w:val="15"/>
                <w:b/>
              </w:rPr>
              <w:t>2.补植：</w:t>
            </w:r>
            <w:r>
              <w:rPr>
                <w:rFonts w:ascii="仿宋_GB2312" w:hAnsi="仿宋_GB2312" w:cs="仿宋_GB2312" w:eastAsia="仿宋_GB2312"/>
                <w:sz w:val="15"/>
              </w:rPr>
              <w:t>对于死亡植株，应选用同规格同品种的苗木，按原技术标准进行补植，确保绿化效果的完整性，避免出现绿化空白区域。</w:t>
            </w:r>
          </w:p>
          <w:p>
            <w:pPr>
              <w:pStyle w:val="null3"/>
              <w:ind w:left="645"/>
            </w:pPr>
            <w:r>
              <w:rPr>
                <w:rFonts w:ascii="仿宋_GB2312" w:hAnsi="仿宋_GB2312" w:cs="仿宋_GB2312" w:eastAsia="仿宋_GB2312"/>
                <w:sz w:val="15"/>
                <w:b/>
              </w:rPr>
              <w:t>（六）抚育管护</w:t>
            </w:r>
          </w:p>
          <w:p>
            <w:pPr>
              <w:pStyle w:val="null3"/>
              <w:ind w:firstLine="640"/>
            </w:pPr>
            <w:r>
              <w:rPr>
                <w:rFonts w:ascii="仿宋_GB2312" w:hAnsi="仿宋_GB2312" w:cs="仿宋_GB2312" w:eastAsia="仿宋_GB2312"/>
                <w:sz w:val="15"/>
              </w:rPr>
              <w:t>抚育管护重点做好浇水、施肥、修剪、病虫害防治、除草等工作，建立长效管护机制，确保苗木长势良好，具体措施如下：</w:t>
            </w:r>
            <w:r>
              <w:rPr>
                <w:rFonts w:ascii="仿宋_GB2312" w:hAnsi="仿宋_GB2312" w:cs="仿宋_GB2312" w:eastAsia="仿宋_GB2312"/>
                <w:sz w:val="15"/>
              </w:rPr>
              <w:t xml:space="preserve"> </w:t>
            </w:r>
          </w:p>
          <w:p>
            <w:pPr>
              <w:pStyle w:val="null3"/>
              <w:ind w:firstLine="643"/>
            </w:pPr>
            <w:r>
              <w:rPr>
                <w:rFonts w:ascii="仿宋_GB2312" w:hAnsi="仿宋_GB2312" w:cs="仿宋_GB2312" w:eastAsia="仿宋_GB2312"/>
                <w:sz w:val="15"/>
                <w:b/>
              </w:rPr>
              <w:t>1.松土除草</w:t>
            </w:r>
          </w:p>
          <w:p>
            <w:pPr>
              <w:pStyle w:val="null3"/>
              <w:ind w:firstLine="640"/>
            </w:pPr>
            <w:r>
              <w:rPr>
                <w:rFonts w:ascii="仿宋_GB2312" w:hAnsi="仿宋_GB2312" w:cs="仿宋_GB2312" w:eastAsia="仿宋_GB2312"/>
                <w:sz w:val="15"/>
              </w:rPr>
              <w:t>苗木栽植进行松土除草，可结合松土进行施肥。注意保留树下天然地被植物和落叶，控制影响苗木正常生长发育的大型野草、杂灌和各类藤蔓，避免使用化学药剂除草。</w:t>
            </w:r>
          </w:p>
          <w:p>
            <w:pPr>
              <w:pStyle w:val="null3"/>
              <w:ind w:firstLine="640"/>
            </w:pPr>
            <w:r>
              <w:rPr>
                <w:rFonts w:ascii="仿宋_GB2312" w:hAnsi="仿宋_GB2312" w:cs="仿宋_GB2312" w:eastAsia="仿宋_GB2312"/>
                <w:sz w:val="15"/>
              </w:rPr>
              <w:t>松土除草时要做到</w:t>
            </w:r>
            <w:r>
              <w:rPr>
                <w:rFonts w:ascii="仿宋_GB2312" w:hAnsi="仿宋_GB2312" w:cs="仿宋_GB2312" w:eastAsia="仿宋_GB2312"/>
                <w:sz w:val="15"/>
              </w:rPr>
              <w:t>“三不伤、二净、一培土”。即不伤根、不伤皮、不伤树梢;杂草除净、石块捡净;把锄松的土壤培到根际，并把锄下的杂草覆盖到树根附近，以减少水份蒸发和增加有机质。</w:t>
            </w:r>
          </w:p>
          <w:p>
            <w:pPr>
              <w:pStyle w:val="null3"/>
              <w:ind w:firstLine="643"/>
            </w:pPr>
            <w:r>
              <w:rPr>
                <w:rFonts w:ascii="仿宋_GB2312" w:hAnsi="仿宋_GB2312" w:cs="仿宋_GB2312" w:eastAsia="仿宋_GB2312"/>
                <w:sz w:val="15"/>
                <w:b/>
              </w:rPr>
              <w:t>2.水</w:t>
            </w:r>
            <w:r>
              <w:rPr>
                <w:rFonts w:ascii="仿宋_GB2312" w:hAnsi="仿宋_GB2312" w:cs="仿宋_GB2312" w:eastAsia="仿宋_GB2312"/>
                <w:sz w:val="15"/>
                <w:b/>
              </w:rPr>
              <w:t>肥</w:t>
            </w:r>
            <w:r>
              <w:rPr>
                <w:rFonts w:ascii="仿宋_GB2312" w:hAnsi="仿宋_GB2312" w:cs="仿宋_GB2312" w:eastAsia="仿宋_GB2312"/>
                <w:sz w:val="15"/>
                <w:b/>
              </w:rPr>
              <w:t>管理</w:t>
            </w:r>
          </w:p>
          <w:p>
            <w:pPr>
              <w:pStyle w:val="null3"/>
              <w:ind w:firstLine="640"/>
            </w:pPr>
            <w:r>
              <w:rPr>
                <w:rFonts w:ascii="仿宋_GB2312" w:hAnsi="仿宋_GB2312" w:cs="仿宋_GB2312" w:eastAsia="仿宋_GB2312"/>
                <w:sz w:val="15"/>
              </w:rPr>
              <w:t>苗木栽植后宜根据气象条件、土壤墒情、苗木生长状况，及时浇水追肥，具体要求如下：</w:t>
            </w:r>
          </w:p>
          <w:p>
            <w:pPr>
              <w:pStyle w:val="null3"/>
              <w:ind w:firstLine="640"/>
            </w:pPr>
            <w:r>
              <w:rPr>
                <w:rFonts w:ascii="仿宋_GB2312" w:hAnsi="仿宋_GB2312" w:cs="仿宋_GB2312" w:eastAsia="仿宋_GB2312"/>
                <w:sz w:val="15"/>
              </w:rPr>
              <w:t>栽植后立即浇透定根水，旱季（连续</w:t>
            </w:r>
            <w:r>
              <w:rPr>
                <w:rFonts w:ascii="仿宋_GB2312" w:hAnsi="仿宋_GB2312" w:cs="仿宋_GB2312" w:eastAsia="仿宋_GB2312"/>
                <w:sz w:val="15"/>
              </w:rPr>
              <w:t>10天无雨）需及时浇灌。每年春季结合浇水追施复合肥一次，秋季施有机肥一次。浇水后，宜就地取材，覆盖木片、枝叶碎屑、片石、瓦片等乡土材料等进行保墒。</w:t>
            </w:r>
          </w:p>
          <w:p>
            <w:pPr>
              <w:pStyle w:val="null3"/>
              <w:ind w:firstLine="643"/>
            </w:pPr>
            <w:r>
              <w:rPr>
                <w:rFonts w:ascii="仿宋_GB2312" w:hAnsi="仿宋_GB2312" w:cs="仿宋_GB2312" w:eastAsia="仿宋_GB2312"/>
                <w:sz w:val="15"/>
                <w:b/>
              </w:rPr>
              <w:t>3.整形修剪</w:t>
            </w:r>
          </w:p>
          <w:p>
            <w:pPr>
              <w:pStyle w:val="null3"/>
              <w:ind w:firstLine="640"/>
            </w:pPr>
            <w:r>
              <w:rPr>
                <w:rFonts w:ascii="仿宋_GB2312" w:hAnsi="仿宋_GB2312" w:cs="仿宋_GB2312" w:eastAsia="仿宋_GB2312"/>
                <w:sz w:val="15"/>
              </w:rPr>
              <w:t>红叶石楠球主要在</w:t>
            </w:r>
            <w:r>
              <w:rPr>
                <w:rFonts w:ascii="仿宋_GB2312" w:hAnsi="仿宋_GB2312" w:cs="仿宋_GB2312" w:eastAsia="仿宋_GB2312"/>
                <w:sz w:val="15"/>
              </w:rPr>
              <w:t>3月6月和9月进行修剪，3月主要剪去干枯、受冻的枝条，降低养分消耗，促进新枝萌芽；6月应轻剪，不可短截或重短截，略微修剪即可；9月修剪长势弱或感染病虫害的枝条，节省养分，帮助植株安全过冬。</w:t>
            </w:r>
          </w:p>
          <w:p>
            <w:pPr>
              <w:pStyle w:val="null3"/>
              <w:ind w:firstLine="640"/>
            </w:pPr>
            <w:r>
              <w:rPr>
                <w:rFonts w:ascii="仿宋_GB2312" w:hAnsi="仿宋_GB2312" w:cs="仿宋_GB2312" w:eastAsia="仿宋_GB2312"/>
                <w:sz w:val="15"/>
              </w:rPr>
              <w:t>珙桐每年春季萌芽前进行一次修枝，除去病虫枝、弱枝、枯枝以及多余交叉的枝条，保留健壮枝条。紫薇每年冬季（</w:t>
            </w:r>
            <w:r>
              <w:rPr>
                <w:rFonts w:ascii="仿宋_GB2312" w:hAnsi="仿宋_GB2312" w:cs="仿宋_GB2312" w:eastAsia="仿宋_GB2312"/>
                <w:sz w:val="15"/>
              </w:rPr>
              <w:t>12月-次年1月）修剪一次，短截过长枝条（保留主干和主要侧枝，剪去枝条长度的1/3），促进来年开花；花期结束后，修剪残花，减少养分消耗，修剪过程中避免过度修剪，保护植株健康。</w:t>
            </w:r>
          </w:p>
          <w:p>
            <w:pPr>
              <w:pStyle w:val="null3"/>
              <w:ind w:firstLine="640"/>
            </w:pPr>
            <w:r>
              <w:rPr>
                <w:rFonts w:ascii="仿宋_GB2312" w:hAnsi="仿宋_GB2312" w:cs="仿宋_GB2312" w:eastAsia="仿宋_GB2312"/>
                <w:sz w:val="15"/>
              </w:rPr>
              <w:t>樱花的整形修剪应以轻剪为主，遵循自然树形高大健壮，枝干疏密有致，侧枝多而匀称的原则。樱花树的修剪主要在夏秋季节进行。夏季花期结束后，及时剪去残花；秋季剪去发育不良、徒长的枝条，以减少养分消耗，帮助植株顺利越冬。</w:t>
            </w:r>
          </w:p>
          <w:p>
            <w:pPr>
              <w:pStyle w:val="null3"/>
              <w:ind w:firstLine="640"/>
            </w:pPr>
            <w:r>
              <w:rPr>
                <w:rFonts w:ascii="仿宋_GB2312" w:hAnsi="仿宋_GB2312" w:cs="仿宋_GB2312" w:eastAsia="仿宋_GB2312"/>
                <w:sz w:val="15"/>
              </w:rPr>
              <w:t>桂花树的修剪包括春季、夏季、秋季和冬季修剪。</w:t>
            </w:r>
            <w:r>
              <w:rPr>
                <w:rFonts w:ascii="仿宋_GB2312" w:hAnsi="仿宋_GB2312" w:cs="仿宋_GB2312" w:eastAsia="仿宋_GB2312"/>
                <w:sz w:val="15"/>
                <w:b/>
              </w:rPr>
              <w:t>春季修剪：</w:t>
            </w:r>
            <w:r>
              <w:rPr>
                <w:rFonts w:ascii="仿宋_GB2312" w:hAnsi="仿宋_GB2312" w:cs="仿宋_GB2312" w:eastAsia="仿宋_GB2312"/>
                <w:sz w:val="15"/>
              </w:rPr>
              <w:t>春季气温上升后，修剪掉干枯的枝条，促进新芽萌发。对于过密的枝条进行疏剪，保持枝条分布均匀，增强通风透光性；</w:t>
            </w:r>
            <w:r>
              <w:rPr>
                <w:rFonts w:ascii="仿宋_GB2312" w:hAnsi="仿宋_GB2312" w:cs="仿宋_GB2312" w:eastAsia="仿宋_GB2312"/>
                <w:sz w:val="15"/>
                <w:b/>
              </w:rPr>
              <w:t>夏季修剪：</w:t>
            </w:r>
            <w:r>
              <w:rPr>
                <w:rFonts w:ascii="仿宋_GB2312" w:hAnsi="仿宋_GB2312" w:cs="仿宋_GB2312" w:eastAsia="仿宋_GB2312"/>
                <w:sz w:val="15"/>
              </w:rPr>
              <w:t>夏季是桂花树生长旺盛期，可进行造型修剪，对过长的枝条进行短截，让其在合适位置萌发出新的侧枝，保持枝条分布均匀，使桂花树均衡生长；</w:t>
            </w:r>
            <w:r>
              <w:rPr>
                <w:rFonts w:ascii="仿宋_GB2312" w:hAnsi="仿宋_GB2312" w:cs="仿宋_GB2312" w:eastAsia="仿宋_GB2312"/>
                <w:sz w:val="15"/>
                <w:b/>
              </w:rPr>
              <w:t>秋季修剪：</w:t>
            </w:r>
            <w:r>
              <w:rPr>
                <w:rFonts w:ascii="仿宋_GB2312" w:hAnsi="仿宋_GB2312" w:cs="仿宋_GB2312" w:eastAsia="仿宋_GB2312"/>
                <w:sz w:val="15"/>
              </w:rPr>
              <w:t>在秋季来临前，修剪影响开花的枝条，如内向生长、交叉重叠的枝条，以及开过花的老枝进行回缩修剪，以增加开花数量和质量；</w:t>
            </w:r>
            <w:r>
              <w:rPr>
                <w:rFonts w:ascii="仿宋_GB2312" w:hAnsi="仿宋_GB2312" w:cs="仿宋_GB2312" w:eastAsia="仿宋_GB2312"/>
                <w:sz w:val="15"/>
                <w:b/>
              </w:rPr>
              <w:t>冬季修剪：</w:t>
            </w:r>
            <w:r>
              <w:rPr>
                <w:rFonts w:ascii="仿宋_GB2312" w:hAnsi="仿宋_GB2312" w:cs="仿宋_GB2312" w:eastAsia="仿宋_GB2312"/>
                <w:sz w:val="15"/>
              </w:rPr>
              <w:t>冬季修剪以轻剪为主，保持树形整洁美观，整理和修剪过长或过乱的枝条，让桂花树在休眠期也能保持优雅姿态。</w:t>
            </w:r>
          </w:p>
          <w:p>
            <w:pPr>
              <w:pStyle w:val="null3"/>
              <w:ind w:firstLine="643"/>
            </w:pPr>
            <w:r>
              <w:rPr>
                <w:rFonts w:ascii="仿宋_GB2312" w:hAnsi="仿宋_GB2312" w:cs="仿宋_GB2312" w:eastAsia="仿宋_GB2312"/>
                <w:sz w:val="15"/>
                <w:b/>
              </w:rPr>
              <w:t>5.有害生物防治</w:t>
            </w:r>
          </w:p>
          <w:p>
            <w:pPr>
              <w:pStyle w:val="null3"/>
              <w:ind w:firstLine="640"/>
            </w:pPr>
            <w:r>
              <w:rPr>
                <w:rFonts w:ascii="仿宋_GB2312" w:hAnsi="仿宋_GB2312" w:cs="仿宋_GB2312" w:eastAsia="仿宋_GB2312"/>
                <w:sz w:val="15"/>
              </w:rPr>
              <w:t>有害生物防治实行</w:t>
            </w:r>
            <w:r>
              <w:rPr>
                <w:rFonts w:ascii="仿宋_GB2312" w:hAnsi="仿宋_GB2312" w:cs="仿宋_GB2312" w:eastAsia="仿宋_GB2312"/>
                <w:sz w:val="15"/>
              </w:rPr>
              <w:t>“预防为主，综合治理”方针，维护乡村自然生态系统健康稳定，具体要求如下：</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1）宜通过选择抗性植物、合理搭配树种等方法，结合抚育管理、生物防治措施，增强对有害生物的抗性。避免在农田附近种植当地主要农作物病虫害的寄主植物。</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2）宜结合植物生长和病虫害发生情况，及时采用物理、生物或综合方法，避免采用单一的化学防治方法。加强有害生物监测，如发现检疫性有害生物，立即采取防控措施。</w:t>
            </w:r>
          </w:p>
          <w:p>
            <w:pPr>
              <w:pStyle w:val="null3"/>
              <w:ind w:firstLine="640"/>
            </w:pPr>
            <w:r>
              <w:rPr>
                <w:rFonts w:ascii="仿宋_GB2312" w:hAnsi="仿宋_GB2312" w:cs="仿宋_GB2312" w:eastAsia="仿宋_GB2312"/>
                <w:sz w:val="15"/>
              </w:rPr>
              <w:t>（</w:t>
            </w:r>
            <w:r>
              <w:rPr>
                <w:rFonts w:ascii="仿宋_GB2312" w:hAnsi="仿宋_GB2312" w:cs="仿宋_GB2312" w:eastAsia="仿宋_GB2312"/>
                <w:sz w:val="15"/>
              </w:rPr>
              <w:t>3）不应使用剧毒和高残留农药，防止污染环境，保证人畜安全，避免减少有益生物。按照HJ556的规定，进行农药使用环境安全管理。</w:t>
            </w:r>
          </w:p>
          <w:p>
            <w:pPr>
              <w:pStyle w:val="null3"/>
              <w:ind w:firstLine="643"/>
            </w:pPr>
            <w:r>
              <w:rPr>
                <w:rFonts w:ascii="仿宋_GB2312" w:hAnsi="仿宋_GB2312" w:cs="仿宋_GB2312" w:eastAsia="仿宋_GB2312"/>
                <w:sz w:val="15"/>
                <w:b/>
              </w:rPr>
              <w:t>6.其他管护：</w:t>
            </w:r>
            <w:r>
              <w:rPr>
                <w:rFonts w:ascii="仿宋_GB2312" w:hAnsi="仿宋_GB2312" w:cs="仿宋_GB2312" w:eastAsia="仿宋_GB2312"/>
                <w:sz w:val="15"/>
              </w:rPr>
              <w:t>定期检查苗木生长情况，及时扶正倾斜、倒伏的苗木，补填沉降的土壤；冬季（</w:t>
            </w:r>
            <w:r>
              <w:rPr>
                <w:rFonts w:ascii="仿宋_GB2312" w:hAnsi="仿宋_GB2312" w:cs="仿宋_GB2312" w:eastAsia="仿宋_GB2312"/>
                <w:sz w:val="15"/>
              </w:rPr>
              <w:t>12月-次年2月）对紫薇苗木采取防寒措施（包裹草绳、涂抹防寒剂），防止冻害；避免人为破坏苗木，在绿化区域设置警示标识（如“爱护绿化、禁止攀折”），引导村民和过往车辆爱护绿化苗木，结合本地管护实际，完善管护措施，建立管护台账，详细记录管护情况。</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满⾜采购⼈和竞争性磋商⽂件要求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满⾜采购⼈和竞争性磋商⽂件要求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符合作业设计要求和相关验收规定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进度款，项目实施完成，供应商开具合规的增值税发票后，达到付款条件起15个工作日内，支付合同总金额的60.0%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其他，项⽬竣⼯验收合格后，达到付款条件起15个工作日内，支付合同总金额的10.0%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中标供应商在中标结果公⽰结束后3个⼯作⽇内向代理机构提供纸质版投标⽂件，投标⽂件为正本壹份，副本贰份，电⼦版贰份（响应⽂件内容须与电⼦交易平台上传⽂件内容保持⼀致）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拟参与本项⽬的供应商应按照汉中市财政局《关于全⾯推⾏政府采购供应商基本资格条件承诺制的通知》(汉财办采管(2024)20号)⽂件要求，提供《汉中市政府采购供应商资格承诺函》； 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供应商须为独⽴承担⺠事责任能⼒的法⼈或其他组织或⾃然⼈</w:t>
            </w:r>
          </w:p>
        </w:tc>
        <w:tc>
          <w:tcPr>
            <w:tcW w:type="dxa" w:w="3322"/>
          </w:tcPr>
          <w:p>
            <w:pPr>
              <w:pStyle w:val="null3"/>
            </w:pPr>
            <w:r>
              <w:rPr>
                <w:rFonts w:ascii="仿宋_GB2312" w:hAnsi="仿宋_GB2312" w:cs="仿宋_GB2312" w:eastAsia="仿宋_GB2312"/>
              </w:rPr>
              <w:t>供应商须为独⽴承担⺠事责任能⼒的法⼈或其他组织或⾃然⼈。其中企业法⼈应提供有效的统⼀社会信⽤代码的营业执照，事业法⼈应提供事业单位法⼈证、组织机构代码证等证明⽂件，其他组织应提供合法证明⽂件，⾃然⼈提供⾝份证明⽂件；（材料应清晰可辨并进⾏电⼦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授权代表⾝份证明</w:t>
            </w:r>
          </w:p>
        </w:tc>
        <w:tc>
          <w:tcPr>
            <w:tcW w:type="dxa" w:w="3322"/>
          </w:tcPr>
          <w:p>
            <w:pPr>
              <w:pStyle w:val="null3"/>
            </w:pPr>
            <w:r>
              <w:rPr>
                <w:rFonts w:ascii="仿宋_GB2312" w:hAnsi="仿宋_GB2312" w:cs="仿宋_GB2312" w:eastAsia="仿宋_GB2312"/>
              </w:rPr>
              <w:t>法定代表⼈亲⾃参与磋商的，需出具法定代表⼈⾝份证明及⾝份证复印件，并与营业执照上信息⼀致；法定代表⼈委托授权代表参与磋商的，需出具法定代表⼈授权书以及授权代表的⾝份证复印件；（材料应清晰可辨并进⾏电⼦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合同所需的设备和专业技术能⼒、依法缴纳税收和社会保障资⾦，以及参加本项⽬采购活动前3年内经营活动⽆重⼤违法记录；供应商未被列⼊“信⽤中国”⽹站“失信被执⾏⼈”、“重⼤税收违法案件当事⼈名单”中，也未列⼊“中国政府采购⽹”的“政府采购严重违法失信⾏为记录名单”中，（拟参与本项⽬的供应商应按照汉中市财政局《关于全⾯推⾏政府采购供应商基本资格条件承诺制的通知》（汉财办采管〔2024〕20号）⽂件要求，提供《汉中市政府采购供应商资格承诺函》）；（材料应清晰可辨并进⾏电⼦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供应商须提供相关部⻔颁发的《林草种⼦⽣产经营许可证》或《林⽊种⼦⽣产经营许可证》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本项⽬不接受联合体磋商</w:t>
            </w:r>
          </w:p>
        </w:tc>
        <w:tc>
          <w:tcPr>
            <w:tcW w:type="dxa" w:w="3322"/>
          </w:tcPr>
          <w:p>
            <w:pPr>
              <w:pStyle w:val="null3"/>
            </w:pPr>
            <w:r>
              <w:rPr>
                <w:rFonts w:ascii="仿宋_GB2312" w:hAnsi="仿宋_GB2312" w:cs="仿宋_GB2312" w:eastAsia="仿宋_GB2312"/>
              </w:rPr>
              <w:t>本项⽬不接受联合体磋商（提供⾮联合体声明）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供应商应当使⽤纳⼊陕西省政府采购综合管理 平台数字 证书互认范围的数字证书及签章进⾏ 系统操作。（供应商对其系统操作⾏为和电⼦ 签章确认的事项承担法律责任）</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供应商应提交的相关资格证明材料.pdf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只能有⼀个有效报价，不得提交选择性报价，且报价不超过采购预算（最⾼限价）⾦额</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一、评审内容：①施工方法及工艺；②工程重难点及解决措施。 二、评审标准： 1. 完整性：方案需全面，详细完整描述各项评审内容，无关键缺项漏项。 2. 可实施性：切合项目施工实际，施工工艺、实施步骤、重难点解决措施清晰合理，具备落地条件。 3. 针对性：紧扣项目核心特点编制方案，内容贴合实际工况，适配性强。 三、赋分标准：每⼀项评审内容满⾜每⼀项评审标准的得1.5分，最多得4.5分。每⼀项评审内容相对每⼀项评审标准存在⼀处缺陷扣0.5分，扣完为⽌。未提供相关评审内容的，该项得0分。（缺陷是指:内容不详细具体、条理不清晰、描述过于简单、与项⽬特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一、评审内容：①项目进度计划；②进度保障措施。 二、评审标准：1. 完整性：方案内容全面，无关键缺项；2. 可实施性：贴合项目施工实际，计划合理，保障措施落地性强；3. 针对性：紧扣项目施工核心属性，内容科学适配。 三、赋分标准：每⼀项评审内容满⾜每⼀项评审标准的得1分，最多得3分。每⼀项评审内容相对每⼀项评审标准存在⼀处缺陷扣0.5分，扣完为⽌。未提供相关评审内容的，该项得0分。（缺陷是指:内容不详细具体、条理不清晰、描述过于简单、与项⽬特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进度保障措施.docx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一、评审内容：①安全生产管理体系及保证措施；②项目风险预测与防范。 二、评审标准：1. 完整性：方案内容全面，覆盖评审要求，无关键缺项。2. 可实施性：切合项目实际，安全管理流程与防控步骤明确，措施科学合理、可落地。3. 针对性：紧扣项目施工安全重点等属性，内容科学适配，贴合实际需求，无空洞套话。 三、赋分标准：每⼀项评审内容满⾜每⼀项评审标准的得1分，最多得3分。每⼀项评审内容相对每⼀项评审标准存在⼀处缺陷扣0.5分，扣完为⽌。未提供相关评审内容的，该项得0分。（缺陷是指:内容不详细具体、条理不清晰、描述过于简单、与项⽬特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安全措施.docx</w:t>
            </w:r>
          </w:p>
        </w:tc>
      </w:tr>
      <w:tr>
        <w:tc>
          <w:tcPr>
            <w:tcW w:type="dxa" w:w="831"/>
            <w:vMerge/>
          </w:tcPr>
          <w:p/>
        </w:tc>
        <w:tc>
          <w:tcPr>
            <w:tcW w:type="dxa" w:w="1661"/>
          </w:tcPr>
          <w:p>
            <w:pPr>
              <w:pStyle w:val="null3"/>
            </w:pPr>
            <w:r>
              <w:rPr>
                <w:rFonts w:ascii="仿宋_GB2312" w:hAnsi="仿宋_GB2312" w:cs="仿宋_GB2312" w:eastAsia="仿宋_GB2312"/>
              </w:rPr>
              <w:t>管护方案</w:t>
            </w:r>
          </w:p>
        </w:tc>
        <w:tc>
          <w:tcPr>
            <w:tcW w:type="dxa" w:w="2492"/>
          </w:tcPr>
          <w:p>
            <w:pPr>
              <w:pStyle w:val="null3"/>
            </w:pPr>
            <w:r>
              <w:rPr>
                <w:rFonts w:ascii="仿宋_GB2312" w:hAnsi="仿宋_GB2312" w:cs="仿宋_GB2312" w:eastAsia="仿宋_GB2312"/>
              </w:rPr>
              <w:t>一、评审内容：①管护内容；②管护保障。 二、评审标准：1. 完整性：方案覆盖项目管护全流程核心内容，无缺漏，体系完善；2. 可实施性：方案明确响应时间、服务频次、人员配置数量，贴合需求，措施可执行；3. 针对性：贴合项目管护需求，内容适配合理，无通用空洞内容。 三、赋分标准：每⼀项评审内容满⾜每⼀项评审标准的得1分，最多得3分。每⼀项评审内容相对每⼀项评审标准存在⼀处缺陷扣0.5分，扣完为⽌。未提供相关评审内容的，该项得0分。（缺陷是指:内容不详细具体、条理不清晰、描述过于简单、与项⽬特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管护方案.docx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一、评审内容：①环境保护及保证措施；②文明施工措施。 二、评审标准：1. 完整性：方案内容全面，对环保、文明施工评审要求阐述详细、无关键缺漏；2. 可实施性：制定贴合项目实际的环保方案，明确目标、范围及流程，措施科学可行；3. 针对性：紧扣项目施工环保特点及重难点，内容科学适配，无空洞套话。 三、赋分标准：每⼀项评审内容满⾜每⼀项评审标准的得1分，最多得3分。每⼀项评审内容相对每⼀项评审标准存在⼀处缺陷扣0.5分，扣完为⽌。未提供相关评审内容的，该项得0分。（缺陷是指:内容不详细具体、条理不清晰、描述过于简单、与项⽬特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环境保护管理体系与措施.docx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一、评审内容：根据本项目实际情况及供应商自身特点，①提供有关在本项目服务方面的优势；②针对本项目的实施合理化建议。 二、评审标准：1. 完整性：方案需全面，详细描述评审内容各项要求；2. 可实施性：切合项目实际，方案步骤清晰合理；3. 针对性：紧扣项目特点，内容科学合理。 三、赋分标准：每⼀项评审内容满⾜每⼀项评审标准的得1分，最多得3分。每⼀项评审内容相对每⼀项评审标准存在⼀处缺陷扣0.5分，扣完为⽌。未提供相关评审内容的，该项得0分。（缺陷是指:内容不详细具体、条理不清晰、描述过于简单、与项⽬特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①苗木质量保证承诺；②服务质量保证承诺；③苗木成活率承诺。④承诺所投入的机械设备满足项目要求。每提供一项承诺得3分，满分12分。评审标准：以供应商提供的承诺书为准。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服务质量保障.docx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1.项目人员配备：人员分工覆盖技术指导、安全管理、现场作业等；①⼈员配备5⼈及以上得11分；②⼈员配备3-4⼈得7分； ③实施团队⼈员配备1-2⼈得4分。 本项最⾼得11分，未提供不得分。评审标准：需提供团队人员⾝份证、毕业证等。 2.项目人员配备（不包含项目负责人）：提供项目成员相关专业初级及以上职称证书或相应岗位证书，每提供1名符合要求人员得2分，最高4分。 评审标准：以提供的职称证书或相应岗位证书为准。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1.提供相关专业初级职称证书，得2分；中级及以上职称证书，得4分；评审标准：以供应商提供的职称证书为准。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提供近三年（2023年1月1日至今）的类似项目业绩，每一份业绩得2.5分，最多得5分。以合同或中标通知书为准。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详见附件：进度保障措施.docx</w:t>
      </w:r>
    </w:p>
    <w:p>
      <w:pPr>
        <w:pStyle w:val="null3"/>
        <w:ind w:firstLine="960"/>
      </w:pPr>
      <w:r>
        <w:rPr>
          <w:rFonts w:ascii="仿宋_GB2312" w:hAnsi="仿宋_GB2312" w:cs="仿宋_GB2312" w:eastAsia="仿宋_GB2312"/>
        </w:rPr>
        <w:t>详见附件：安全措施.docx</w:t>
      </w:r>
    </w:p>
    <w:p>
      <w:pPr>
        <w:pStyle w:val="null3"/>
        <w:ind w:firstLine="960"/>
      </w:pPr>
      <w:r>
        <w:rPr>
          <w:rFonts w:ascii="仿宋_GB2312" w:hAnsi="仿宋_GB2312" w:cs="仿宋_GB2312" w:eastAsia="仿宋_GB2312"/>
        </w:rPr>
        <w:t>详见附件：管护方案.docx</w:t>
      </w:r>
    </w:p>
    <w:p>
      <w:pPr>
        <w:pStyle w:val="null3"/>
        <w:ind w:firstLine="960"/>
      </w:pPr>
      <w:r>
        <w:rPr>
          <w:rFonts w:ascii="仿宋_GB2312" w:hAnsi="仿宋_GB2312" w:cs="仿宋_GB2312" w:eastAsia="仿宋_GB2312"/>
        </w:rPr>
        <w:t>详见附件：环境保护管理体系与措施.docx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详见附件：服务质量保障.docx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