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版本号：SXZH-2026-09120260708001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西安市鄠邑区2025年第二批中央水利发展资金水利工程设施维修养护（水质提升工程）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SXZH-2026-091</w:t>
      </w:r>
      <w:r>
        <w:br/>
      </w:r>
      <w:r>
        <w:br/>
      </w:r>
      <w:r>
        <w:br/>
      </w:r>
    </w:p>
    <w:p>
      <w:pPr>
        <w:pStyle w:val="null3"/>
        <w:jc w:val="center"/>
        <w:outlineLvl w:val="2"/>
      </w:pPr>
      <w:r>
        <w:rPr>
          <w:rFonts w:ascii="仿宋_GB2312" w:hAnsi="仿宋_GB2312" w:cs="仿宋_GB2312" w:eastAsia="仿宋_GB2312"/>
          <w:sz w:val="28"/>
          <w:b/>
        </w:rPr>
        <w:t>西安市鄠邑区农村供水管理中心</w:t>
      </w:r>
    </w:p>
    <w:p>
      <w:pPr>
        <w:pStyle w:val="null3"/>
        <w:jc w:val="center"/>
        <w:outlineLvl w:val="2"/>
      </w:pPr>
      <w:r>
        <w:rPr>
          <w:rFonts w:ascii="仿宋_GB2312" w:hAnsi="仿宋_GB2312" w:cs="仿宋_GB2312" w:eastAsia="仿宋_GB2312"/>
          <w:sz w:val="28"/>
          <w:b/>
        </w:rPr>
        <w:t>陕西筑辉工程咨询有限公司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陕西筑辉工程咨询有限公司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西安市鄠邑区农村供水管理中心</w:t>
      </w:r>
      <w:r>
        <w:rPr>
          <w:rFonts w:ascii="仿宋_GB2312" w:hAnsi="仿宋_GB2312" w:cs="仿宋_GB2312" w:eastAsia="仿宋_GB2312"/>
        </w:rPr>
        <w:t>委托，拟对</w:t>
      </w:r>
      <w:r>
        <w:rPr>
          <w:rFonts w:ascii="仿宋_GB2312" w:hAnsi="仿宋_GB2312" w:cs="仿宋_GB2312" w:eastAsia="仿宋_GB2312"/>
        </w:rPr>
        <w:t>西安市鄠邑区2025年第二批中央水利发展资金水利工程设施维修养护（水质提升工程）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SXZH-2026-091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西安市鄠邑区2025年第二批中央水利发展资金水利工程设施维修养护（水质提升工程）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西安市鄠邑区2025年第二批中央水利发展资金水利工程设施维修养护（水质提升工程），本工程位于陕西省西安市鄠邑区。主要建设内容为：青羊务村供水站:安装净水设备一套（包括：旋流除砂器、中间曝气水罐、增压泵、全自动净水机、净水调节水箱、变频增压泵、总控制系统），dn200-UPVC室外排水管100m，彩钢设备间1间，设备间面积42㎡；祁村供水站:安装净水设备一套（包括：旋流除砂器、中间曝气水罐、增压泵、全自动净水机、净水调节水箱、变频增压泵、总控制系统），dn200-UPVC室外排水管50m，彩钢设备间1间，设备间面积42㎡。</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采购包1（西安市鄠邑区2025年第二批中央水利发展资金水利工程设施维修养护（水质提升工程））：属于专门面向中小企业采购。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1、资质要求：供应商须具备建设行政主管部门颁发的水利水电工程施工总承包三级（含三级）以上资质，并具备有效的安全生产许可证；</w:t>
      </w:r>
    </w:p>
    <w:p>
      <w:pPr>
        <w:pStyle w:val="null3"/>
      </w:pPr>
      <w:r>
        <w:rPr>
          <w:rFonts w:ascii="仿宋_GB2312" w:hAnsi="仿宋_GB2312" w:cs="仿宋_GB2312" w:eastAsia="仿宋_GB2312"/>
        </w:rPr>
        <w:t>2、项目经理资质要求：拟派项目经理须具备有效的的水利水电工程专业二级（含二级）以上建造师注册证，具备水利行政主管部门颁发的安全生产考核合格证（B证），在本单位注册，且无在建工程（提供承诺书）；</w:t>
      </w:r>
    </w:p>
    <w:p>
      <w:pPr>
        <w:pStyle w:val="null3"/>
      </w:pPr>
      <w:r>
        <w:rPr>
          <w:rFonts w:ascii="仿宋_GB2312" w:hAnsi="仿宋_GB2312" w:cs="仿宋_GB2312" w:eastAsia="仿宋_GB2312"/>
        </w:rPr>
        <w:t>3、登记备案：供应商基本信息及项目经理基本信息应在“陕西建设网（http://js.shaanxi.gov.cn/ ）陕西省建筑市场监管与诚信信息发布平台”可查询；</w:t>
      </w:r>
    </w:p>
    <w:p>
      <w:pPr>
        <w:pStyle w:val="null3"/>
      </w:pPr>
      <w:r>
        <w:rPr>
          <w:rFonts w:ascii="仿宋_GB2312" w:hAnsi="仿宋_GB2312" w:cs="仿宋_GB2312" w:eastAsia="仿宋_GB2312"/>
        </w:rPr>
        <w:t>4、信用记录：供应商不得为“信用中国”网站（www.creditchina.gov.cn）中列入“失信被执行人（中国执行信息公开网http：//zxgk.court.gov.cn/shixin/）”和“重大税收违法案件当事人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案件当事人名单、政府采购严重违法失信行为记录名单内的，采购人和采购代理机构将拒绝其参与政府采购活动，查询结果以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西安市鄠邑区农村供水管理中心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西安市鄠邑区水务局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徐江波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13891982896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陕西筑辉工程咨询有限公司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陕西省西安市雁塔区南二环东段22号凯森盛世1号B座2层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梁婉婉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13259166284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采购包1：706,680.00元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代理服务费收费标准：1、招标代理服务费的计算方法：以成交金额为基数，参考《国家计委关于印发&lt;招 标代理服务收费管理暂行办法&gt;的通知》（计价格【2002】1980号）及《国家发改委关于降低 部分建设项目收费标准规范收费行为等有关问题的通知》（发改价格[2011]534号）规定按标准收取,具体金额将在结果公告中公布。 2、招标代理服务费可以采取现金、支票、银行汇票、电汇、网银等方式缴纳。 3、招标代理服务费缴纳信息： 银行户名：陕西筑辉工程咨询有限公司 开户银行：北京银行股份有限公司西安经济技术开发区支行 账 号：20000041418600030109571 联 系人：梁工 联系电话：13259166284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西安市鄠邑区农村供水管理中心</w:t>
      </w:r>
      <w:r>
        <w:rPr>
          <w:rFonts w:ascii="仿宋_GB2312" w:hAnsi="仿宋_GB2312" w:cs="仿宋_GB2312" w:eastAsia="仿宋_GB2312"/>
        </w:rPr>
        <w:t>和</w:t>
      </w:r>
      <w:r>
        <w:rPr>
          <w:rFonts w:ascii="仿宋_GB2312" w:hAnsi="仿宋_GB2312" w:cs="仿宋_GB2312" w:eastAsia="仿宋_GB2312"/>
        </w:rPr>
        <w:t>陕西筑辉工程咨询有限公司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西安市鄠邑区农村供水管理中心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陕西筑辉工程咨询有限公司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西安市鄠邑区农村供水管理中心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陕西筑辉工程咨询有限公司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符合国家标准、省、市及行业标准以及有关技术规范要求，满足采购人要求。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联系人：梁工</w:t>
      </w:r>
    </w:p>
    <w:p>
      <w:pPr>
        <w:pStyle w:val="null3"/>
      </w:pPr>
      <w:r>
        <w:rPr>
          <w:rFonts w:ascii="仿宋_GB2312" w:hAnsi="仿宋_GB2312" w:cs="仿宋_GB2312" w:eastAsia="仿宋_GB2312"/>
        </w:rPr>
        <w:t>联系电话：13259166284</w:t>
      </w:r>
    </w:p>
    <w:p>
      <w:pPr>
        <w:pStyle w:val="null3"/>
      </w:pPr>
      <w:r>
        <w:rPr>
          <w:rFonts w:ascii="仿宋_GB2312" w:hAnsi="仿宋_GB2312" w:cs="仿宋_GB2312" w:eastAsia="仿宋_GB2312"/>
        </w:rPr>
        <w:t>地址：西安市雁塔区南二环东段22号（凯森盛世1号）B座2层</w:t>
      </w:r>
    </w:p>
    <w:p>
      <w:pPr>
        <w:pStyle w:val="null3"/>
      </w:pPr>
      <w:r>
        <w:rPr>
          <w:rFonts w:ascii="仿宋_GB2312" w:hAnsi="仿宋_GB2312" w:cs="仿宋_GB2312" w:eastAsia="仿宋_GB2312"/>
        </w:rPr>
        <w:t>邮编：721000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706,680.00</w:t>
      </w:r>
    </w:p>
    <w:p>
      <w:pPr>
        <w:pStyle w:val="null3"/>
      </w:pPr>
      <w:r>
        <w:rPr>
          <w:rFonts w:ascii="仿宋_GB2312" w:hAnsi="仿宋_GB2312" w:cs="仿宋_GB2312" w:eastAsia="仿宋_GB2312"/>
        </w:rPr>
        <w:t>采购包最高限价（元）: 694,723.00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安装净水设备，铺设管道</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706,680.00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标的名称：安装净水设备，铺设管道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4"/>
                <w:b/>
                <w:color w:val="000000"/>
                <w:shd w:fill="FFFFFF" w:val="clear"/>
              </w:rPr>
              <w:t>一、项目概况</w:t>
            </w:r>
          </w:p>
          <w:p>
            <w:pPr>
              <w:pStyle w:val="null3"/>
              <w:spacing w:before="105" w:after="105"/>
              <w:jc w:val="both"/>
            </w:pPr>
            <w:r>
              <w:rPr>
                <w:rFonts w:ascii="仿宋_GB2312" w:hAnsi="仿宋_GB2312" w:cs="仿宋_GB2312" w:eastAsia="仿宋_GB2312"/>
              </w:rPr>
              <w:t xml:space="preserve">  </w:t>
            </w:r>
            <w:r>
              <w:rPr>
                <w:rFonts w:ascii="仿宋_GB2312" w:hAnsi="仿宋_GB2312" w:cs="仿宋_GB2312" w:eastAsia="仿宋_GB2312"/>
                <w:sz w:val="20"/>
                <w:color w:val="000000"/>
                <w:shd w:fill="FFFFFF" w:val="clear"/>
              </w:rPr>
              <w:t>本工程位于陕西省西安市鄠邑区，主要建设内容为：青羊务村供水站:安装净水设备一套（包括：旋流除砂器、中间曝气水罐、增压泵、全自动净水机、净水调节水箱、变频增压泵、总控制系统），dn200-UPVC室外排水管100m，彩钢设备间1间，设备间面积42㎡；祁村供水站:安装净水设备一套（包括：旋流除砂器、中间曝气水罐、增压泵、全自动净水机、净水调节水箱、变频增压泵、总控制系统），dn200-UPVC室外排水管50m，彩钢设备间1间，设备间面积42㎡。</w:t>
            </w:r>
          </w:p>
          <w:p>
            <w:pPr>
              <w:pStyle w:val="null3"/>
              <w:spacing w:before="105" w:after="105"/>
              <w:jc w:val="both"/>
            </w:pPr>
            <w:r>
              <w:rPr>
                <w:rFonts w:ascii="仿宋_GB2312" w:hAnsi="仿宋_GB2312" w:cs="仿宋_GB2312" w:eastAsia="仿宋_GB2312"/>
                <w:sz w:val="24"/>
                <w:b/>
                <w:color w:val="000000"/>
                <w:shd w:fill="FFFFFF" w:val="clear"/>
              </w:rPr>
              <w:t>二、项目情况</w:t>
            </w:r>
          </w:p>
          <w:p>
            <w:pPr>
              <w:pStyle w:val="null3"/>
              <w:spacing w:before="105" w:after="105"/>
              <w:jc w:val="both"/>
            </w:pPr>
            <w:r>
              <w:rPr>
                <w:rFonts w:ascii="仿宋_GB2312" w:hAnsi="仿宋_GB2312" w:cs="仿宋_GB2312" w:eastAsia="仿宋_GB2312"/>
                <w:sz w:val="24"/>
                <w:color w:val="000000"/>
                <w:shd w:fill="FFFFFF" w:val="clear"/>
              </w:rPr>
              <w:t>1、</w:t>
            </w:r>
            <w:r>
              <w:rPr>
                <w:rFonts w:ascii="仿宋_GB2312" w:hAnsi="仿宋_GB2312" w:cs="仿宋_GB2312" w:eastAsia="仿宋_GB2312"/>
                <w:sz w:val="20"/>
                <w:color w:val="000000"/>
                <w:shd w:fill="FFFFFF" w:val="clear"/>
              </w:rPr>
              <w:t>主要建设内容：详见采购文件工程量清单及图纸全部内容</w:t>
            </w:r>
          </w:p>
          <w:p>
            <w:pPr>
              <w:pStyle w:val="null3"/>
            </w:pPr>
            <w:r>
              <w:rPr>
                <w:rFonts w:ascii="仿宋_GB2312" w:hAnsi="仿宋_GB2312" w:cs="仿宋_GB2312" w:eastAsia="仿宋_GB2312"/>
                <w:sz w:val="20"/>
                <w:color w:val="000000"/>
                <w:shd w:fill="FFFFFF" w:val="clear"/>
              </w:rPr>
              <w:t>2、</w:t>
            </w:r>
            <w:r>
              <w:rPr>
                <w:rFonts w:ascii="仿宋_GB2312" w:hAnsi="仿宋_GB2312" w:cs="仿宋_GB2312" w:eastAsia="仿宋_GB2312"/>
                <w:sz w:val="20"/>
                <w:color w:val="000000"/>
                <w:shd w:fill="FFFFFF" w:val="clear"/>
              </w:rPr>
              <w:t>工程地点：采购人指定地点</w:t>
            </w:r>
          </w:p>
          <w:p>
            <w:pPr>
              <w:pStyle w:val="null3"/>
            </w:pPr>
            <w:r>
              <w:rPr>
                <w:rFonts w:ascii="仿宋_GB2312" w:hAnsi="仿宋_GB2312" w:cs="仿宋_GB2312" w:eastAsia="仿宋_GB2312"/>
                <w:sz w:val="20"/>
                <w:color w:val="000000"/>
                <w:shd w:fill="FFFFFF" w:val="clear"/>
              </w:rPr>
              <w:t>3、</w:t>
            </w:r>
            <w:r>
              <w:rPr>
                <w:rFonts w:ascii="仿宋_GB2312" w:hAnsi="仿宋_GB2312" w:cs="仿宋_GB2312" w:eastAsia="仿宋_GB2312"/>
                <w:sz w:val="20"/>
                <w:color w:val="000000"/>
                <w:shd w:fill="FFFFFF" w:val="clear"/>
              </w:rPr>
              <w:t>工期：</w:t>
            </w:r>
            <w:r>
              <w:rPr>
                <w:rFonts w:ascii="仿宋_GB2312" w:hAnsi="仿宋_GB2312" w:cs="仿宋_GB2312" w:eastAsia="仿宋_GB2312"/>
                <w:sz w:val="20"/>
                <w:color w:val="000000"/>
                <w:u w:val="single"/>
                <w:shd w:fill="FFFFFF" w:val="clear"/>
              </w:rPr>
              <w:t xml:space="preserve"> </w:t>
            </w:r>
            <w:r>
              <w:rPr>
                <w:rFonts w:ascii="仿宋_GB2312" w:hAnsi="仿宋_GB2312" w:cs="仿宋_GB2312" w:eastAsia="仿宋_GB2312"/>
                <w:sz w:val="20"/>
                <w:color w:val="000000"/>
                <w:u w:val="single"/>
                <w:shd w:fill="FFFFFF" w:val="clear"/>
              </w:rPr>
              <w:t xml:space="preserve">60 </w:t>
            </w:r>
            <w:r>
              <w:rPr>
                <w:rFonts w:ascii="仿宋_GB2312" w:hAnsi="仿宋_GB2312" w:cs="仿宋_GB2312" w:eastAsia="仿宋_GB2312"/>
                <w:sz w:val="20"/>
                <w:color w:val="000000"/>
                <w:shd w:fill="FFFFFF" w:val="clear"/>
              </w:rPr>
              <w:t>日历天</w:t>
            </w:r>
          </w:p>
          <w:p>
            <w:pPr>
              <w:pStyle w:val="null3"/>
            </w:pPr>
            <w:r>
              <w:rPr>
                <w:rFonts w:ascii="仿宋_GB2312" w:hAnsi="仿宋_GB2312" w:cs="仿宋_GB2312" w:eastAsia="仿宋_GB2312"/>
                <w:sz w:val="20"/>
                <w:color w:val="000000"/>
                <w:shd w:fill="FFFFFF" w:val="clear"/>
              </w:rPr>
              <w:t>4、工程缺陷责任期为</w:t>
            </w:r>
            <w:r>
              <w:rPr>
                <w:rFonts w:ascii="仿宋_GB2312" w:hAnsi="仿宋_GB2312" w:cs="仿宋_GB2312" w:eastAsia="仿宋_GB2312"/>
                <w:sz w:val="20"/>
                <w:color w:val="000000"/>
                <w:u w:val="single"/>
                <w:shd w:fill="FFFFFF" w:val="clear"/>
              </w:rPr>
              <w:t xml:space="preserve"> </w:t>
            </w:r>
            <w:r>
              <w:rPr>
                <w:rFonts w:ascii="仿宋_GB2312" w:hAnsi="仿宋_GB2312" w:cs="仿宋_GB2312" w:eastAsia="仿宋_GB2312"/>
                <w:sz w:val="20"/>
                <w:color w:val="000000"/>
                <w:u w:val="single"/>
                <w:shd w:fill="FFFFFF" w:val="clear"/>
              </w:rPr>
              <w:t xml:space="preserve">6 </w:t>
            </w:r>
            <w:r>
              <w:rPr>
                <w:rFonts w:ascii="仿宋_GB2312" w:hAnsi="仿宋_GB2312" w:cs="仿宋_GB2312" w:eastAsia="仿宋_GB2312"/>
                <w:sz w:val="20"/>
                <w:color w:val="000000"/>
                <w:shd w:fill="FFFFFF" w:val="clear"/>
              </w:rPr>
              <w:t>个月</w:t>
            </w:r>
            <w:r>
              <w:rPr>
                <w:rFonts w:ascii="仿宋_GB2312" w:hAnsi="仿宋_GB2312" w:cs="仿宋_GB2312" w:eastAsia="仿宋_GB2312"/>
                <w:sz w:val="20"/>
                <w:color w:val="000000"/>
                <w:shd w:fill="FFFFFF" w:val="clear"/>
              </w:rPr>
              <w:t>，缺陷责任期自工程通过竣工验收之日起计算。单位工程先于全部工程进行验收，单位工程缺陷责任期自单位工程验收合格之日起算</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shd w:fill="FFFFFF" w:val="clear"/>
              </w:rPr>
              <w:t>5、质量保修期为</w:t>
            </w:r>
            <w:r>
              <w:rPr>
                <w:rFonts w:ascii="仿宋_GB2312" w:hAnsi="仿宋_GB2312" w:cs="仿宋_GB2312" w:eastAsia="仿宋_GB2312"/>
                <w:sz w:val="20"/>
                <w:color w:val="000000"/>
                <w:u w:val="single"/>
                <w:shd w:fill="FFFFFF" w:val="clear"/>
              </w:rPr>
              <w:t xml:space="preserve"> </w:t>
            </w:r>
            <w:r>
              <w:rPr>
                <w:rFonts w:ascii="仿宋_GB2312" w:hAnsi="仿宋_GB2312" w:cs="仿宋_GB2312" w:eastAsia="仿宋_GB2312"/>
                <w:sz w:val="20"/>
                <w:color w:val="000000"/>
                <w:u w:val="single"/>
                <w:shd w:fill="FFFFFF" w:val="clear"/>
              </w:rPr>
              <w:t xml:space="preserve">1 </w:t>
            </w:r>
            <w:r>
              <w:rPr>
                <w:rFonts w:ascii="仿宋_GB2312" w:hAnsi="仿宋_GB2312" w:cs="仿宋_GB2312" w:eastAsia="仿宋_GB2312"/>
                <w:sz w:val="20"/>
                <w:color w:val="000000"/>
                <w:shd w:fill="FFFFFF" w:val="clear"/>
              </w:rPr>
              <w:t>年，质量保修期自工程竣工验收合格之日起计算</w:t>
            </w:r>
            <w:r>
              <w:rPr>
                <w:rFonts w:ascii="仿宋_GB2312" w:hAnsi="仿宋_GB2312" w:cs="仿宋_GB2312" w:eastAsia="仿宋_GB2312"/>
                <w:sz w:val="20"/>
                <w:color w:val="000000"/>
                <w:shd w:fill="FFFFFF" w:val="clear"/>
              </w:rPr>
              <w:t>。</w:t>
            </w:r>
          </w:p>
          <w:p>
            <w:pPr>
              <w:pStyle w:val="null3"/>
            </w:pPr>
            <w:r>
              <w:rPr>
                <w:rFonts w:ascii="仿宋_GB2312" w:hAnsi="仿宋_GB2312" w:cs="仿宋_GB2312" w:eastAsia="仿宋_GB2312"/>
                <w:sz w:val="20"/>
                <w:color w:val="000000"/>
                <w:shd w:fill="FFFFFF" w:val="clear"/>
              </w:rPr>
              <w:t>6、产品保质期三年。</w:t>
            </w:r>
          </w:p>
          <w:p>
            <w:pPr>
              <w:pStyle w:val="null3"/>
            </w:pPr>
            <w:r>
              <w:rPr>
                <w:rFonts w:ascii="仿宋_GB2312" w:hAnsi="仿宋_GB2312" w:cs="仿宋_GB2312" w:eastAsia="仿宋_GB2312"/>
                <w:sz w:val="20"/>
                <w:color w:val="000000"/>
                <w:shd w:fill="FFFFFF" w:val="clear"/>
              </w:rPr>
              <w:t>7、工程结算与支付方式：</w:t>
            </w:r>
          </w:p>
          <w:p>
            <w:pPr>
              <w:pStyle w:val="null3"/>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1）合同签订后支付合同价款的40%作为预付款；</w:t>
            </w:r>
          </w:p>
          <w:p>
            <w:pPr>
              <w:pStyle w:val="null3"/>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2）工程进度款根据形象进度拨付，乙方每月向监理人报送上月已完成的工程量报告，监理人应在收到乙方提交的工程量报告后 7 天内完成对承包人提交的工程量报表的审核并报送甲方，以确定当月实际完成的工程量。甲方审核后，按完成工作量的 90%支付进度款（不含暂列金额）；</w:t>
            </w:r>
          </w:p>
          <w:p>
            <w:pPr>
              <w:pStyle w:val="null3"/>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3）待完成承包范围内全部工作且工程结算审计完成后，支付至审定建筑安装工程结算价的 97%；</w:t>
            </w:r>
          </w:p>
          <w:p>
            <w:pPr>
              <w:pStyle w:val="null3"/>
            </w:pPr>
            <w:r>
              <w:rPr>
                <w:rFonts w:ascii="仿宋_GB2312" w:hAnsi="仿宋_GB2312" w:cs="仿宋_GB2312" w:eastAsia="仿宋_GB2312"/>
                <w:sz w:val="20"/>
                <w:color w:val="000000"/>
                <w:shd w:fill="FFFFFF" w:val="clear"/>
              </w:rPr>
              <w:t>（</w:t>
            </w:r>
            <w:r>
              <w:rPr>
                <w:rFonts w:ascii="仿宋_GB2312" w:hAnsi="仿宋_GB2312" w:cs="仿宋_GB2312" w:eastAsia="仿宋_GB2312"/>
                <w:sz w:val="20"/>
                <w:color w:val="000000"/>
                <w:shd w:fill="FFFFFF" w:val="clear"/>
              </w:rPr>
              <w:t>4）剩余3%作为待支付工程款，竣工验收合格缺陷责任期满后支付剩余工程款</w:t>
            </w:r>
            <w:r>
              <w:rPr>
                <w:rFonts w:ascii="仿宋_GB2312" w:hAnsi="仿宋_GB2312" w:cs="仿宋_GB2312" w:eastAsia="仿宋_GB2312"/>
                <w:sz w:val="20"/>
                <w:color w:val="000000"/>
                <w:shd w:fill="FFFFFF" w:val="clear"/>
              </w:rPr>
              <w:t>。</w:t>
            </w:r>
          </w:p>
          <w:p>
            <w:pPr>
              <w:pStyle w:val="null3"/>
              <w:spacing w:before="105" w:after="105"/>
              <w:jc w:val="both"/>
            </w:pPr>
            <w:r>
              <w:rPr>
                <w:rFonts w:ascii="仿宋_GB2312" w:hAnsi="仿宋_GB2312" w:cs="仿宋_GB2312" w:eastAsia="仿宋_GB2312"/>
                <w:sz w:val="24"/>
                <w:b/>
                <w:color w:val="000000"/>
                <w:shd w:fill="FFFFFF" w:val="clear"/>
              </w:rPr>
              <w:t>三、</w:t>
            </w:r>
            <w:r>
              <w:rPr>
                <w:rFonts w:ascii="仿宋_GB2312" w:hAnsi="仿宋_GB2312" w:cs="仿宋_GB2312" w:eastAsia="仿宋_GB2312"/>
                <w:sz w:val="24"/>
                <w:b/>
                <w:color w:val="000000"/>
                <w:shd w:fill="FFFFFF" w:val="clear"/>
              </w:rPr>
              <w:t>工程量清单和</w:t>
            </w:r>
            <w:r>
              <w:rPr>
                <w:rFonts w:ascii="仿宋_GB2312" w:hAnsi="仿宋_GB2312" w:cs="仿宋_GB2312" w:eastAsia="仿宋_GB2312"/>
                <w:sz w:val="24"/>
                <w:b/>
                <w:color w:val="000000"/>
                <w:shd w:fill="FFFFFF" w:val="clear"/>
              </w:rPr>
              <w:t>计价依据</w:t>
            </w:r>
          </w:p>
          <w:p>
            <w:pPr>
              <w:pStyle w:val="null3"/>
            </w:pPr>
            <w:r>
              <w:rPr>
                <w:rFonts w:ascii="仿宋_GB2312" w:hAnsi="仿宋_GB2312" w:cs="仿宋_GB2312" w:eastAsia="仿宋_GB2312"/>
                <w:sz w:val="20"/>
                <w:color w:val="000000"/>
                <w:shd w:fill="FFFFFF" w:val="clear"/>
              </w:rPr>
              <w:t xml:space="preserve">  陕西省水利工程设计概（估）算编制规定（</w:t>
            </w:r>
            <w:r>
              <w:rPr>
                <w:rFonts w:ascii="仿宋_GB2312" w:hAnsi="仿宋_GB2312" w:cs="仿宋_GB2312" w:eastAsia="仿宋_GB2312"/>
                <w:sz w:val="20"/>
                <w:color w:val="000000"/>
                <w:shd w:fill="FFFFFF" w:val="clear"/>
              </w:rPr>
              <w:t>2024年修正）、《陕西省水利建筑工程预算定额》（2024年修正）、《陕西省水利工程施工机械台班费定额》（2024年修正）；人工预算单价，执行调整后的价格标准：技工 75 元/工日，普工 50 元/工日；材料价格参考市场价</w:t>
            </w:r>
            <w:r>
              <w:rPr>
                <w:rFonts w:ascii="仿宋_GB2312" w:hAnsi="仿宋_GB2312" w:cs="仿宋_GB2312" w:eastAsia="仿宋_GB2312"/>
                <w:sz w:val="20"/>
                <w:color w:val="000000"/>
                <w:shd w:fill="FFFFFF" w:val="clear"/>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质量达到合格标准，并满足国家相关标准、规范及有关技术文件要求。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（一）在施工期间，中标供应商必须注意施工现场人员安全，加强安全措施，并对施工人员进行安全教育。施工人员必须持证上岗。因采购人工作的特殊性，要求中标供应商在施工中做到封闭性施工。 （二）供应商针对本项目的施工，必须达到国家及行业现行技术规范标准，符合国家及行业验收合格标准。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且签字盖章齐全。 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 （2）税收缴纳证明：提供供应商自磋商前6个月以来已缴纳任意时段完税凭证或税务机关开具的完税证明（任意税种）；依法免税的应提供相关文件证明； （3）社会保障资金缴纳证明：提供供应商自磋商前6个月以来已缴存的任意时段的社会保障资金缴存单据或社保机构开具的社会保险参保缴费情况证明；依法不需要缴纳社会保障资金的供应商应提供相关文件证明； （4）提供供应商具备履行合同所必需的设备和专业技术能力的证明材料； （5）供应商参加本次磋商前3年内，在经营活动中没有重大违法记录的书面声明；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2025年度经审计的财务报告（包括“四表一注”，即资产负债表、利润表、现金流量表、所有者权益变动表及其附注），或者提供响应文件截止时间六个月内其基本账户开户银行出具的资信证明（附《基本存款账户信息》或《银行开户许可证》复印件），或者提供财政部门认可的政府采购专业担保机构出具的投标担保函，以上三种形式的资料提供任何一种即可（成立时间至提交响应文件截止时间不足一年的可提供成立后任意时段的资产负债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供应商须具备建设行政主管部门颁发的水利水电工程施工总承包三级（含三级）以上资质，并具备有效的安全生产许可证；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拟派项目经理须具备有效的的水利水电工程专业二级（含二级）以上建造师注册证，具备水利行政主管部门颁发的安全生产考核合格证（B证），在本单位注册，且无在建工程（提供承诺书）；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登记备案</w:t>
            </w:r>
          </w:p>
        </w:tc>
        <w:tc>
          <w:tcPr>
            <w:tcW w:type="dxa" w:w="3322"/>
          </w:tcPr>
          <w:p>
            <w:pPr>
              <w:pStyle w:val="null3"/>
            </w:pPr>
            <w:r>
              <w:rPr>
                <w:rFonts w:ascii="仿宋_GB2312" w:hAnsi="仿宋_GB2312" w:cs="仿宋_GB2312" w:eastAsia="仿宋_GB2312"/>
              </w:rPr>
              <w:t>供应商基本信息及项目经理基本信息应在“陕西建设网（http://js.shaanxi.gov.cn/ ）陕西省建筑市场监管与诚信信息发布平台”可查询；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案件当事人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案件当事人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响应文件按照磋商文件的要求签字或盖章</w:t>
            </w:r>
          </w:p>
        </w:tc>
        <w:tc>
          <w:tcPr>
            <w:tcW w:type="dxa" w:w="1661"/>
          </w:tcPr>
          <w:p>
            <w:pPr>
              <w:pStyle w:val="null3"/>
            </w:pPr>
            <w:r>
              <w:rPr>
                <w:rFonts w:ascii="仿宋_GB2312" w:hAnsi="仿宋_GB2312" w:cs="仿宋_GB2312" w:eastAsia="仿宋_GB2312"/>
              </w:rPr>
              <w:t>已标价工程量清单 供应商类似项目业绩一览表.docx 中小企业声明函 响应文件封面 供应商应提交的相关资格证明材料.docx 残疾人福利性单位声明函 报价函 供应商认为需补充的其他内容.docx 标的清单 供应商拒绝政府采购领域商业贿赂承诺书.docx 响应函 监狱企业的证明文件 技术、服务、合同条款及其他商务要求应答表.docx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缺陷责任期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产品保质期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提供针对本项目的施工方案，内容包括但不限于①施工准备：技术准备、材料准备、机械准备、机具准备、劳动力准备等。② 施工方法及工艺；③重难点及解决方案；④应急方案。以上内容专门针对本项目且阐述明晰、全面、合理得20分，每缺一项内容扣5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供应商认为需补充的其他内容.docx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提供针对本项目的质量保证措施，内容包括但不限于①质量目标管理体系；②施工质量的检验制度；③确保质量的技术组织措施；④施工质量控制措施。以上内容专门针对本项目且阐述明晰、全面、合理得8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供应商认为需补充的其他内容.docx</w:t>
            </w:r>
          </w:p>
        </w:tc>
      </w:tr>
      <w:tr>
        <w:tc>
          <w:tcPr>
            <w:tcW w:type="dxa" w:w="831"/>
            <w:vMerge/>
          </w:tcPr>
          <w:p/>
        </w:tc>
        <w:tc>
          <w:tcPr>
            <w:tcW w:type="dxa" w:w="1661"/>
          </w:tcPr>
          <w:p>
            <w:pPr>
              <w:pStyle w:val="null3"/>
            </w:pPr>
            <w:r>
              <w:rPr>
                <w:rFonts w:ascii="仿宋_GB2312" w:hAnsi="仿宋_GB2312" w:cs="仿宋_GB2312" w:eastAsia="仿宋_GB2312"/>
              </w:rPr>
              <w:t>确保安全施工的组织措施</w:t>
            </w:r>
          </w:p>
        </w:tc>
        <w:tc>
          <w:tcPr>
            <w:tcW w:type="dxa" w:w="2492"/>
          </w:tcPr>
          <w:p>
            <w:pPr>
              <w:pStyle w:val="null3"/>
            </w:pPr>
            <w:r>
              <w:rPr>
                <w:rFonts w:ascii="仿宋_GB2312" w:hAnsi="仿宋_GB2312" w:cs="仿宋_GB2312" w:eastAsia="仿宋_GB2312"/>
              </w:rPr>
              <w:t>提供针对本项目的安全施工措施。内容包括但不限于①安全生产管理制度；②安全施工措施；③安全应急预案；④安全生产教育。以上内容专门针对本项目且阐述明晰、全面、合理得8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供应商认为需补充的其他内容.docx</w:t>
            </w:r>
          </w:p>
        </w:tc>
      </w:tr>
      <w:tr>
        <w:tc>
          <w:tcPr>
            <w:tcW w:type="dxa" w:w="831"/>
            <w:vMerge/>
          </w:tcPr>
          <w:p/>
        </w:tc>
        <w:tc>
          <w:tcPr>
            <w:tcW w:type="dxa" w:w="1661"/>
          </w:tcPr>
          <w:p>
            <w:pPr>
              <w:pStyle w:val="null3"/>
            </w:pPr>
            <w:r>
              <w:rPr>
                <w:rFonts w:ascii="仿宋_GB2312" w:hAnsi="仿宋_GB2312" w:cs="仿宋_GB2312" w:eastAsia="仿宋_GB2312"/>
              </w:rPr>
              <w:t>确保文明施工的组织措施</w:t>
            </w:r>
          </w:p>
        </w:tc>
        <w:tc>
          <w:tcPr>
            <w:tcW w:type="dxa" w:w="2492"/>
          </w:tcPr>
          <w:p>
            <w:pPr>
              <w:pStyle w:val="null3"/>
            </w:pPr>
            <w:r>
              <w:rPr>
                <w:rFonts w:ascii="仿宋_GB2312" w:hAnsi="仿宋_GB2312" w:cs="仿宋_GB2312" w:eastAsia="仿宋_GB2312"/>
              </w:rPr>
              <w:t>提供针对本项目的文明施工措施，内容包含但不限于①文明施工保证体系；②文明施工管理目标及技术措施；③文明施工现场管理（材料管理、防扰民措施）。以上内容专门针对本项目且阐述明晰、全面、合理得6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供应商认为需补充的其他内容.docx</w:t>
            </w:r>
          </w:p>
        </w:tc>
      </w:tr>
      <w:tr>
        <w:tc>
          <w:tcPr>
            <w:tcW w:type="dxa" w:w="831"/>
            <w:vMerge/>
          </w:tcPr>
          <w:p/>
        </w:tc>
        <w:tc>
          <w:tcPr>
            <w:tcW w:type="dxa" w:w="1661"/>
          </w:tcPr>
          <w:p>
            <w:pPr>
              <w:pStyle w:val="null3"/>
            </w:pPr>
            <w:r>
              <w:rPr>
                <w:rFonts w:ascii="仿宋_GB2312" w:hAnsi="仿宋_GB2312" w:cs="仿宋_GB2312" w:eastAsia="仿宋_GB2312"/>
              </w:rPr>
              <w:t>确保环境保护的组织措施</w:t>
            </w:r>
          </w:p>
        </w:tc>
        <w:tc>
          <w:tcPr>
            <w:tcW w:type="dxa" w:w="2492"/>
          </w:tcPr>
          <w:p>
            <w:pPr>
              <w:pStyle w:val="null3"/>
            </w:pPr>
            <w:r>
              <w:rPr>
                <w:rFonts w:ascii="仿宋_GB2312" w:hAnsi="仿宋_GB2312" w:cs="仿宋_GB2312" w:eastAsia="仿宋_GB2312"/>
              </w:rPr>
              <w:t>提供针对本项目的环境保护措施，内容包含但不限于①环境保护管理体系；②环保保护措施，包括污染物及废弃物处理的排放、噪音控制、防尘及扬尘的控制措施。以上内容专门针对本项目且阐述明晰、全面、合理得6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供应商认为需补充的其他内容.docx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提供针对本项目的工程进度计划与措施，内容包括但不限于①施工进度计划管理；②保证工程进度技术措施；③合理组织、科学管理工程项目施工等。以上内容专门针对本项目且阐述明晰、全面、合理得9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供应商认为需补充的其他内容.docx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供针对本项目组织机构，内容包含但不限于①管理机构的配备计划；②组织机构的岗位职责。以上内容专门针对本项目且阐述明晰、全面、合理得8分，每缺一项内容扣4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供应商认为需补充的其他内容.docx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供应商提供2023年1月1日（以合同签订日期为准）至今的类似项目业绩，每提供一份得1分，最高得5分。(合同复印件加盖公章附在响应文件中，否则不作为评审依据）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详见附件：供应商认为需补充的其他内容.docx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 (参考格式).docx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