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版本号：ZCSP-西安市高新区-2026-0005220260710004</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西安高新区防汛抢险物资储备仓库项目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ZCSP-西安市高新区-2026-00052</w:t>
      </w:r>
      <w:r>
        <w:br/>
      </w:r>
      <w:r>
        <w:br/>
      </w:r>
      <w:r>
        <w:br/>
      </w:r>
    </w:p>
    <w:p>
      <w:pPr>
        <w:pStyle w:val="null3"/>
        <w:jc w:val="center"/>
        <w:outlineLvl w:val="2"/>
      </w:pPr>
      <w:r>
        <w:rPr>
          <w:rFonts w:ascii="仿宋_GB2312" w:hAnsi="仿宋_GB2312" w:cs="仿宋_GB2312" w:eastAsia="仿宋_GB2312"/>
          <w:sz w:val="28"/>
          <w:b/>
        </w:rPr>
        <w:t>西安市长安区沣河管理站</w:t>
      </w:r>
    </w:p>
    <w:p>
      <w:pPr>
        <w:pStyle w:val="null3"/>
        <w:jc w:val="center"/>
        <w:outlineLvl w:val="2"/>
      </w:pPr>
      <w:r>
        <w:rPr>
          <w:rFonts w:ascii="仿宋_GB2312" w:hAnsi="仿宋_GB2312" w:cs="仿宋_GB2312" w:eastAsia="仿宋_GB2312"/>
          <w:sz w:val="28"/>
          <w:b/>
        </w:rPr>
        <w:t>陕西诚信达工程建设咨询有限责任公司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陕西诚信达工程建设咨询有限责任公司</w:t>
      </w:r>
      <w:r>
        <w:rPr>
          <w:rFonts w:ascii="仿宋_GB2312" w:hAnsi="仿宋_GB2312" w:cs="仿宋_GB2312" w:eastAsia="仿宋_GB2312"/>
        </w:rPr>
        <w:t>（以下简称“代理机构”）受</w:t>
      </w:r>
      <w:r>
        <w:rPr>
          <w:rFonts w:ascii="仿宋_GB2312" w:hAnsi="仿宋_GB2312" w:cs="仿宋_GB2312" w:eastAsia="仿宋_GB2312"/>
        </w:rPr>
        <w:t>西安市长安区沣河管理站</w:t>
      </w:r>
      <w:r>
        <w:rPr>
          <w:rFonts w:ascii="仿宋_GB2312" w:hAnsi="仿宋_GB2312" w:cs="仿宋_GB2312" w:eastAsia="仿宋_GB2312"/>
        </w:rPr>
        <w:t>委托，拟对</w:t>
      </w:r>
      <w:r>
        <w:rPr>
          <w:rFonts w:ascii="仿宋_GB2312" w:hAnsi="仿宋_GB2312" w:cs="仿宋_GB2312" w:eastAsia="仿宋_GB2312"/>
        </w:rPr>
        <w:t>西安高新区防汛抢险物资储备仓库项目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ZCSP-西安市高新区-2026-00052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西安高新区防汛抢险物资储备仓库项目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建设地点:西安高新区东大街办太平河村南。 主要建设内容及规模： 项目规划占地面积519.62㎡，总建筑面积450.19㎡，拟建设防汛抢险物资储备仓库1座及其配套设施。 防汛抢险物资储备仓库占地面积279.11㎡，为两层框架局部砖混结构，建筑面积450.19㎡，建筑高度8.40m，其中:一层建筑高度4.5m，建筑面积279.11㎡;二层建筑高度3.3m，建筑面积171.08㎡。</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具有独立承担民事责任的能力：供应商应具有独立承担民事责任的能力且具备向采购人提供相关工程及服务的企业法人、事业法人、其他组织或者自然人,企业法人应提供统一社会信用代码的营业执照；事业法人应提供统一社会信用代码的事业单位法人证；其他组织应提供合法证明文件；自然人提供身份证明文件；供应商需在项目电子化交易系统中按要求上传相应证明文件并进行电子签章。</w:t>
      </w:r>
    </w:p>
    <w:p>
      <w:pPr>
        <w:pStyle w:val="null3"/>
      </w:pPr>
      <w:r>
        <w:rPr>
          <w:rFonts w:ascii="仿宋_GB2312" w:hAnsi="仿宋_GB2312" w:cs="仿宋_GB2312" w:eastAsia="仿宋_GB2312"/>
        </w:rPr>
        <w:t>2、供应商应授权合法的人员参加磋商全过程：法定代表人授权委托书（附法定代表人身份证复印件）及被授权委托人身份证（法定代表人参加磋商只须提供法定代表人身份证）；供应商需在项目电子化交易系统中按要求上传相应证明文件并进行电子签章。</w:t>
      </w:r>
    </w:p>
    <w:p>
      <w:pPr>
        <w:pStyle w:val="null3"/>
      </w:pPr>
      <w:r>
        <w:rPr>
          <w:rFonts w:ascii="仿宋_GB2312" w:hAnsi="仿宋_GB2312" w:cs="仿宋_GB2312" w:eastAsia="仿宋_GB2312"/>
        </w:rPr>
        <w:t>3、有依法缴纳税收和社会保障资金的良好记录：提供依法缴纳税收和社会保障资金的相关材料，依法免税的供应商应具有税务部门出具的证明文件；依法不需要缴纳社会保障资金的供应商，需具有社保部门出具的证明文件；供应商需在项目电子化交易系统中按要求上传相应证明文件并进行电子签章。</w:t>
      </w:r>
    </w:p>
    <w:p>
      <w:pPr>
        <w:pStyle w:val="null3"/>
      </w:pPr>
      <w:r>
        <w:rPr>
          <w:rFonts w:ascii="仿宋_GB2312" w:hAnsi="仿宋_GB2312" w:cs="仿宋_GB2312" w:eastAsia="仿宋_GB2312"/>
        </w:rPr>
        <w:t>4、供应商具有良好的商业信誉和健全的财务会计制度：提供2024年度或2025年度经审计的财务审计报告或磋商前3个月内供应商基本账户银行出具的资信证明；供应商需在项目电子化交易系统中按要求上传相应证明文件并进行电子签章。</w:t>
      </w:r>
    </w:p>
    <w:p>
      <w:pPr>
        <w:pStyle w:val="null3"/>
      </w:pPr>
      <w:r>
        <w:rPr>
          <w:rFonts w:ascii="仿宋_GB2312" w:hAnsi="仿宋_GB2312" w:cs="仿宋_GB2312" w:eastAsia="仿宋_GB2312"/>
        </w:rPr>
        <w:t>5、供应商具有履行合同所必需的设备和专业技术能力：具有履行合同所必需的设备和专业技术能力的声明；供应商需在项目电子化交易系统中按要求上传相应证明文件并进行电子签章。</w:t>
      </w:r>
    </w:p>
    <w:p>
      <w:pPr>
        <w:pStyle w:val="null3"/>
      </w:pPr>
      <w:r>
        <w:rPr>
          <w:rFonts w:ascii="仿宋_GB2312" w:hAnsi="仿宋_GB2312" w:cs="仿宋_GB2312" w:eastAsia="仿宋_GB2312"/>
        </w:rPr>
        <w:t>6、资质证书：供应商具有建设行政主管部门核发的建筑工程施工总承包三级（含三级）以上资质，并提供有效的安全生产许可证；供应商需在项目电子化交易系统中按要求上传相应证明文件并进行电子签章。</w:t>
      </w:r>
    </w:p>
    <w:p>
      <w:pPr>
        <w:pStyle w:val="null3"/>
      </w:pPr>
      <w:r>
        <w:rPr>
          <w:rFonts w:ascii="仿宋_GB2312" w:hAnsi="仿宋_GB2312" w:cs="仿宋_GB2312" w:eastAsia="仿宋_GB2312"/>
        </w:rPr>
        <w:t>7、拟派项目经理资格和专业要求。：供应商拟派项目经理须提供建筑工程专业二级以上（含二级）注册建造师证书及建设行政主管部门颁发的安全生产考核合格证，且无在建工程，供应商需在项目电子化交易系统中按要求上传相应证明文件并进行电子签章。</w:t>
      </w:r>
    </w:p>
    <w:p>
      <w:pPr>
        <w:pStyle w:val="null3"/>
      </w:pPr>
      <w:r>
        <w:rPr>
          <w:rFonts w:ascii="仿宋_GB2312" w:hAnsi="仿宋_GB2312" w:cs="仿宋_GB2312" w:eastAsia="仿宋_GB2312"/>
        </w:rPr>
        <w:t>8、供应商参加政府采购活动前三年内在经营活动中没有重大违法记录：提供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9、供应商信用信息：采购人或采购代理机构将在磋商截止日当天资格审查阶段通过〔信用中国（www.creditchina.gov.cn）〕和〔中国政府采购网（www.ccg p.gov.cn）〕网站对供应商的信用情况进行查询（符合《财政部关于在政府采购活动中查询及使用信用记录有关问题的通知》（财库〔2016〕125号）文件中信用查询的要求），并将网页截图附在评审资料中。</w:t>
      </w:r>
    </w:p>
    <w:p>
      <w:pPr>
        <w:pStyle w:val="null3"/>
      </w:pPr>
      <w:r>
        <w:rPr>
          <w:rFonts w:ascii="仿宋_GB2312" w:hAnsi="仿宋_GB2312" w:cs="仿宋_GB2312" w:eastAsia="仿宋_GB2312"/>
        </w:rPr>
        <w:t>10、非联合体磋商：非联合体磋商声明;供应商需在项目电子化交易系统中按要求上传相应证明文件并进行电子签章。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西安市长安区沣河管理站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西安市长安区马王街道沣桥街2号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710115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西安市长安区沣河管理站经办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13992857726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陕西诚信达工程建设咨询有限责任公司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西安市未央区凤城七路和明光路十字东北角长和国际B座16楼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韩苗</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18792907681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胥部长</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采购包1：1,603,076.54元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代理服务费收费标准：招标代理服务费由成交供应商在领取《成交通知书》时，一次性向招标代理机构支付。招标代理服务费为人民币壹万元整(¥10000.00元)。 缴纳账户信息: 开户名称:陕西诚信达工程建设咨询有限责任公司 开户行:中国建设银行股份有限公司西安文景路支行 账号:61050178150000000756</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西安市长安区沣河管理站</w:t>
      </w:r>
      <w:r>
        <w:rPr>
          <w:rFonts w:ascii="仿宋_GB2312" w:hAnsi="仿宋_GB2312" w:cs="仿宋_GB2312" w:eastAsia="仿宋_GB2312"/>
        </w:rPr>
        <w:t>和</w:t>
      </w:r>
      <w:r>
        <w:rPr>
          <w:rFonts w:ascii="仿宋_GB2312" w:hAnsi="仿宋_GB2312" w:cs="仿宋_GB2312" w:eastAsia="仿宋_GB2312"/>
        </w:rPr>
        <w:t>陕西诚信达工程建设咨询有限责任公司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西安市长安区沣河管理站</w:t>
      </w:r>
      <w:r>
        <w:rPr>
          <w:rFonts w:ascii="仿宋_GB2312" w:hAnsi="仿宋_GB2312" w:cs="仿宋_GB2312" w:eastAsia="仿宋_GB2312"/>
        </w:rPr>
        <w:t>负责解释。除上述磋商文件内容，其他内容由</w:t>
      </w:r>
      <w:r>
        <w:rPr>
          <w:rFonts w:ascii="仿宋_GB2312" w:hAnsi="仿宋_GB2312" w:cs="仿宋_GB2312" w:eastAsia="仿宋_GB2312"/>
        </w:rPr>
        <w:t>陕西诚信达工程建设咨询有限责任公司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西安市长安区沣河管理站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陕西诚信达工程建设咨询有限责任公司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工程质量目标:达到国家现行施工验收规范“合格”标准。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陕西诚信达工程建设咨询有限责任公司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陕西诚信达工程建设咨询有限责任公司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陕西诚信达工程建设咨询有限责任公司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联系人：郗林</w:t>
      </w:r>
    </w:p>
    <w:p>
      <w:pPr>
        <w:pStyle w:val="null3"/>
      </w:pPr>
      <w:r>
        <w:rPr>
          <w:rFonts w:ascii="仿宋_GB2312" w:hAnsi="仿宋_GB2312" w:cs="仿宋_GB2312" w:eastAsia="仿宋_GB2312"/>
        </w:rPr>
        <w:t>联系电话：13519141843</w:t>
      </w:r>
    </w:p>
    <w:p>
      <w:pPr>
        <w:pStyle w:val="null3"/>
      </w:pPr>
      <w:r>
        <w:rPr>
          <w:rFonts w:ascii="仿宋_GB2312" w:hAnsi="仿宋_GB2312" w:cs="仿宋_GB2312" w:eastAsia="仿宋_GB2312"/>
        </w:rPr>
        <w:t>地址：西安市未央区凤城七路和明光路十字东北角长和国际B座16楼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1,603,076.54</w:t>
      </w:r>
    </w:p>
    <w:p>
      <w:pPr>
        <w:pStyle w:val="null3"/>
      </w:pPr>
      <w:r>
        <w:rPr>
          <w:rFonts w:ascii="仿宋_GB2312" w:hAnsi="仿宋_GB2312" w:cs="仿宋_GB2312" w:eastAsia="仿宋_GB2312"/>
        </w:rPr>
        <w:t>采购包最高限价（元）: 1,603,076.54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西安高新区防汛抢险物资储备仓库项目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1,603,076.54</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标的名称：西安高新区防汛抢险物资储备仓库项目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一、</w:t>
            </w:r>
            <w:r>
              <w:rPr>
                <w:rFonts w:ascii="仿宋_GB2312" w:hAnsi="仿宋_GB2312" w:cs="仿宋_GB2312" w:eastAsia="仿宋_GB2312"/>
                <w:sz w:val="20"/>
              </w:rPr>
              <w:t>主要建设内容</w:t>
            </w:r>
            <w:r>
              <w:rPr>
                <w:rFonts w:ascii="仿宋_GB2312" w:hAnsi="仿宋_GB2312" w:cs="仿宋_GB2312" w:eastAsia="仿宋_GB2312"/>
                <w:sz w:val="20"/>
              </w:rPr>
              <w:t>及规模</w:t>
            </w:r>
            <w:r>
              <w:rPr>
                <w:rFonts w:ascii="仿宋_GB2312" w:hAnsi="仿宋_GB2312" w:cs="仿宋_GB2312" w:eastAsia="仿宋_GB2312"/>
                <w:sz w:val="20"/>
              </w:rPr>
              <w:t>：</w:t>
            </w:r>
          </w:p>
          <w:p>
            <w:pPr>
              <w:pStyle w:val="null3"/>
              <w:ind w:firstLine="400"/>
            </w:pPr>
            <w:r>
              <w:rPr>
                <w:rFonts w:ascii="仿宋_GB2312" w:hAnsi="仿宋_GB2312" w:cs="仿宋_GB2312" w:eastAsia="仿宋_GB2312"/>
                <w:sz w:val="20"/>
              </w:rPr>
              <w:t>建设地点:西安高新区东大街办太平河村南。</w:t>
            </w:r>
            <w:r>
              <w:br/>
            </w:r>
            <w:r>
              <w:rPr>
                <w:rFonts w:ascii="仿宋_GB2312" w:hAnsi="仿宋_GB2312" w:cs="仿宋_GB2312" w:eastAsia="仿宋_GB2312"/>
                <w:sz w:val="20"/>
              </w:rPr>
              <w:t xml:space="preserve">       主要建设内容及规模：</w:t>
            </w:r>
            <w:r>
              <w:br/>
            </w:r>
            <w:r>
              <w:rPr>
                <w:rFonts w:ascii="仿宋_GB2312" w:hAnsi="仿宋_GB2312" w:cs="仿宋_GB2312" w:eastAsia="仿宋_GB2312"/>
                <w:sz w:val="20"/>
              </w:rPr>
              <w:t xml:space="preserve">       项目规划占地面积519.62㎡，总建筑面积450.19㎡，拟建设防汛抢险物资储备仓库1座及其配套设施。</w:t>
            </w:r>
            <w:r>
              <w:br/>
            </w:r>
            <w:r>
              <w:rPr>
                <w:rFonts w:ascii="仿宋_GB2312" w:hAnsi="仿宋_GB2312" w:cs="仿宋_GB2312" w:eastAsia="仿宋_GB2312"/>
                <w:sz w:val="20"/>
              </w:rPr>
              <w:t xml:space="preserve">       防汛抢险物资储备仓库占地面积279.11㎡，为两层框架局部砖混结构，建筑面积450.19㎡，建筑高度8.40m，其中:一层建筑高度4.5m，建筑面积279.11㎡;二层建筑高度3.3m，建筑面积171.08㎡。</w:t>
            </w:r>
          </w:p>
          <w:p>
            <w:pPr>
              <w:pStyle w:val="null3"/>
            </w:pPr>
            <w:r>
              <w:rPr>
                <w:rFonts w:ascii="仿宋_GB2312" w:hAnsi="仿宋_GB2312" w:cs="仿宋_GB2312" w:eastAsia="仿宋_GB2312"/>
                <w:sz w:val="20"/>
              </w:rPr>
              <w:t>二</w:t>
            </w:r>
            <w:r>
              <w:rPr>
                <w:rFonts w:ascii="仿宋_GB2312" w:hAnsi="仿宋_GB2312" w:cs="仿宋_GB2312" w:eastAsia="仿宋_GB2312"/>
                <w:sz w:val="20"/>
              </w:rPr>
              <w:t>、项目要求：</w:t>
            </w:r>
          </w:p>
          <w:p>
            <w:pPr>
              <w:pStyle w:val="null3"/>
            </w:pPr>
            <w:r>
              <w:rPr>
                <w:rFonts w:ascii="仿宋_GB2312" w:hAnsi="仿宋_GB2312" w:cs="仿宋_GB2312" w:eastAsia="仿宋_GB2312"/>
                <w:sz w:val="20"/>
              </w:rPr>
              <w:t xml:space="preserve">      质量标准：</w:t>
            </w:r>
          </w:p>
          <w:p>
            <w:pPr>
              <w:pStyle w:val="null3"/>
              <w:ind w:firstLine="400"/>
            </w:pPr>
            <w:r>
              <w:rPr>
                <w:rFonts w:ascii="仿宋_GB2312" w:hAnsi="仿宋_GB2312" w:cs="仿宋_GB2312" w:eastAsia="仿宋_GB2312"/>
                <w:sz w:val="20"/>
              </w:rPr>
              <w:t>1、工程质量目标:达到国家现行施工验收规范“合格”标准。</w:t>
            </w:r>
          </w:p>
          <w:p>
            <w:pPr>
              <w:pStyle w:val="null3"/>
              <w:ind w:firstLine="400"/>
            </w:pPr>
            <w:r>
              <w:rPr>
                <w:rFonts w:ascii="仿宋_GB2312" w:hAnsi="仿宋_GB2312" w:cs="仿宋_GB2312" w:eastAsia="仿宋_GB2312"/>
                <w:sz w:val="20"/>
              </w:rPr>
              <w:t>2、文明施工:安全文明施工工地。</w:t>
            </w:r>
          </w:p>
          <w:p>
            <w:pPr>
              <w:pStyle w:val="null3"/>
            </w:pPr>
            <w:r>
              <w:rPr>
                <w:rFonts w:ascii="仿宋_GB2312" w:hAnsi="仿宋_GB2312" w:cs="仿宋_GB2312" w:eastAsia="仿宋_GB2312"/>
                <w:sz w:val="20"/>
              </w:rPr>
              <w:t>三</w:t>
            </w:r>
            <w:r>
              <w:rPr>
                <w:rFonts w:ascii="仿宋_GB2312" w:hAnsi="仿宋_GB2312" w:cs="仿宋_GB2312" w:eastAsia="仿宋_GB2312"/>
                <w:sz w:val="20"/>
              </w:rPr>
              <w:t>、工程实施期限：</w:t>
            </w:r>
          </w:p>
          <w:p>
            <w:pPr>
              <w:pStyle w:val="null3"/>
              <w:ind w:firstLine="400"/>
            </w:pPr>
            <w:r>
              <w:rPr>
                <w:rFonts w:ascii="仿宋_GB2312" w:hAnsi="仿宋_GB2312" w:cs="仿宋_GB2312" w:eastAsia="仿宋_GB2312"/>
                <w:sz w:val="20"/>
              </w:rPr>
              <w:t>自接到开工令之日起</w:t>
            </w:r>
            <w:r>
              <w:rPr>
                <w:rFonts w:ascii="仿宋_GB2312" w:hAnsi="仿宋_GB2312" w:cs="仿宋_GB2312" w:eastAsia="仿宋_GB2312"/>
                <w:sz w:val="20"/>
              </w:rPr>
              <w:t>3个月</w:t>
            </w:r>
            <w:r>
              <w:rPr>
                <w:rFonts w:ascii="仿宋_GB2312" w:hAnsi="仿宋_GB2312" w:cs="仿宋_GB2312" w:eastAsia="仿宋_GB2312"/>
                <w:sz w:val="20"/>
              </w:rPr>
              <w:t>。</w:t>
            </w:r>
          </w:p>
          <w:p>
            <w:pPr>
              <w:pStyle w:val="null3"/>
            </w:pPr>
            <w:r>
              <w:rPr>
                <w:rFonts w:ascii="仿宋_GB2312" w:hAnsi="仿宋_GB2312" w:cs="仿宋_GB2312" w:eastAsia="仿宋_GB2312"/>
                <w:sz w:val="20"/>
              </w:rPr>
              <w:t>四</w:t>
            </w:r>
            <w:r>
              <w:rPr>
                <w:rFonts w:ascii="仿宋_GB2312" w:hAnsi="仿宋_GB2312" w:cs="仿宋_GB2312" w:eastAsia="仿宋_GB2312"/>
                <w:sz w:val="20"/>
              </w:rPr>
              <w:t>、安全要求</w:t>
            </w:r>
          </w:p>
          <w:p>
            <w:pPr>
              <w:pStyle w:val="null3"/>
              <w:ind w:firstLine="400"/>
            </w:pPr>
            <w:r>
              <w:rPr>
                <w:rFonts w:ascii="仿宋_GB2312" w:hAnsi="仿宋_GB2312" w:cs="仿宋_GB2312" w:eastAsia="仿宋_GB2312"/>
                <w:sz w:val="20"/>
              </w:rPr>
              <w:t>遵守工程建设安全生产有关管理规定，严格按安全标准组织施工，采取必要的安全生产措施，消除事故隐患。安全措施不力造成事故责任和发生的费用由成交供应商承担。</w:t>
            </w:r>
          </w:p>
          <w:p>
            <w:pPr>
              <w:pStyle w:val="null3"/>
            </w:pPr>
            <w:r>
              <w:rPr>
                <w:rFonts w:ascii="仿宋_GB2312" w:hAnsi="仿宋_GB2312" w:cs="仿宋_GB2312" w:eastAsia="仿宋_GB2312"/>
                <w:sz w:val="20"/>
              </w:rPr>
              <w:t>五</w:t>
            </w:r>
            <w:r>
              <w:rPr>
                <w:rFonts w:ascii="仿宋_GB2312" w:hAnsi="仿宋_GB2312" w:cs="仿宋_GB2312" w:eastAsia="仿宋_GB2312"/>
                <w:sz w:val="20"/>
              </w:rPr>
              <w:t>、工程施工基本要求</w:t>
            </w:r>
          </w:p>
          <w:p>
            <w:pPr>
              <w:pStyle w:val="null3"/>
            </w:pPr>
            <w:r>
              <w:rPr>
                <w:rFonts w:ascii="仿宋_GB2312" w:hAnsi="仿宋_GB2312" w:cs="仿宋_GB2312" w:eastAsia="仿宋_GB2312"/>
                <w:sz w:val="20"/>
              </w:rPr>
              <w:t xml:space="preserve">      严格按国家有关规定做到文明施工，规范施工，严格把好各道施工工序的质量，确保工程质量，并按要求如期完成工程建设，编制施工组织设计方案，确保工程按时优质完成，编制总进度计划，合理安排劳动力、物力、财力，尽量做到综合平衡配套施工，确保工程顺利完成。</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·工程测量规范 GB50026-93； ·《建筑地基基础工程施工质量验收规范》 GB50202-2002； ·《建筑场地基坑探查与处理暂行规程》 QXJ104-64 ·《湿陷性黄土地区建筑规范》 GB50025-2004； ·《建筑工程施工质量验收统一标准》 GB50300-2001； ·《砌体工程施工质量验收规范》 GB50203-2002； ·《混凝土结构工程施工质量验收规范》 GB50204-2002； ·《木结构工程施工质量验收规范》 GB50206-2002； ·《屋面工程质量验收规范》 GB50207-2002； ·《建筑地面工程施工质量验收规范》 GB50209-2002； ·《建筑装饰装修工程施工质量验收规范》 GB50210-2001； ·《建筑给水排水及采暖工程施工质量验收规范》GB50242-2002； ·《建筑电气工程施工质量验收规范》 GB50303-2002； ·《建筑地基处理技术规范》 JGJ79-2002； ·《防汛物资储备定额编制规程》 SL298-2019； ·《水利水电工程施工质量检验与评定规程》 SL176-2007； ·《水利水电建设工程验收规程》 SL223-2008； 施工图明示的其它设计、施工规范及省、市、行业有关强制性规定、标准。 注：未未详尽处应满足国家有关规范和规定，所有的规范执行最高规定。如有最新的法律法规、技术规范发布，按最新的文件执行。</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3.3.1付款方式及依据： ①付款方式：合同签订后，采购人向供应商支付合同价款的30%作为预付款，工程完工验收合格且结算审核完成后，支付至结算价款的97%，剩余3%作为质保金，质保金在缺陷责任期（12个月）满后且无任何质量问题后采购人一次性付清剩余价款。 ②付款依据：采购人出具的验收报告、供应商提供的等额发票。 注：工程结算以财政结算审定价款据实结算。 3.3.2本项目磋商总报价为完成本项目磋商文件中所提出的工作范围及要求的全部内容，并达到国家及采购人验收标准而产生的所有费用，投标报价包括但不限于以下内容：包括人工费、材料费、机械费、措施费、管理费、利润、规费、税金、风险、工程保险费、招标代理服务费、防污治霾费等完成本项目所产生的一切费用。任何错报、漏报由供应商自行负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关于财务会计制度的证明材料｛注：提供2024年度或2025年度经审计的财务审计报告或磋商前3个月内供应商基本账户银行出具的资信证明。｝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工程及服务的企业法人、事业法人、其他组织或者自然人,企业法人应提供统一社会信用代码的营业执照；事业法人应提供统一社会信用代码的事业单位法人证；其他组织应提供合法证明文件；自然人提供身份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法定代表人授权委托书（附法定代表人身份证复印件）及被授权委托人身份证（法定代表人参加磋商只须提供法定代表人身份证）；供应商需在项目电子化交易系统中按要求上传相应证明文件并进行电子签章。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提供依法缴纳税收和社会保障资金的相关材料，依法免税的供应商应具有税务部门出具的证明文件；依法不需要缴纳社会保障资金的供应商，需具有社保部门出具的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供应商具有良好的商业信誉和健全的财务会计制度</w:t>
            </w:r>
          </w:p>
        </w:tc>
        <w:tc>
          <w:tcPr>
            <w:tcW w:type="dxa" w:w="3322"/>
          </w:tcPr>
          <w:p>
            <w:pPr>
              <w:pStyle w:val="null3"/>
            </w:pPr>
            <w:r>
              <w:rPr>
                <w:rFonts w:ascii="仿宋_GB2312" w:hAnsi="仿宋_GB2312" w:cs="仿宋_GB2312" w:eastAsia="仿宋_GB2312"/>
              </w:rPr>
              <w:t>提供2024年度或2025年度经审计的财务审计报告或磋商前3个月内供应商基本账户银行出具的资信证明；供应商需在项目电子化交易系统中按要求上传相应证明文件并进行电子签章。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供应商具有建设行政主管部门核发的建筑工程施工总承包三级（含三级）以上资质，并提供有效的安全生产许可证；供应商需在项目电子化交易系统中按要求上传相应证明文件并进行电子签章。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拟派项目经理资格和专业要求。</w:t>
            </w:r>
          </w:p>
        </w:tc>
        <w:tc>
          <w:tcPr>
            <w:tcW w:type="dxa" w:w="3322"/>
          </w:tcPr>
          <w:p>
            <w:pPr>
              <w:pStyle w:val="null3"/>
            </w:pPr>
            <w:r>
              <w:rPr>
                <w:rFonts w:ascii="仿宋_GB2312" w:hAnsi="仿宋_GB2312" w:cs="仿宋_GB2312" w:eastAsia="仿宋_GB2312"/>
              </w:rPr>
              <w:t>供应商拟派项目经理须提供建筑工程专业二级以上（含二级）注册建造师证书及建设行政主管部门颁发的安全生产考核合格证，且无在建工程，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项目管理机构组成表 供应商应提交的相关资格证明材料 主要人员简历表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供应商信用信息</w:t>
            </w:r>
          </w:p>
        </w:tc>
        <w:tc>
          <w:tcPr>
            <w:tcW w:type="dxa" w:w="3322"/>
          </w:tcPr>
          <w:p>
            <w:pPr>
              <w:pStyle w:val="null3"/>
            </w:pPr>
            <w:r>
              <w:rPr>
                <w:rFonts w:ascii="仿宋_GB2312" w:hAnsi="仿宋_GB2312" w:cs="仿宋_GB2312" w:eastAsia="仿宋_GB2312"/>
              </w:rPr>
              <w:t>采购人或采购代理机构将在磋商截止日当天资格审查阶段通过〔信用中国（www.creditchina.gov.cn）〕和〔中国政府采购网（www.ccg p.gov.cn）〕网站对供应商的信用情况进行查询（符合《财政部关于在政府采购活动中查询及使用信用记录有关问题的通知》（财库〔2016〕125号）文件中信用查询的要求），并将网页截图附在评审资料中。</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非联合体磋商声明;供应商需在项目电子化交易系统中按要求上传相应证明文件并进行电子签章。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磋商响应文件签署</w:t>
            </w:r>
          </w:p>
        </w:tc>
        <w:tc>
          <w:tcPr>
            <w:tcW w:type="dxa" w:w="3322"/>
          </w:tcPr>
          <w:p>
            <w:pPr>
              <w:pStyle w:val="null3"/>
            </w:pPr>
            <w:r>
              <w:rPr>
                <w:rFonts w:ascii="仿宋_GB2312" w:hAnsi="仿宋_GB2312" w:cs="仿宋_GB2312" w:eastAsia="仿宋_GB2312"/>
              </w:rPr>
              <w:t>响应文件、磋商响应函加盖供应商公章并经法定代表人或被授权委托人签字或盖章的；</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磋商响应有效期</w:t>
            </w:r>
          </w:p>
        </w:tc>
        <w:tc>
          <w:tcPr>
            <w:tcW w:type="dxa" w:w="3322"/>
          </w:tcPr>
          <w:p>
            <w:pPr>
              <w:pStyle w:val="null3"/>
            </w:pPr>
            <w:r>
              <w:rPr>
                <w:rFonts w:ascii="仿宋_GB2312" w:hAnsi="仿宋_GB2312" w:cs="仿宋_GB2312" w:eastAsia="仿宋_GB2312"/>
              </w:rPr>
              <w:t>响应文件有磋商响应有效期且响应有效期达到磋商文件的要求</w:t>
            </w:r>
          </w:p>
        </w:tc>
        <w:tc>
          <w:tcPr>
            <w:tcW w:type="dxa" w:w="1661"/>
          </w:tcPr>
          <w:p>
            <w:pPr>
              <w:pStyle w:val="null3"/>
            </w:pPr>
            <w:r>
              <w:rPr>
                <w:rFonts w:ascii="仿宋_GB2312" w:hAnsi="仿宋_GB2312" w:cs="仿宋_GB2312" w:eastAsia="仿宋_GB2312"/>
              </w:rPr>
              <w:t>响应文件封面 报价函 技术服务合同条款及其他商务要求应答表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选择性报价</w:t>
            </w:r>
          </w:p>
        </w:tc>
        <w:tc>
          <w:tcPr>
            <w:tcW w:type="dxa" w:w="3322"/>
          </w:tcPr>
          <w:p>
            <w:pPr>
              <w:pStyle w:val="null3"/>
            </w:pPr>
            <w:r>
              <w:rPr>
                <w:rFonts w:ascii="仿宋_GB2312" w:hAnsi="仿宋_GB2312" w:cs="仿宋_GB2312" w:eastAsia="仿宋_GB2312"/>
              </w:rPr>
              <w:t>供应商针对同一工程及服务未递交两份或多份内容不同的响应文件，未出现选择性报价的</w:t>
            </w:r>
          </w:p>
        </w:tc>
        <w:tc>
          <w:tcPr>
            <w:tcW w:type="dxa" w:w="1661"/>
          </w:tcPr>
          <w:p>
            <w:pPr>
              <w:pStyle w:val="null3"/>
            </w:pPr>
            <w:r>
              <w:rPr>
                <w:rFonts w:ascii="仿宋_GB2312" w:hAnsi="仿宋_GB2312" w:cs="仿宋_GB2312" w:eastAsia="仿宋_GB2312"/>
              </w:rPr>
              <w:t>响应文件封面 已标价工程量清单 报价函 技术服务合同条款及其他商务要求应答表 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符合商务、技术要求</w:t>
            </w:r>
          </w:p>
        </w:tc>
        <w:tc>
          <w:tcPr>
            <w:tcW w:type="dxa" w:w="3322"/>
          </w:tcPr>
          <w:p>
            <w:pPr>
              <w:pStyle w:val="null3"/>
            </w:pPr>
            <w:r>
              <w:rPr>
                <w:rFonts w:ascii="仿宋_GB2312" w:hAnsi="仿宋_GB2312" w:cs="仿宋_GB2312" w:eastAsia="仿宋_GB2312"/>
              </w:rPr>
              <w:t>符合商务、技术要求，不存在重大负偏离的；</w:t>
            </w:r>
          </w:p>
        </w:tc>
        <w:tc>
          <w:tcPr>
            <w:tcW w:type="dxa" w:w="1661"/>
          </w:tcPr>
          <w:p>
            <w:pPr>
              <w:pStyle w:val="null3"/>
            </w:pPr>
            <w:r>
              <w:rPr>
                <w:rFonts w:ascii="仿宋_GB2312" w:hAnsi="仿宋_GB2312" w:cs="仿宋_GB2312" w:eastAsia="仿宋_GB2312"/>
              </w:rPr>
              <w:t>响应文件封面 项目管理机构组成表 技术服务合同条款及其他商务要求应答表 主要人员简历表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响应文件未附有采购人不能接受的条件</w:t>
            </w:r>
          </w:p>
        </w:tc>
        <w:tc>
          <w:tcPr>
            <w:tcW w:type="dxa" w:w="3322"/>
          </w:tcPr>
          <w:p>
            <w:pPr>
              <w:pStyle w:val="null3"/>
            </w:pPr>
            <w:r>
              <w:rPr>
                <w:rFonts w:ascii="仿宋_GB2312" w:hAnsi="仿宋_GB2312" w:cs="仿宋_GB2312" w:eastAsia="仿宋_GB2312"/>
              </w:rPr>
              <w:t>响应文件未附有采购人不能接受的条件；</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符合磋商文件规定的其他实质性要求的</w:t>
            </w:r>
          </w:p>
        </w:tc>
        <w:tc>
          <w:tcPr>
            <w:tcW w:type="dxa" w:w="3322"/>
          </w:tcPr>
          <w:p>
            <w:pPr>
              <w:pStyle w:val="null3"/>
            </w:pPr>
            <w:r>
              <w:rPr>
                <w:rFonts w:ascii="仿宋_GB2312" w:hAnsi="仿宋_GB2312" w:cs="仿宋_GB2312" w:eastAsia="仿宋_GB2312"/>
              </w:rPr>
              <w:t>符合磋商文件规定的其他实质性要求的；</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符合《中华人民共和国政府采购法》有关规定和磋商纪律的。</w:t>
            </w:r>
          </w:p>
        </w:tc>
        <w:tc>
          <w:tcPr>
            <w:tcW w:type="dxa" w:w="3322"/>
          </w:tcPr>
          <w:p>
            <w:pPr>
              <w:pStyle w:val="null3"/>
            </w:pPr>
            <w:r>
              <w:rPr>
                <w:rFonts w:ascii="仿宋_GB2312" w:hAnsi="仿宋_GB2312" w:cs="仿宋_GB2312" w:eastAsia="仿宋_GB2312"/>
              </w:rPr>
              <w:t>符合《中华人民共和国政府采购法》有关规定和磋商纪律的。</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异常低价审查</w:t>
            </w:r>
          </w:p>
        </w:tc>
        <w:tc>
          <w:tcPr>
            <w:tcW w:type="dxa" w:w="3322"/>
          </w:tcPr>
          <w:p>
            <w:pPr>
              <w:pStyle w:val="null3"/>
            </w:pPr>
            <w:r>
              <w:rPr>
                <w:rFonts w:ascii="仿宋_GB2312" w:hAnsi="仿宋_GB2312" w:cs="仿宋_GB2312" w:eastAsia="仿宋_GB2312"/>
              </w:rPr>
              <w:t>①情形1（根据供应商报价平均值） ：投标（响应）报价低于全部通过符合性审查供应商投标（响应）报价平均值50%的，即投标（响应）报价&lt;全部通过符合性审查供应商投标（响应）报价平均值×50%。 ②情形2（根据报价次低供应商报价） ：投标（响应）报价低于通过符合性审查且报价次低供应商投标（响应）报价50%的，即投标（响应）报价&lt;通过符合性审查且报价次低供应商投标（响应）报价×50%。 ③情形3（根据采购项目最高限价） ：投标（响应）报价低于最高限价45%的，即投标（响应）报价&lt;最高限价×45%。 ④情形4（自定义）：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c>
          <w:tcPr>
            <w:tcW w:type="dxa" w:w="1661"/>
          </w:tcPr>
          <w:p>
            <w:pPr>
              <w:pStyle w:val="null3"/>
            </w:pPr>
            <w:r>
              <w:rPr>
                <w:rFonts w:ascii="仿宋_GB2312" w:hAnsi="仿宋_GB2312" w:cs="仿宋_GB2312" w:eastAsia="仿宋_GB2312"/>
              </w:rPr>
              <w:t>响应文件封面 已标价工程量清单 报价函 技术服务合同条款及其他商务要求应答表 标的清单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施工组织总体方案</w:t>
            </w:r>
          </w:p>
        </w:tc>
        <w:tc>
          <w:tcPr>
            <w:tcW w:type="dxa" w:w="2492"/>
          </w:tcPr>
          <w:p>
            <w:pPr>
              <w:pStyle w:val="null3"/>
            </w:pPr>
            <w:r>
              <w:rPr>
                <w:rFonts w:ascii="仿宋_GB2312" w:hAnsi="仿宋_GB2312" w:cs="仿宋_GB2312" w:eastAsia="仿宋_GB2312"/>
              </w:rPr>
              <w:t>结合本项目防汛物资储备仓库的功能性、安全性、应急性特点，评审施工总体部署、施工流程规划、场地布置、施工重难点分析及应对措施。方案完整、科学合理、贴合仓库施工及防汛保障需求，重难点应对措施详实可行的得16分；每有一个缺项扣2分，每有一处内容存在缺陷，扣0.5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防汛专项施工保障方案</w:t>
            </w:r>
          </w:p>
        </w:tc>
        <w:tc>
          <w:tcPr>
            <w:tcW w:type="dxa" w:w="2492"/>
          </w:tcPr>
          <w:p>
            <w:pPr>
              <w:pStyle w:val="null3"/>
            </w:pPr>
            <w:r>
              <w:rPr>
                <w:rFonts w:ascii="仿宋_GB2312" w:hAnsi="仿宋_GB2312" w:cs="仿宋_GB2312" w:eastAsia="仿宋_GB2312"/>
              </w:rPr>
              <w:t>重点评审雨季施工防护、施工现场防汛排水、临时设施防洪加固、施工期间应急抢险预案、物资堆放防护、突发雨情应急处置流程等专项内容。方案针对性强、体系完善、贴合高新区汛期施工特点、可落地性强的得12分；每有一个缺项扣2分，每有一处内容存在缺陷，扣0.5分，扣完为止。未提供不得分；每有一个缺项扣2分，每有一处内容存在缺陷，扣0.5分，扣完为止。未提供不得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工期保障及进度计划</w:t>
            </w:r>
          </w:p>
        </w:tc>
        <w:tc>
          <w:tcPr>
            <w:tcW w:type="dxa" w:w="2492"/>
          </w:tcPr>
          <w:p>
            <w:pPr>
              <w:pStyle w:val="null3"/>
            </w:pPr>
            <w:r>
              <w:rPr>
                <w:rFonts w:ascii="仿宋_GB2312" w:hAnsi="仿宋_GB2312" w:cs="仿宋_GB2312" w:eastAsia="仿宋_GB2312"/>
              </w:rPr>
              <w:t>评审施工进度横道图、节点工期规划、工期管控措施、人力机械配置计划、赶工预案等。进度计划科学严谨、节点清晰、保障措施完善、可确保按期完工的得10分；每有一个缺项扣2分，每有一处内容存在缺陷，扣0.5分，扣完为止。未提供不得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质量管控体系及措施</w:t>
            </w:r>
          </w:p>
        </w:tc>
        <w:tc>
          <w:tcPr>
            <w:tcW w:type="dxa" w:w="2492"/>
          </w:tcPr>
          <w:p>
            <w:pPr>
              <w:pStyle w:val="null3"/>
            </w:pPr>
            <w:r>
              <w:rPr>
                <w:rFonts w:ascii="仿宋_GB2312" w:hAnsi="仿宋_GB2312" w:cs="仿宋_GB2312" w:eastAsia="仿宋_GB2312"/>
              </w:rPr>
              <w:t>评审质量管理架构、质量管理制度、原材料检验、工序管控、隐蔽工程验收、质量通病防治、竣工验收保障等内容。体系健全、措施全面、符合工程规范及仓库使用标准的得8分；每有一个缺项扣2分，每有一处内容存在缺陷，扣0.5分，扣完为止。未提供不得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安全文明施工及环保措施</w:t>
            </w:r>
          </w:p>
        </w:tc>
        <w:tc>
          <w:tcPr>
            <w:tcW w:type="dxa" w:w="2492"/>
          </w:tcPr>
          <w:p>
            <w:pPr>
              <w:pStyle w:val="null3"/>
            </w:pPr>
            <w:r>
              <w:rPr>
                <w:rFonts w:ascii="仿宋_GB2312" w:hAnsi="仿宋_GB2312" w:cs="仿宋_GB2312" w:eastAsia="仿宋_GB2312"/>
              </w:rPr>
              <w:t>评审施工现场安全管理、高空作业、临时用电、消防防护、文明施工、扬尘治理、噪音管控、建筑垃圾处理等措施。措施全面规范、贴合场地施工要求的得6分；每有一个缺项扣2分，每有一处内容存在缺陷，扣0.5分，扣完为止。未提供不得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售后服务及质保运维方案</w:t>
            </w:r>
          </w:p>
        </w:tc>
        <w:tc>
          <w:tcPr>
            <w:tcW w:type="dxa" w:w="2492"/>
          </w:tcPr>
          <w:p>
            <w:pPr>
              <w:pStyle w:val="null3"/>
            </w:pPr>
            <w:r>
              <w:rPr>
                <w:rFonts w:ascii="仿宋_GB2312" w:hAnsi="仿宋_GB2312" w:cs="仿宋_GB2312" w:eastAsia="仿宋_GB2312"/>
              </w:rPr>
              <w:t>评审质保期服务承诺、日常运维检修、故障快速响应、汛期专项巡检、人员值守、应急维修保障等内容。服务体系完善、响应及时、贴合防汛仓库长期运维需求的得6分；每有一个缺项扣2分，每有一处内容存在缺陷，扣0.5分，扣完为止。未提供不得分。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项目经理为工程类专业工程师及以上职称者得2分，初级不得分。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供应商应提交的相关资格证明材料</w:t>
            </w:r>
          </w:p>
        </w:tc>
      </w:tr>
      <w:tr>
        <w:tc>
          <w:tcPr>
            <w:tcW w:type="dxa" w:w="831"/>
            <w:vMerge/>
          </w:tcPr>
          <w:p/>
        </w:tc>
        <w:tc>
          <w:tcPr>
            <w:tcW w:type="dxa" w:w="1661"/>
          </w:tcPr>
          <w:p>
            <w:pPr>
              <w:pStyle w:val="null3"/>
            </w:pPr>
            <w:r>
              <w:rPr>
                <w:rFonts w:ascii="仿宋_GB2312" w:hAnsi="仿宋_GB2312" w:cs="仿宋_GB2312" w:eastAsia="仿宋_GB2312"/>
              </w:rPr>
              <w:t>技术负责人</w:t>
            </w:r>
          </w:p>
        </w:tc>
        <w:tc>
          <w:tcPr>
            <w:tcW w:type="dxa" w:w="2492"/>
          </w:tcPr>
          <w:p>
            <w:pPr>
              <w:pStyle w:val="null3"/>
            </w:pPr>
            <w:r>
              <w:rPr>
                <w:rFonts w:ascii="仿宋_GB2312" w:hAnsi="仿宋_GB2312" w:cs="仿宋_GB2312" w:eastAsia="仿宋_GB2312"/>
              </w:rPr>
              <w:t>技术负责人为工程类专业工程师及以上职称者得2分，初级不得分。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组织机构</w:t>
            </w:r>
          </w:p>
        </w:tc>
        <w:tc>
          <w:tcPr>
            <w:tcW w:type="dxa" w:w="2492"/>
          </w:tcPr>
          <w:p>
            <w:pPr>
              <w:pStyle w:val="null3"/>
            </w:pPr>
            <w:r>
              <w:rPr>
                <w:rFonts w:ascii="仿宋_GB2312" w:hAnsi="仿宋_GB2312" w:cs="仿宋_GB2312" w:eastAsia="仿宋_GB2312"/>
              </w:rPr>
              <w:t>组织机构健全，工程类各岗位人员配备齐全得3-5分，基本满足要求得1-3分；机构不健全不得分。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近五年承担过类似工程</w:t>
            </w:r>
          </w:p>
        </w:tc>
        <w:tc>
          <w:tcPr>
            <w:tcW w:type="dxa" w:w="2492"/>
          </w:tcPr>
          <w:p>
            <w:pPr>
              <w:pStyle w:val="null3"/>
            </w:pPr>
            <w:r>
              <w:rPr>
                <w:rFonts w:ascii="仿宋_GB2312" w:hAnsi="仿宋_GB2312" w:cs="仿宋_GB2312" w:eastAsia="仿宋_GB2312"/>
              </w:rPr>
              <w:t>提供2021年1月1日至今供应商的类似业绩证明材料（以合同签订时间为准，附合同复印件加盖投标人公章），每份计1分，满分3分。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合格供应商的有效报价得分=（评标基准价/投标报价）×价格权值（即30%）× 100 评标基准价=满足文件要求且价格最低的供应商报价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3.00%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3%的扣除，用扣除后的价格参加评审。承接本项目的供应商符合相应条件时，给予3%的价格扣除，即：评标价=最后报价×（1-3%）;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已标价工程量清单</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详见附件：拟签订采购合同文本（防汛抢险物资项目定稿）.docx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