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版本号：YC26001030（CGQ）20260722001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陕西省2026年集体建设用地基准地价更新和城市地价监测项目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YC26001030（CGQ）</w:t>
      </w:r>
      <w:r>
        <w:br/>
      </w:r>
      <w:r>
        <w:br/>
      </w:r>
      <w:r>
        <w:br/>
      </w:r>
    </w:p>
    <w:p>
      <w:pPr>
        <w:pStyle w:val="null3"/>
        <w:jc w:val="center"/>
        <w:outlineLvl w:val="2"/>
      </w:pPr>
      <w:r>
        <w:rPr>
          <w:rFonts w:ascii="仿宋_GB2312" w:hAnsi="仿宋_GB2312" w:cs="仿宋_GB2312" w:eastAsia="仿宋_GB2312"/>
          <w:sz w:val="28"/>
          <w:b/>
        </w:rPr>
        <w:t>陕西省国土整治中心（陕西省土地科技创新中心）</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陕西省国土整治中心（陕西省土地科技创新中心）</w:t>
      </w:r>
      <w:r>
        <w:rPr>
          <w:rFonts w:ascii="仿宋_GB2312" w:hAnsi="仿宋_GB2312" w:cs="仿宋_GB2312" w:eastAsia="仿宋_GB2312"/>
        </w:rPr>
        <w:t>委托，拟对</w:t>
      </w:r>
      <w:r>
        <w:rPr>
          <w:rFonts w:ascii="仿宋_GB2312" w:hAnsi="仿宋_GB2312" w:cs="仿宋_GB2312" w:eastAsia="仿宋_GB2312"/>
        </w:rPr>
        <w:t>陕西省2026年集体建设用地基准地价更新和城市地价监测项目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YC26001030（CGQ）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陕西省2026年集体建设用地基准地价更新和城市地价监测项目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陕西省2026年集体建设用地基准地价更新和城市地价监测项目，具体内容详见采购文件。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备独立承担民事责任能力的法人、其他组织或自然人：供应商应为具备独立承担民事责任能力的法人、其他组织或自然人，须提供合法有效的营业执照或事业单位法人证书或自然人身份证等合法有效的证明资料；</w:t>
      </w:r>
    </w:p>
    <w:p>
      <w:pPr>
        <w:pStyle w:val="null3"/>
      </w:pPr>
      <w:r>
        <w:rPr>
          <w:rFonts w:ascii="仿宋_GB2312" w:hAnsi="仿宋_GB2312" w:cs="仿宋_GB2312" w:eastAsia="仿宋_GB2312"/>
        </w:rPr>
        <w:t>2、企业资质：供应商须在省级自然资源主管部门完成土地估价机构备案并提供备案函；</w:t>
      </w:r>
    </w:p>
    <w:p>
      <w:pPr>
        <w:pStyle w:val="null3"/>
      </w:pPr>
      <w:r>
        <w:rPr>
          <w:rFonts w:ascii="仿宋_GB2312" w:hAnsi="仿宋_GB2312" w:cs="仿宋_GB2312" w:eastAsia="仿宋_GB2312"/>
        </w:rPr>
        <w:t>3、财务审计报告或其他证明材料：供应商须提供2024或2025年度经审计的财务审计报告，或提供在提交投标文件截止时间前6个月内其基本存款账户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4、税收缴纳证明：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w:t>
      </w:r>
    </w:p>
    <w:p>
      <w:pPr>
        <w:pStyle w:val="null3"/>
      </w:pPr>
      <w:r>
        <w:rPr>
          <w:rFonts w:ascii="仿宋_GB2312" w:hAnsi="仿宋_GB2312" w:cs="仿宋_GB2312" w:eastAsia="仿宋_GB2312"/>
        </w:rPr>
        <w:t>5、社保缴纳证明：供应商须提供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6、履行合同所必需的设备和专业技术能力：供应商具有履行合同所必需的设备和专业技术能力；</w:t>
      </w:r>
    </w:p>
    <w:p>
      <w:pPr>
        <w:pStyle w:val="null3"/>
      </w:pPr>
      <w:r>
        <w:rPr>
          <w:rFonts w:ascii="仿宋_GB2312" w:hAnsi="仿宋_GB2312" w:cs="仿宋_GB2312" w:eastAsia="仿宋_GB2312"/>
        </w:rPr>
        <w:t>7、没有重大违法记录：供应商参加政府采购活动前三年内，在经营活动中没有重大违法记录；</w:t>
      </w:r>
    </w:p>
    <w:p>
      <w:pPr>
        <w:pStyle w:val="null3"/>
      </w:pPr>
      <w:r>
        <w:rPr>
          <w:rFonts w:ascii="仿宋_GB2312" w:hAnsi="仿宋_GB2312" w:cs="仿宋_GB2312" w:eastAsia="仿宋_GB2312"/>
        </w:rPr>
        <w:t>8、企业关联关系：单位负责人为同一人或者存在直接控股、管理关系的不同供应商，不得参加同一合同项下的政府采购活动；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法定代表人授权委托书或法定代表人身份证明书：供应商提供法定代表人授权委托书（附法定代表人、被授权人身份证扫描件并加盖公章，法定代表人参加投标的提供法定代表人身份证明书及本人身份证扫描件；</w:t>
      </w:r>
    </w:p>
    <w:p>
      <w:pPr>
        <w:pStyle w:val="null3"/>
      </w:pPr>
      <w:r>
        <w:rPr>
          <w:rFonts w:ascii="仿宋_GB2312" w:hAnsi="仿宋_GB2312" w:cs="仿宋_GB2312" w:eastAsia="仿宋_GB2312"/>
        </w:rPr>
        <w:t>10、信誉信息：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p>
      <w:pPr>
        <w:pStyle w:val="null3"/>
      </w:pPr>
      <w:r>
        <w:rPr>
          <w:rFonts w:ascii="仿宋_GB2312" w:hAnsi="仿宋_GB2312" w:cs="仿宋_GB2312" w:eastAsia="仿宋_GB2312"/>
        </w:rPr>
        <w:t>11、中小企业：本项目不专门面向中小企业采购；</w:t>
      </w:r>
    </w:p>
    <w:p>
      <w:pPr>
        <w:pStyle w:val="null3"/>
      </w:pPr>
      <w:r>
        <w:rPr>
          <w:rFonts w:ascii="仿宋_GB2312" w:hAnsi="仿宋_GB2312" w:cs="仿宋_GB2312" w:eastAsia="仿宋_GB2312"/>
        </w:rPr>
        <w:t>12、联合体：本项目不接受联合体投标。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陕西省国土整治中心（陕西省土地科技创新中心）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西安市高新路52号高科大厦6楼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陕西省国土整治中心（陕西省土地科技创新中心）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029-88450455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董海龙、赵醒文、崔芮菁、赵利科、李楠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代理服务费收费标准：本项目代理服务费参照国家计委颁布的《招标代理服务收费管理暂行办法》（计价格[2002]1980号）中的收费标准计取。中标供应商在领取中标通知书前一次性支付。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陕西省国土整治中心（陕西省土地科技创新中心）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符合国家、行业、地区“合格”标准。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陕西省2026年集体建设用地基准地价更新和城市地价监测项目，具体内容详见采购文件。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陕西省2026年集体建设用地基准地价更新和城市地价监测项目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标的名称：陕西省2026年集体建设用地基准地价更新和城市地价监测项目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工作任务</w:t>
            </w:r>
          </w:p>
          <w:p>
            <w:pPr>
              <w:pStyle w:val="null3"/>
              <w:jc w:val="left"/>
            </w:pPr>
            <w:r>
              <w:rPr>
                <w:rFonts w:ascii="仿宋_GB2312" w:hAnsi="仿宋_GB2312" w:cs="仿宋_GB2312" w:eastAsia="仿宋_GB2312"/>
              </w:rPr>
              <w:t>1、</w:t>
            </w:r>
            <w:r>
              <w:rPr>
                <w:rFonts w:ascii="仿宋_GB2312" w:hAnsi="仿宋_GB2312" w:cs="仿宋_GB2312" w:eastAsia="仿宋_GB2312"/>
              </w:rPr>
              <w:t>编制《陕西省</w:t>
            </w:r>
            <w:r>
              <w:rPr>
                <w:rFonts w:ascii="仿宋_GB2312" w:hAnsi="仿宋_GB2312" w:cs="仿宋_GB2312" w:eastAsia="仿宋_GB2312"/>
              </w:rPr>
              <w:t>2026年集体建设用地</w:t>
            </w:r>
            <w:r>
              <w:rPr>
                <w:rFonts w:ascii="仿宋_GB2312" w:hAnsi="仿宋_GB2312" w:cs="仿宋_GB2312" w:eastAsia="仿宋_GB2312"/>
              </w:rPr>
              <w:t>调查和</w:t>
            </w:r>
            <w:r>
              <w:rPr>
                <w:rFonts w:ascii="仿宋_GB2312" w:hAnsi="仿宋_GB2312" w:cs="仿宋_GB2312" w:eastAsia="仿宋_GB2312"/>
              </w:rPr>
              <w:t>基准地价更新技术指南》，对全省自然资源系统相关工作人员及技术单位进行培训</w:t>
            </w:r>
            <w:r>
              <w:rPr>
                <w:rFonts w:ascii="仿宋_GB2312" w:hAnsi="仿宋_GB2312" w:cs="仿宋_GB2312" w:eastAsia="仿宋_GB2312"/>
              </w:rPr>
              <w:t>；</w:t>
            </w:r>
          </w:p>
          <w:p>
            <w:pPr>
              <w:pStyle w:val="null3"/>
              <w:jc w:val="left"/>
            </w:pPr>
            <w:r>
              <w:rPr>
                <w:rFonts w:ascii="仿宋_GB2312" w:hAnsi="仿宋_GB2312" w:cs="仿宋_GB2312" w:eastAsia="仿宋_GB2312"/>
              </w:rPr>
              <w:t>2、</w:t>
            </w:r>
            <w:r>
              <w:rPr>
                <w:rFonts w:ascii="仿宋_GB2312" w:hAnsi="仿宋_GB2312" w:cs="仿宋_GB2312" w:eastAsia="仿宋_GB2312"/>
              </w:rPr>
              <w:t>督促指导完成</w:t>
            </w:r>
            <w:r>
              <w:rPr>
                <w:rFonts w:ascii="仿宋_GB2312" w:hAnsi="仿宋_GB2312" w:cs="仿宋_GB2312" w:eastAsia="仿宋_GB2312"/>
              </w:rPr>
              <w:t>2026年全省范围内</w:t>
            </w:r>
            <w:r>
              <w:rPr>
                <w:rFonts w:ascii="仿宋_GB2312" w:hAnsi="仿宋_GB2312" w:cs="仿宋_GB2312" w:eastAsia="仿宋_GB2312"/>
              </w:rPr>
              <w:t>部分</w:t>
            </w:r>
            <w:r>
              <w:rPr>
                <w:rFonts w:ascii="仿宋_GB2312" w:hAnsi="仿宋_GB2312" w:cs="仿宋_GB2312" w:eastAsia="仿宋_GB2312"/>
              </w:rPr>
              <w:t>县（市、区）集体建设用地调查和基准地价更新工作</w:t>
            </w:r>
            <w:r>
              <w:rPr>
                <w:rFonts w:ascii="仿宋_GB2312" w:hAnsi="仿宋_GB2312" w:cs="仿宋_GB2312" w:eastAsia="仿宋_GB2312"/>
              </w:rPr>
              <w:t>。</w:t>
            </w:r>
            <w:r>
              <w:rPr>
                <w:rFonts w:ascii="仿宋_GB2312" w:hAnsi="仿宋_GB2312" w:cs="仿宋_GB2312" w:eastAsia="仿宋_GB2312"/>
              </w:rPr>
              <w:t>内容包括集体建设用地调查和基准地价</w:t>
            </w:r>
            <w:r>
              <w:rPr>
                <w:rFonts w:ascii="仿宋_GB2312" w:hAnsi="仿宋_GB2312" w:cs="仿宋_GB2312" w:eastAsia="仿宋_GB2312"/>
              </w:rPr>
              <w:t>更新</w:t>
            </w:r>
            <w:r>
              <w:rPr>
                <w:rFonts w:ascii="仿宋_GB2312" w:hAnsi="仿宋_GB2312" w:cs="仿宋_GB2312" w:eastAsia="仿宋_GB2312"/>
              </w:rPr>
              <w:t>技术报告、基准地价图、基准地价表、基准地价修正体系、集体建设用地调查和基准地价数据库等；</w:t>
            </w:r>
          </w:p>
          <w:p>
            <w:pPr>
              <w:pStyle w:val="null3"/>
              <w:jc w:val="left"/>
            </w:pPr>
            <w:r>
              <w:rPr>
                <w:rFonts w:ascii="仿宋_GB2312" w:hAnsi="仿宋_GB2312" w:cs="仿宋_GB2312" w:eastAsia="仿宋_GB2312"/>
              </w:rPr>
              <w:t>3、</w:t>
            </w:r>
            <w:r>
              <w:rPr>
                <w:rFonts w:ascii="仿宋_GB2312" w:hAnsi="仿宋_GB2312" w:cs="仿宋_GB2312" w:eastAsia="仿宋_GB2312"/>
              </w:rPr>
              <w:t>审核及汇总全省</w:t>
            </w:r>
            <w:r>
              <w:rPr>
                <w:rFonts w:ascii="仿宋_GB2312" w:hAnsi="仿宋_GB2312" w:cs="仿宋_GB2312" w:eastAsia="仿宋_GB2312"/>
              </w:rPr>
              <w:t>部分</w:t>
            </w:r>
            <w:r>
              <w:rPr>
                <w:rFonts w:ascii="仿宋_GB2312" w:hAnsi="仿宋_GB2312" w:cs="仿宋_GB2312" w:eastAsia="仿宋_GB2312"/>
              </w:rPr>
              <w:t>县（市、区）集体建设用地调查和基准地价更新成果，</w:t>
            </w:r>
            <w:r>
              <w:rPr>
                <w:rFonts w:ascii="仿宋_GB2312" w:hAnsi="仿宋_GB2312" w:cs="仿宋_GB2312" w:eastAsia="仿宋_GB2312"/>
              </w:rPr>
              <w:t>形成</w:t>
            </w:r>
            <w:r>
              <w:rPr>
                <w:rFonts w:ascii="仿宋_GB2312" w:hAnsi="仿宋_GB2312" w:cs="仿宋_GB2312" w:eastAsia="仿宋_GB2312"/>
              </w:rPr>
              <w:t>陕西省集体建设用地</w:t>
            </w:r>
            <w:r>
              <w:rPr>
                <w:rFonts w:ascii="仿宋_GB2312" w:hAnsi="仿宋_GB2312" w:cs="仿宋_GB2312" w:eastAsia="仿宋_GB2312"/>
              </w:rPr>
              <w:t>调查和</w:t>
            </w:r>
            <w:r>
              <w:rPr>
                <w:rFonts w:ascii="仿宋_GB2312" w:hAnsi="仿宋_GB2312" w:cs="仿宋_GB2312" w:eastAsia="仿宋_GB2312"/>
              </w:rPr>
              <w:t>基准地价</w:t>
            </w:r>
            <w:r>
              <w:rPr>
                <w:rFonts w:ascii="仿宋_GB2312" w:hAnsi="仿宋_GB2312" w:cs="仿宋_GB2312" w:eastAsia="仿宋_GB2312"/>
              </w:rPr>
              <w:t>更新</w:t>
            </w:r>
            <w:r>
              <w:rPr>
                <w:rFonts w:ascii="仿宋_GB2312" w:hAnsi="仿宋_GB2312" w:cs="仿宋_GB2312" w:eastAsia="仿宋_GB2312"/>
              </w:rPr>
              <w:t>成果分析总结报告</w:t>
            </w:r>
            <w:r>
              <w:rPr>
                <w:rFonts w:ascii="仿宋_GB2312" w:hAnsi="仿宋_GB2312" w:cs="仿宋_GB2312" w:eastAsia="仿宋_GB2312"/>
              </w:rPr>
              <w:t>；</w:t>
            </w:r>
          </w:p>
          <w:p>
            <w:pPr>
              <w:pStyle w:val="null3"/>
              <w:jc w:val="left"/>
            </w:pPr>
            <w:r>
              <w:rPr>
                <w:rFonts w:ascii="仿宋_GB2312" w:hAnsi="仿宋_GB2312" w:cs="仿宋_GB2312" w:eastAsia="仿宋_GB2312"/>
              </w:rPr>
              <w:t>4、形成</w:t>
            </w:r>
            <w:r>
              <w:rPr>
                <w:rFonts w:ascii="仿宋_GB2312" w:hAnsi="仿宋_GB2312" w:cs="仿宋_GB2312" w:eastAsia="仿宋_GB2312"/>
              </w:rPr>
              <w:t>陕西</w:t>
            </w:r>
            <w:r>
              <w:rPr>
                <w:rFonts w:ascii="仿宋_GB2312" w:hAnsi="仿宋_GB2312" w:cs="仿宋_GB2312" w:eastAsia="仿宋_GB2312"/>
              </w:rPr>
              <w:t>省</w:t>
            </w:r>
            <w:r>
              <w:rPr>
                <w:rFonts w:ascii="仿宋_GB2312" w:hAnsi="仿宋_GB2312" w:cs="仿宋_GB2312" w:eastAsia="仿宋_GB2312"/>
              </w:rPr>
              <w:t>集体建设用地</w:t>
            </w:r>
            <w:r>
              <w:rPr>
                <w:rFonts w:ascii="仿宋_GB2312" w:hAnsi="仿宋_GB2312" w:cs="仿宋_GB2312" w:eastAsia="仿宋_GB2312"/>
              </w:rPr>
              <w:t>调查和</w:t>
            </w:r>
            <w:r>
              <w:rPr>
                <w:rFonts w:ascii="仿宋_GB2312" w:hAnsi="仿宋_GB2312" w:cs="仿宋_GB2312" w:eastAsia="仿宋_GB2312"/>
              </w:rPr>
              <w:t>基准地价</w:t>
            </w:r>
            <w:r>
              <w:rPr>
                <w:rFonts w:ascii="仿宋_GB2312" w:hAnsi="仿宋_GB2312" w:cs="仿宋_GB2312" w:eastAsia="仿宋_GB2312"/>
              </w:rPr>
              <w:t>更新</w:t>
            </w:r>
            <w:r>
              <w:rPr>
                <w:rFonts w:ascii="仿宋_GB2312" w:hAnsi="仿宋_GB2312" w:cs="仿宋_GB2312" w:eastAsia="仿宋_GB2312"/>
              </w:rPr>
              <w:t>数据库</w:t>
            </w:r>
            <w:r>
              <w:rPr>
                <w:rFonts w:ascii="仿宋_GB2312" w:hAnsi="仿宋_GB2312" w:cs="仿宋_GB2312" w:eastAsia="仿宋_GB2312"/>
              </w:rPr>
              <w:t>；</w:t>
            </w:r>
          </w:p>
          <w:p>
            <w:pPr>
              <w:pStyle w:val="null3"/>
              <w:jc w:val="left"/>
            </w:pPr>
            <w:r>
              <w:rPr>
                <w:rFonts w:ascii="仿宋_GB2312" w:hAnsi="仿宋_GB2312" w:cs="仿宋_GB2312" w:eastAsia="仿宋_GB2312"/>
              </w:rPr>
              <w:t>5、</w:t>
            </w:r>
            <w:r>
              <w:rPr>
                <w:rFonts w:ascii="仿宋_GB2312" w:hAnsi="仿宋_GB2312" w:cs="仿宋_GB2312" w:eastAsia="仿宋_GB2312"/>
              </w:rPr>
              <w:t>审核、指导</w:t>
            </w:r>
            <w:r>
              <w:rPr>
                <w:rFonts w:ascii="仿宋_GB2312" w:hAnsi="仿宋_GB2312" w:cs="仿宋_GB2312" w:eastAsia="仿宋_GB2312"/>
              </w:rPr>
              <w:t>相关</w:t>
            </w:r>
            <w:r>
              <w:rPr>
                <w:rFonts w:ascii="仿宋_GB2312" w:hAnsi="仿宋_GB2312" w:cs="仿宋_GB2312" w:eastAsia="仿宋_GB2312"/>
              </w:rPr>
              <w:t>县（市、区）集体建设用地基准地价更新备案成果</w:t>
            </w:r>
            <w:r>
              <w:rPr>
                <w:rFonts w:ascii="仿宋_GB2312" w:hAnsi="仿宋_GB2312" w:cs="仿宋_GB2312" w:eastAsia="仿宋_GB2312"/>
              </w:rPr>
              <w:t>；</w:t>
            </w:r>
          </w:p>
          <w:p>
            <w:pPr>
              <w:pStyle w:val="null3"/>
              <w:jc w:val="left"/>
            </w:pPr>
            <w:r>
              <w:rPr>
                <w:rFonts w:ascii="仿宋_GB2312" w:hAnsi="仿宋_GB2312" w:cs="仿宋_GB2312" w:eastAsia="仿宋_GB2312"/>
              </w:rPr>
              <w:t>6、完成陕西省公示地价查询平台系统信创迁移工作；</w:t>
            </w:r>
          </w:p>
          <w:p>
            <w:pPr>
              <w:pStyle w:val="null3"/>
              <w:jc w:val="left"/>
            </w:pPr>
            <w:r>
              <w:rPr>
                <w:rFonts w:ascii="仿宋_GB2312" w:hAnsi="仿宋_GB2312" w:cs="仿宋_GB2312" w:eastAsia="仿宋_GB2312"/>
              </w:rPr>
              <w:t>7、完成公示地价查询平台基准地价和标定地价的更新工作；</w:t>
            </w:r>
          </w:p>
          <w:p>
            <w:pPr>
              <w:pStyle w:val="null3"/>
              <w:jc w:val="left"/>
            </w:pPr>
            <w:r>
              <w:rPr>
                <w:rFonts w:ascii="仿宋_GB2312" w:hAnsi="仿宋_GB2312" w:cs="仿宋_GB2312" w:eastAsia="仿宋_GB2312"/>
              </w:rPr>
              <w:t>8、</w:t>
            </w:r>
            <w:r>
              <w:rPr>
                <w:rFonts w:ascii="仿宋_GB2312" w:hAnsi="仿宋_GB2312" w:cs="仿宋_GB2312" w:eastAsia="仿宋_GB2312"/>
              </w:rPr>
              <w:t>组织实施</w:t>
            </w:r>
            <w:r>
              <w:rPr>
                <w:rFonts w:ascii="仿宋_GB2312" w:hAnsi="仿宋_GB2312" w:cs="仿宋_GB2312" w:eastAsia="仿宋_GB2312"/>
              </w:rPr>
              <w:t>2026年全省城市地价动态监测工作，编制陕西省城市地价动态监测实施方案</w:t>
            </w:r>
            <w:r>
              <w:rPr>
                <w:rFonts w:ascii="仿宋_GB2312" w:hAnsi="仿宋_GB2312" w:cs="仿宋_GB2312" w:eastAsia="仿宋_GB2312"/>
              </w:rPr>
              <w:t>；</w:t>
            </w:r>
          </w:p>
          <w:p>
            <w:pPr>
              <w:pStyle w:val="null3"/>
              <w:jc w:val="left"/>
            </w:pPr>
            <w:r>
              <w:rPr>
                <w:rFonts w:ascii="仿宋_GB2312" w:hAnsi="仿宋_GB2312" w:cs="仿宋_GB2312" w:eastAsia="仿宋_GB2312"/>
              </w:rPr>
              <w:t>9、</w:t>
            </w:r>
            <w:r>
              <w:rPr>
                <w:rFonts w:ascii="仿宋_GB2312" w:hAnsi="仿宋_GB2312" w:cs="仿宋_GB2312" w:eastAsia="仿宋_GB2312"/>
              </w:rPr>
              <w:t>指导西安、榆林、咸阳、汉中、铜川、宝鸡、渭南、延安、安康、商洛等</w:t>
            </w:r>
            <w:r>
              <w:rPr>
                <w:rFonts w:ascii="仿宋_GB2312" w:hAnsi="仿宋_GB2312" w:cs="仿宋_GB2312" w:eastAsia="仿宋_GB2312"/>
              </w:rPr>
              <w:t>10个市开展城市地价动态监测常态化测算及维护工作；</w:t>
            </w:r>
          </w:p>
          <w:p>
            <w:pPr>
              <w:pStyle w:val="null3"/>
              <w:jc w:val="left"/>
            </w:pPr>
            <w:r>
              <w:rPr>
                <w:rFonts w:ascii="仿宋_GB2312" w:hAnsi="仿宋_GB2312" w:cs="仿宋_GB2312" w:eastAsia="仿宋_GB2312"/>
              </w:rPr>
              <w:t>10、</w:t>
            </w:r>
            <w:r>
              <w:rPr>
                <w:rFonts w:ascii="仿宋_GB2312" w:hAnsi="仿宋_GB2312" w:cs="仿宋_GB2312" w:eastAsia="仿宋_GB2312"/>
              </w:rPr>
              <w:t>审核、整理、汇总、分析省级数据，形成省级城市地价监测数据汇总成果及省级地价状况分析报告；</w:t>
            </w:r>
          </w:p>
          <w:p>
            <w:pPr>
              <w:pStyle w:val="null3"/>
              <w:jc w:val="left"/>
            </w:pPr>
            <w:r>
              <w:rPr>
                <w:rFonts w:ascii="仿宋_GB2312" w:hAnsi="仿宋_GB2312" w:cs="仿宋_GB2312" w:eastAsia="仿宋_GB2312"/>
              </w:rPr>
              <w:t>11、</w:t>
            </w:r>
            <w:r>
              <w:rPr>
                <w:rFonts w:ascii="仿宋_GB2312" w:hAnsi="仿宋_GB2312" w:cs="仿宋_GB2312" w:eastAsia="仿宋_GB2312"/>
              </w:rPr>
              <w:t>对接国家端数据库，负责省级工作平台软件维护工作</w:t>
            </w:r>
            <w:r>
              <w:rPr>
                <w:rFonts w:ascii="仿宋_GB2312" w:hAnsi="仿宋_GB2312" w:cs="仿宋_GB2312" w:eastAsia="仿宋_GB2312"/>
              </w:rPr>
              <w:t>；</w:t>
            </w:r>
          </w:p>
          <w:p>
            <w:pPr>
              <w:pStyle w:val="null3"/>
              <w:jc w:val="left"/>
            </w:pPr>
            <w:r>
              <w:rPr>
                <w:rFonts w:ascii="仿宋_GB2312" w:hAnsi="仿宋_GB2312" w:cs="仿宋_GB2312" w:eastAsia="仿宋_GB2312"/>
              </w:rPr>
              <w:t>12、</w:t>
            </w:r>
            <w:r>
              <w:rPr>
                <w:rFonts w:ascii="仿宋_GB2312" w:hAnsi="仿宋_GB2312" w:cs="仿宋_GB2312" w:eastAsia="仿宋_GB2312"/>
              </w:rPr>
              <w:t>基于此项工作内容，进行调查、研究、分析，取得一定科研成果，在省级以上公开发行的学术刊物上发表学术成果</w:t>
            </w:r>
            <w:r>
              <w:rPr>
                <w:rFonts w:ascii="仿宋_GB2312" w:hAnsi="仿宋_GB2312" w:cs="仿宋_GB2312" w:eastAsia="仿宋_GB2312"/>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完成</w:t>
            </w:r>
            <w:r>
              <w:rPr>
                <w:rFonts w:ascii="仿宋_GB2312" w:hAnsi="仿宋_GB2312" w:cs="仿宋_GB2312" w:eastAsia="仿宋_GB2312"/>
                <w:sz w:val="21"/>
              </w:rPr>
              <w:t>陕西省</w:t>
            </w:r>
            <w:r>
              <w:rPr>
                <w:rFonts w:ascii="仿宋_GB2312" w:hAnsi="仿宋_GB2312" w:cs="仿宋_GB2312" w:eastAsia="仿宋_GB2312"/>
                <w:sz w:val="21"/>
              </w:rPr>
              <w:t>公示地价查询平台系统</w:t>
            </w:r>
            <w:r>
              <w:rPr>
                <w:rFonts w:ascii="仿宋_GB2312" w:hAnsi="仿宋_GB2312" w:cs="仿宋_GB2312" w:eastAsia="仿宋_GB2312"/>
                <w:sz w:val="21"/>
              </w:rPr>
              <w:t>的</w:t>
            </w:r>
            <w:r>
              <w:rPr>
                <w:rFonts w:ascii="仿宋_GB2312" w:hAnsi="仿宋_GB2312" w:cs="仿宋_GB2312" w:eastAsia="仿宋_GB2312"/>
                <w:sz w:val="21"/>
              </w:rPr>
              <w:t>日常</w:t>
            </w:r>
            <w:r>
              <w:rPr>
                <w:rFonts w:ascii="仿宋_GB2312" w:hAnsi="仿宋_GB2312" w:cs="仿宋_GB2312" w:eastAsia="仿宋_GB2312"/>
                <w:sz w:val="21"/>
              </w:rPr>
              <w:t>维护</w:t>
            </w:r>
            <w:r>
              <w:rPr>
                <w:rFonts w:ascii="仿宋_GB2312" w:hAnsi="仿宋_GB2312" w:cs="仿宋_GB2312" w:eastAsia="仿宋_GB2312"/>
                <w:sz w:val="21"/>
              </w:rPr>
              <w:t>，</w:t>
            </w:r>
            <w:r>
              <w:rPr>
                <w:rFonts w:ascii="仿宋_GB2312" w:hAnsi="仿宋_GB2312" w:cs="仿宋_GB2312" w:eastAsia="仿宋_GB2312"/>
                <w:sz w:val="21"/>
              </w:rPr>
              <w:t>完成陕西省</w:t>
            </w:r>
            <w:r>
              <w:rPr>
                <w:rFonts w:ascii="仿宋_GB2312" w:hAnsi="仿宋_GB2312" w:cs="仿宋_GB2312" w:eastAsia="仿宋_GB2312"/>
                <w:sz w:val="21"/>
              </w:rPr>
              <w:t>国土整治中心布置的其他相关工作。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合同签订之日起至2027年3月20日。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完成后，供应商向采购人申请验收，采购人组织相关人员和专家组成验收小组对项目进行最终验收。验收依据为本合同文本、招标文件、响应文件和国内相应的标准、规范。验收合格后，采购人填写终验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进度款，合同生效之日，达到付款条件起15个工作日内，支付合同总金额的70.0%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进度款，项目验收合格交付甲方后，达到付款条件起15个工作日内，支付合同总金额的30.0%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双方在执行合同中所发生的一切争议，应通过协商解决。如协商不成，可向采购人所在地的人民法院起诉。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按照采购合同执行。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经审计的财务审计报告，或提供在提交投标文件截止时间前6个月内其基本存款账户出具的资信证明及其基本存款账户开户许可证（无基本存款账户开户许可证可提供其基本存款账户信息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具备独立承担民事责任能力的法人、其他组织或自然人</w:t>
            </w:r>
          </w:p>
        </w:tc>
        <w:tc>
          <w:tcPr>
            <w:tcW w:type="dxa" w:w="3322"/>
          </w:tcPr>
          <w:p>
            <w:pPr>
              <w:pStyle w:val="null3"/>
            </w:pPr>
            <w:r>
              <w:rPr>
                <w:rFonts w:ascii="仿宋_GB2312" w:hAnsi="仿宋_GB2312" w:cs="仿宋_GB2312" w:eastAsia="仿宋_GB2312"/>
              </w:rPr>
              <w:t>供应商应为具备独立承担民事责任能力的法人、其他组织或自然人，须提供合法有效的营业执照或事业单位法人证书或自然人身份证等合法有效的证明资料；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供应商须在省级自然资源主管部门完成土地估价机构备案并提供备案函；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财务审计报告或其他证明材料</w:t>
            </w:r>
          </w:p>
        </w:tc>
        <w:tc>
          <w:tcPr>
            <w:tcW w:type="dxa" w:w="3322"/>
          </w:tcPr>
          <w:p>
            <w:pPr>
              <w:pStyle w:val="null3"/>
            </w:pPr>
            <w:r>
              <w:rPr>
                <w:rFonts w:ascii="仿宋_GB2312" w:hAnsi="仿宋_GB2312" w:cs="仿宋_GB2312" w:eastAsia="仿宋_GB2312"/>
              </w:rPr>
              <w:t>供应商须提供2024或2025年度经审计的财务审计报告，或提供在提交投标文件截止时间前6个月内其基本存款账户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须提供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供应商参加政府采购活动前三年内，在经营活动中没有重大违法记录；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法定代表人授权委托书或法定代表人身份证明书</w:t>
            </w:r>
          </w:p>
        </w:tc>
        <w:tc>
          <w:tcPr>
            <w:tcW w:type="dxa" w:w="3322"/>
          </w:tcPr>
          <w:p>
            <w:pPr>
              <w:pStyle w:val="null3"/>
            </w:pPr>
            <w:r>
              <w:rPr>
                <w:rFonts w:ascii="仿宋_GB2312" w:hAnsi="仿宋_GB2312" w:cs="仿宋_GB2312" w:eastAsia="仿宋_GB2312"/>
              </w:rPr>
              <w:t>供应商提供法定代表人授权委托书（附法定代表人、被授权人身份证扫描件并加盖公章，法定代表人参加投标的提供法定代表人身份证明书及本人身份证扫描件；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服务方案 标的清单 服务内容及服务要求应答表 投标文件封面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w:t>
            </w:r>
          </w:p>
        </w:tc>
        <w:tc>
          <w:tcPr>
            <w:tcW w:type="dxa" w:w="1661"/>
          </w:tcPr>
          <w:p>
            <w:pPr>
              <w:pStyle w:val="null3"/>
            </w:pPr>
            <w:r>
              <w:rPr>
                <w:rFonts w:ascii="仿宋_GB2312" w:hAnsi="仿宋_GB2312" w:cs="仿宋_GB2312" w:eastAsia="仿宋_GB2312"/>
              </w:rPr>
              <w:t>投标人应提交的相关资格证明材料.docx 投标函 中小企业声明函 残疾人福利性单位声明函 商务应答表 服务方案 服务内容及服务要求应答表 标的清单 投标文件封面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投标报价不得超过采购预算或者最高限价。</w:t>
            </w:r>
          </w:p>
        </w:tc>
        <w:tc>
          <w:tcPr>
            <w:tcW w:type="dxa" w:w="1661"/>
          </w:tcPr>
          <w:p>
            <w:pPr>
              <w:pStyle w:val="null3"/>
            </w:pPr>
            <w:r>
              <w:rPr>
                <w:rFonts w:ascii="仿宋_GB2312" w:hAnsi="仿宋_GB2312" w:cs="仿宋_GB2312" w:eastAsia="仿宋_GB2312"/>
              </w:rPr>
              <w:t>投标人应提交的相关资格证明材料.docx 投标函 中小企业声明函 残疾人福利性单位声明函 商务应答表 服务方案 标的清单 服务内容及服务要求应答表 投标文件封面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投标人应提交的相关资格证明材料.docx 投标函 中小企业声明函 残疾人福利性单位声明函 商务应答表 服务方案 服务内容及服务要求应答表 标的清单 投标文件封面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投标人应提交的相关资格证明材料.docx 投标函 中小企业声明函 残疾人福利性单位声明函 商务应答表 服务方案 服务内容及服务要求应答表 标的清单 投标文件封面 监狱企业的证明文件 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项目理解及分析</w:t>
            </w:r>
          </w:p>
        </w:tc>
        <w:tc>
          <w:tcPr>
            <w:tcW w:type="dxa" w:w="2492"/>
          </w:tcPr>
          <w:p>
            <w:pPr>
              <w:pStyle w:val="null3"/>
            </w:pPr>
            <w:r>
              <w:rPr>
                <w:rFonts w:ascii="仿宋_GB2312" w:hAnsi="仿宋_GB2312" w:cs="仿宋_GB2312" w:eastAsia="仿宋_GB2312"/>
              </w:rPr>
              <w:t>项目理解及分析。分析全面且合理得[3-4]分，分析较全面、较合理得[2-3)分，分析全面性、合理性一般得[1-2)分，分析有明显缺陷但未严重脱离实际得[0-1)分，未提供或与本项目严重不符得0分。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能够结合土地发展现状和本项目服务需求，总体思路清晰，针对性及可实施性强）：方案全面且合理得[6-8]分，方案较全面、较合理得[4-6)分，方案全面性、合理性一般得[2-4)分，方案有明显缺陷但未严重脱离实际得[0-2)分，未提供或与本项目严重不符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各供应商根据本项目的概况，对本项目的重难点进行准确分析和阐述，并给予解决方案：分析及解决方案全面且合理得[3-4]分，分析及解决方案较全面、较合理得[2-3)分，分析全面性、合理性一般得[1-2)分，分析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服务质量保证措施：措施全面且合理得[3-4]分，措施较全面、较合理得[2-3)分，措施全面性、合理性一般得[1-2)分，措施有明显缺陷但未严重脱离实际得[0-1)分，未提供或与本项目严重不符得0分。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进度计划保证措施：措施全面且合理得[3-4]分，措施较全面、较合理得[2-3)分，措施全面性、合理性一般得[1-2)分，措施有明显缺陷但未严重脱离实际得[0-1)分，未提供或与本项目严重不符得0分。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成果保障措施</w:t>
            </w:r>
          </w:p>
        </w:tc>
        <w:tc>
          <w:tcPr>
            <w:tcW w:type="dxa" w:w="2492"/>
          </w:tcPr>
          <w:p>
            <w:pPr>
              <w:pStyle w:val="null3"/>
            </w:pPr>
            <w:r>
              <w:rPr>
                <w:rFonts w:ascii="仿宋_GB2312" w:hAnsi="仿宋_GB2312" w:cs="仿宋_GB2312" w:eastAsia="仿宋_GB2312"/>
              </w:rPr>
              <w:t>成果保障措施：措施全面且合理得[3-4]分，措施较全面、较合理得[2-3)分，措施全面性、合理性一般得[1-2)分，措施有明显缺陷但未严重脱离实际得[0-1)分，未提供或与本项目严重不符得0分。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安全保证措施：措施全面且合理得[3-4]分，措施较全面、较合理得[2-3)分，措施全面性、合理性一般得[1-2)分，措施有明显缺陷但未严重脱离实际得[0-1)分，未提供或与本项目严重不符得0分。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后续配合服务计划及保证措施</w:t>
            </w:r>
          </w:p>
        </w:tc>
        <w:tc>
          <w:tcPr>
            <w:tcW w:type="dxa" w:w="2492"/>
          </w:tcPr>
          <w:p>
            <w:pPr>
              <w:pStyle w:val="null3"/>
            </w:pPr>
            <w:r>
              <w:rPr>
                <w:rFonts w:ascii="仿宋_GB2312" w:hAnsi="仿宋_GB2312" w:cs="仿宋_GB2312" w:eastAsia="仿宋_GB2312"/>
              </w:rPr>
              <w:t>后续配合服务计划及保证措施：计划及措施全面且合理得[3-4]分，计划及措施较全面、较合理得[2-3)分，计划及措施全面性、合理性一般得[1-2)分，计划及措施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合理化建议：建议全面且合理得[3-4]分，建议较全面、较合理得[2-3)分，建议全面性、合理性一般得[1-2)分，建议有明显缺陷但未严重脱离实际得[0-1)分，未提供或与本项目严重不符得0分。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拟派项目负责人具备土地估价师资格及相关专业高级及以上技术职称的，并提供近三个月社保缴纳证明，得6分。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供应商根据项目实际情况组建拟投入本项目的服务团队。拟投入的团队成员（除拟派负责人以外）具备土地估价师资格，并提供近三个月社保缴纳证明，每人得4分，本项最高得24分。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7月1日至今）类似项目业绩，每提供一份有效业绩得4分，满分20分（以合同或中标（成交）通知书扫描件为准，时间以合同签订时间或中标（成交）通知书落款时间为准，合同或中标（成交）通知书内容须完整清晰可辨认，否则视为无效业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满足招标文件要求且投标价格最低的投标报价为评标基准价，其价格分为满分。其他供应商的价格分统一按照下列公式计算：投标报价得分=（评标基准价/投标报价）×投标报价总分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