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版本号：ZCBN-西乡县-2026-0009920260506001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西乡县地籍调查工作项目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ZCBN-西乡县-2026-00099</w:t>
      </w:r>
      <w:r>
        <w:br/>
      </w:r>
      <w:r>
        <w:br/>
      </w:r>
      <w:r>
        <w:br/>
      </w:r>
    </w:p>
    <w:p>
      <w:pPr>
        <w:pStyle w:val="null3"/>
        <w:jc w:val="center"/>
        <w:outlineLvl w:val="2"/>
      </w:pPr>
      <w:r>
        <w:rPr>
          <w:rFonts w:ascii="仿宋_GB2312" w:hAnsi="仿宋_GB2312" w:cs="仿宋_GB2312" w:eastAsia="仿宋_GB2312"/>
          <w:sz w:val="28"/>
          <w:b/>
        </w:rPr>
        <w:t>西乡县不动产登记交易服务中心</w:t>
      </w:r>
    </w:p>
    <w:p>
      <w:pPr>
        <w:pStyle w:val="null3"/>
        <w:jc w:val="center"/>
        <w:outlineLvl w:val="2"/>
      </w:pPr>
      <w:r>
        <w:rPr>
          <w:rFonts w:ascii="仿宋_GB2312" w:hAnsi="仿宋_GB2312" w:cs="仿宋_GB2312" w:eastAsia="仿宋_GB2312"/>
          <w:sz w:val="28"/>
          <w:b/>
        </w:rPr>
        <w:t>陕西拉姆瑞工程咨询有限公司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陕西拉姆瑞工程咨询有限公司</w:t>
      </w:r>
      <w:r>
        <w:rPr>
          <w:rFonts w:ascii="仿宋_GB2312" w:hAnsi="仿宋_GB2312" w:cs="仿宋_GB2312" w:eastAsia="仿宋_GB2312"/>
        </w:rPr>
        <w:t>（以下简称“代理机构”）受</w:t>
      </w:r>
      <w:r>
        <w:rPr>
          <w:rFonts w:ascii="仿宋_GB2312" w:hAnsi="仿宋_GB2312" w:cs="仿宋_GB2312" w:eastAsia="仿宋_GB2312"/>
        </w:rPr>
        <w:t>西乡县不动产登记交易服务中心</w:t>
      </w:r>
      <w:r>
        <w:rPr>
          <w:rFonts w:ascii="仿宋_GB2312" w:hAnsi="仿宋_GB2312" w:cs="仿宋_GB2312" w:eastAsia="仿宋_GB2312"/>
        </w:rPr>
        <w:t>委托，拟对</w:t>
      </w:r>
      <w:r>
        <w:rPr>
          <w:rFonts w:ascii="仿宋_GB2312" w:hAnsi="仿宋_GB2312" w:cs="仿宋_GB2312" w:eastAsia="仿宋_GB2312"/>
        </w:rPr>
        <w:t>西乡县地籍调查工作项目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ZCBN-西乡县-2026-00099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西乡县地籍调查工作项目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1. 数据整合建库及汇交：按照自然资源“一张图”建设要求，整理全县已有地籍成果，清理重复、无效数据，规范数据格式，形成要素齐全、现势有效的地籍调查成果，纳入数据库管理并与确权登记成果关联；按《地籍数据汇交要求（试行）》以县为单位分类、分阶段汇交地籍成果。2. 地籍图数据库建设与编制：在地籍数据整合入库基础上，依据《地籍图编制技术规范（试行）》，以全覆盖地籍数据库为基础，结合最新基础地理、国土调查数据，完成全县地籍图编制及数据库建设。</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采购包1（西乡县地籍调查工作项目）：属于专门面向中小企业采购。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投标人应具有独立承担民事责任的能力且具备向招标人提供相关服务的企业法人、其他组织或者自然人，企业法人应提供统一社会信用代码的营业执照；其他组织应提供合法证明文件；自然人应提供身份证明文件。投标人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投标人需在项目电子化交易系统中按要求上传相应证明文件并进行电子签章。</w:t>
      </w:r>
    </w:p>
    <w:p>
      <w:pPr>
        <w:pStyle w:val="null3"/>
      </w:pPr>
      <w:r>
        <w:rPr>
          <w:rFonts w:ascii="仿宋_GB2312" w:hAnsi="仿宋_GB2312" w:cs="仿宋_GB2312" w:eastAsia="仿宋_GB2312"/>
        </w:rPr>
        <w:t>3、汉中市政府采购供应商资格承诺函：投标人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投标人需在项目电子化交易系统中按要求上传相应证明文件并进行电子签章。</w:t>
      </w:r>
    </w:p>
    <w:p>
      <w:pPr>
        <w:pStyle w:val="null3"/>
      </w:pPr>
      <w:r>
        <w:rPr>
          <w:rFonts w:ascii="仿宋_GB2312" w:hAnsi="仿宋_GB2312" w:cs="仿宋_GB2312" w:eastAsia="仿宋_GB2312"/>
        </w:rPr>
        <w:t>4、资质证书：须具备乙级及以上测绘资质（包含不动产测绘子项）；拟派项目负责人需具备中级及以上职称。投标人需在项目电子化交易系统中按要求上传相应证明文件并进行电子签章。</w:t>
      </w:r>
    </w:p>
    <w:p>
      <w:pPr>
        <w:pStyle w:val="null3"/>
      </w:pPr>
      <w:r>
        <w:rPr>
          <w:rFonts w:ascii="仿宋_GB2312" w:hAnsi="仿宋_GB2312" w:cs="仿宋_GB2312" w:eastAsia="仿宋_GB2312"/>
        </w:rPr>
        <w:t>5、非联合体投标书面声明：本项目不接受联合体投标。投标人须提供《非联合体投标书面声明》。投标人需在项目电子化交易系统中按要求上传相应证明文件并进行电子签章。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西乡县不动产登记交易服务中心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金牛路148号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西乡县不动产登记交易服务中心经办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0916-6210605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陕西拉姆瑞工程咨询有限公司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陕西省汉中市汉台区汉中市民主街121号汉中市电影有限责任公司院内二楼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0916-8822696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采购包1：2,156,500.00元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开户名称：陕西拉姆瑞工程咨询有限公司</w:t>
            </w:r>
          </w:p>
          <w:p>
            <w:pPr>
              <w:pStyle w:val="null3"/>
            </w:pPr>
            <w:r>
              <w:rPr>
                <w:rFonts w:ascii="仿宋_GB2312" w:hAnsi="仿宋_GB2312" w:cs="仿宋_GB2312" w:eastAsia="仿宋_GB2312"/>
              </w:rPr>
              <w:t>开户银行：工行陕西省汉中高新支行</w:t>
            </w:r>
          </w:p>
          <w:p>
            <w:pPr>
              <w:pStyle w:val="null3"/>
            </w:pPr>
            <w:r>
              <w:rPr>
                <w:rFonts w:ascii="仿宋_GB2312" w:hAnsi="仿宋_GB2312" w:cs="仿宋_GB2312" w:eastAsia="仿宋_GB2312"/>
              </w:rPr>
              <w:t>银行账号：2606050609200034129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 号)、国家发展和改革委员会《国家发展改革委办公厅关于招标代理服务收费有关问题的通知》( 发改办价格[2003]857号)和《国家发展改革委关于降低部分建设项目收费标准规范收费行为等 有关问题的通知》(发改价格[2011]534号)文件的相关规定执行。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西乡县不动产登记交易服务中心</w:t>
      </w:r>
      <w:r>
        <w:rPr>
          <w:rFonts w:ascii="仿宋_GB2312" w:hAnsi="仿宋_GB2312" w:cs="仿宋_GB2312" w:eastAsia="仿宋_GB2312"/>
        </w:rPr>
        <w:t>和</w:t>
      </w:r>
      <w:r>
        <w:rPr>
          <w:rFonts w:ascii="仿宋_GB2312" w:hAnsi="仿宋_GB2312" w:cs="仿宋_GB2312" w:eastAsia="仿宋_GB2312"/>
        </w:rPr>
        <w:t>陕西拉姆瑞工程咨询有限公司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西乡县不动产登记交易服务中心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陕西拉姆瑞工程咨询有限公司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西乡县不动产登记交易服务中心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陕西拉姆瑞工程咨询有限公司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所有数据成果符合国家及行业现行标准。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陕西拉姆瑞工程咨询有限公司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陕西拉姆瑞工程咨询有限公司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陕西拉姆瑞工程咨询有限公司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联系人：韩女士</w:t>
      </w:r>
    </w:p>
    <w:p>
      <w:pPr>
        <w:pStyle w:val="null3"/>
      </w:pPr>
      <w:r>
        <w:rPr>
          <w:rFonts w:ascii="仿宋_GB2312" w:hAnsi="仿宋_GB2312" w:cs="仿宋_GB2312" w:eastAsia="仿宋_GB2312"/>
        </w:rPr>
        <w:t>联系电话：0916-8822696</w:t>
      </w:r>
    </w:p>
    <w:p>
      <w:pPr>
        <w:pStyle w:val="null3"/>
      </w:pPr>
      <w:r>
        <w:rPr>
          <w:rFonts w:ascii="仿宋_GB2312" w:hAnsi="仿宋_GB2312" w:cs="仿宋_GB2312" w:eastAsia="仿宋_GB2312"/>
        </w:rPr>
        <w:t>地址：汉中市汉台区民主街121号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 数据整合建库及汇交：按照自然资源“一张图”建设要求，整理全县已有地籍成果，清理重复、无效数据，规范数据格式，形成要素齐全、现势有效的地籍调查成果，纳入数据库管理并与确权登记成果关联；按《地籍数据汇交要求（试行）》以县为单位分类、分阶段汇交地籍成果。2. 地籍图数据库建设与编制：在地籍数据整合入库基础上，依据《地籍图编制技术规范（试行）》，以全覆盖地籍数据库为基础，结合最新基础地理、国土调查数据，完成全县地籍图编制及数据库建设。</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2,156,500.00</w:t>
      </w:r>
    </w:p>
    <w:p>
      <w:pPr>
        <w:pStyle w:val="null3"/>
      </w:pPr>
      <w:r>
        <w:rPr>
          <w:rFonts w:ascii="仿宋_GB2312" w:hAnsi="仿宋_GB2312" w:cs="仿宋_GB2312" w:eastAsia="仿宋_GB2312"/>
        </w:rPr>
        <w:t>采购包最高限价（元）: 2,156,500.00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西乡县地籍调查工作项目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2,156,500.00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标的名称：西乡县地籍调查工作项目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一.项目内容：</w:t>
            </w:r>
            <w:r>
              <w:rPr>
                <w:rFonts w:ascii="仿宋_GB2312" w:hAnsi="仿宋_GB2312" w:cs="仿宋_GB2312" w:eastAsia="仿宋_GB2312"/>
                <w:sz w:val="24"/>
              </w:rPr>
              <w:t xml:space="preserve">1. </w:t>
            </w:r>
            <w:r>
              <w:rPr>
                <w:rFonts w:ascii="仿宋_GB2312" w:hAnsi="仿宋_GB2312" w:cs="仿宋_GB2312" w:eastAsia="仿宋_GB2312"/>
                <w:sz w:val="24"/>
              </w:rPr>
              <w:t>数据整合建库及汇交：按照自然资源</w:t>
            </w:r>
            <w:r>
              <w:rPr>
                <w:rFonts w:ascii="仿宋_GB2312" w:hAnsi="仿宋_GB2312" w:cs="仿宋_GB2312" w:eastAsia="仿宋_GB2312"/>
                <w:sz w:val="24"/>
              </w:rPr>
              <w:t>“</w:t>
            </w:r>
            <w:r>
              <w:rPr>
                <w:rFonts w:ascii="仿宋_GB2312" w:hAnsi="仿宋_GB2312" w:cs="仿宋_GB2312" w:eastAsia="仿宋_GB2312"/>
                <w:sz w:val="24"/>
              </w:rPr>
              <w:t>一张图</w:t>
            </w:r>
            <w:r>
              <w:rPr>
                <w:rFonts w:ascii="仿宋_GB2312" w:hAnsi="仿宋_GB2312" w:cs="仿宋_GB2312" w:eastAsia="仿宋_GB2312"/>
                <w:sz w:val="24"/>
              </w:rPr>
              <w:t>”</w:t>
            </w:r>
            <w:r>
              <w:rPr>
                <w:rFonts w:ascii="仿宋_GB2312" w:hAnsi="仿宋_GB2312" w:cs="仿宋_GB2312" w:eastAsia="仿宋_GB2312"/>
                <w:sz w:val="24"/>
              </w:rPr>
              <w:t>建设要求，整理全县已有地籍成果，清理重复、无效数据，规范数据格式，形成要素齐全、现势有效的地籍调查成果，纳入数据库管理并与确权登记成果关联；按《地籍数据汇交要求（试行）》以县为单位分类、分阶段汇交地籍成果。</w:t>
            </w:r>
            <w:r>
              <w:rPr>
                <w:rFonts w:ascii="仿宋_GB2312" w:hAnsi="仿宋_GB2312" w:cs="仿宋_GB2312" w:eastAsia="仿宋_GB2312"/>
                <w:sz w:val="24"/>
              </w:rPr>
              <w:t xml:space="preserve">2. </w:t>
            </w:r>
            <w:r>
              <w:rPr>
                <w:rFonts w:ascii="仿宋_GB2312" w:hAnsi="仿宋_GB2312" w:cs="仿宋_GB2312" w:eastAsia="仿宋_GB2312"/>
                <w:sz w:val="24"/>
              </w:rPr>
              <w:t>地籍图数据库建设与编制：在地籍数据整合入库基础上，依据《地籍图编制技术规范（试行）》，以全覆盖地籍数据库为基础，结合最新基础地理、国土调查数据，完成全县地籍图编制及数据库建设。</w:t>
            </w:r>
          </w:p>
          <w:p>
            <w:pPr>
              <w:pStyle w:val="null3"/>
            </w:pPr>
            <w:r>
              <w:rPr>
                <w:rFonts w:ascii="仿宋_GB2312" w:hAnsi="仿宋_GB2312" w:cs="仿宋_GB2312" w:eastAsia="仿宋_GB2312"/>
              </w:rPr>
              <w:t>二、</w:t>
            </w:r>
            <w:r>
              <w:rPr>
                <w:rFonts w:ascii="仿宋_GB2312" w:hAnsi="仿宋_GB2312" w:cs="仿宋_GB2312" w:eastAsia="仿宋_GB2312"/>
                <w:sz w:val="24"/>
              </w:rPr>
              <w:t>产出目标：</w:t>
            </w:r>
            <w:r>
              <w:rPr>
                <w:rFonts w:ascii="仿宋_GB2312" w:hAnsi="仿宋_GB2312" w:cs="仿宋_GB2312" w:eastAsia="仿宋_GB2312"/>
                <w:sz w:val="24"/>
              </w:rPr>
              <w:t xml:space="preserve">1. </w:t>
            </w:r>
            <w:r>
              <w:rPr>
                <w:rFonts w:ascii="仿宋_GB2312" w:hAnsi="仿宋_GB2312" w:cs="仿宋_GB2312" w:eastAsia="仿宋_GB2312"/>
                <w:sz w:val="24"/>
              </w:rPr>
              <w:t>成果质量：所有数据成果符合国家及行业现行标准，一次性通过上级部门验收；</w:t>
            </w:r>
            <w:r>
              <w:rPr>
                <w:rFonts w:ascii="仿宋_GB2312" w:hAnsi="仿宋_GB2312" w:cs="仿宋_GB2312" w:eastAsia="仿宋_GB2312"/>
                <w:sz w:val="24"/>
              </w:rPr>
              <w:t xml:space="preserve">2. </w:t>
            </w:r>
            <w:r>
              <w:rPr>
                <w:rFonts w:ascii="仿宋_GB2312" w:hAnsi="仿宋_GB2312" w:cs="仿宋_GB2312" w:eastAsia="仿宋_GB2312"/>
                <w:sz w:val="24"/>
              </w:rPr>
              <w:t>完成时限：在合同约定工期内完成全部数据整合、建库、编制及汇交工作；</w:t>
            </w:r>
            <w:r>
              <w:rPr>
                <w:rFonts w:ascii="仿宋_GB2312" w:hAnsi="仿宋_GB2312" w:cs="仿宋_GB2312" w:eastAsia="仿宋_GB2312"/>
                <w:sz w:val="24"/>
              </w:rPr>
              <w:t xml:space="preserve">3. </w:t>
            </w:r>
            <w:r>
              <w:rPr>
                <w:rFonts w:ascii="仿宋_GB2312" w:hAnsi="仿宋_GB2312" w:cs="仿宋_GB2312" w:eastAsia="仿宋_GB2312"/>
                <w:sz w:val="24"/>
              </w:rPr>
              <w:t>数量指标：实现全县地籍数据</w:t>
            </w:r>
            <w:r>
              <w:rPr>
                <w:rFonts w:ascii="仿宋_GB2312" w:hAnsi="仿宋_GB2312" w:cs="仿宋_GB2312" w:eastAsia="仿宋_GB2312"/>
                <w:sz w:val="24"/>
              </w:rPr>
              <w:t>100%</w:t>
            </w:r>
            <w:r>
              <w:rPr>
                <w:rFonts w:ascii="仿宋_GB2312" w:hAnsi="仿宋_GB2312" w:cs="仿宋_GB2312" w:eastAsia="仿宋_GB2312"/>
                <w:sz w:val="24"/>
              </w:rPr>
              <w:t>整合入库，汇交率</w:t>
            </w:r>
            <w:r>
              <w:rPr>
                <w:rFonts w:ascii="仿宋_GB2312" w:hAnsi="仿宋_GB2312" w:cs="仿宋_GB2312" w:eastAsia="仿宋_GB2312"/>
                <w:sz w:val="24"/>
              </w:rPr>
              <w:t>100%</w:t>
            </w:r>
            <w:r>
              <w:rPr>
                <w:rFonts w:ascii="仿宋_GB2312" w:hAnsi="仿宋_GB2312" w:cs="仿宋_GB2312" w:eastAsia="仿宋_GB2312"/>
                <w:sz w:val="24"/>
              </w:rPr>
              <w:t>。</w:t>
            </w:r>
          </w:p>
          <w:p>
            <w:pPr>
              <w:pStyle w:val="null3"/>
            </w:pPr>
            <w:r>
              <w:rPr>
                <w:rFonts w:ascii="仿宋_GB2312" w:hAnsi="仿宋_GB2312" w:cs="仿宋_GB2312" w:eastAsia="仿宋_GB2312"/>
                <w:sz w:val="24"/>
              </w:rPr>
              <w:t>三、效益目标：提升西乡县地籍管理规范化、信息化水平，为自然资源</w:t>
            </w:r>
            <w:r>
              <w:rPr>
                <w:rFonts w:ascii="仿宋_GB2312" w:hAnsi="仿宋_GB2312" w:cs="仿宋_GB2312" w:eastAsia="仿宋_GB2312"/>
                <w:sz w:val="24"/>
              </w:rPr>
              <w:t>“</w:t>
            </w:r>
            <w:r>
              <w:rPr>
                <w:rFonts w:ascii="仿宋_GB2312" w:hAnsi="仿宋_GB2312" w:cs="仿宋_GB2312" w:eastAsia="仿宋_GB2312"/>
                <w:sz w:val="24"/>
              </w:rPr>
              <w:t>一张图</w:t>
            </w:r>
            <w:r>
              <w:rPr>
                <w:rFonts w:ascii="仿宋_GB2312" w:hAnsi="仿宋_GB2312" w:cs="仿宋_GB2312" w:eastAsia="仿宋_GB2312"/>
                <w:sz w:val="24"/>
              </w:rPr>
              <w:t>”</w:t>
            </w:r>
            <w:r>
              <w:rPr>
                <w:rFonts w:ascii="仿宋_GB2312" w:hAnsi="仿宋_GB2312" w:cs="仿宋_GB2312" w:eastAsia="仿宋_GB2312"/>
                <w:sz w:val="24"/>
              </w:rPr>
              <w:t>应用及后续不动产登记等工作提供精准数据支撑。</w:t>
            </w:r>
          </w:p>
          <w:p>
            <w:pPr>
              <w:pStyle w:val="null3"/>
            </w:pPr>
            <w:r>
              <w:rPr>
                <w:rFonts w:ascii="仿宋_GB2312" w:hAnsi="仿宋_GB2312" w:cs="仿宋_GB2312" w:eastAsia="仿宋_GB2312"/>
                <w:sz w:val="24"/>
              </w:rPr>
              <w:t>四、满意度目标：采购单位及相关主管部门对服务成果满意度</w:t>
            </w:r>
            <w:r>
              <w:rPr>
                <w:rFonts w:ascii="仿宋_GB2312" w:hAnsi="仿宋_GB2312" w:cs="仿宋_GB2312" w:eastAsia="仿宋_GB2312"/>
                <w:sz w:val="24"/>
              </w:rPr>
              <w:t>≥95%</w:t>
            </w:r>
            <w:r>
              <w:rPr>
                <w:rFonts w:ascii="仿宋_GB2312" w:hAnsi="仿宋_GB2312" w:cs="仿宋_GB2312" w:eastAsia="仿宋_GB2312"/>
                <w:sz w:val="24"/>
              </w:rPr>
              <w:t>。</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自合同签订之日起至2026年12月31日前完成并交付招标人</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所有数据成果符合国家及行业现行标准，一次性通过上级部门验收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乙方完成全部地籍调查工作后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乙方完成成果编制工作并验收合格后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乙方完成全部地籍调查成果汇交工作及全部合同义务</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投标人应具有独立承担民事责任的能力且具备向招标人提供相关服务的企业法人、其他组织或者自然人，企业法人应提供统一社会信用代码的营业执照；其他组织应提供合法证明文件；自然人应提供身份证明文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须具备乙级及以上测绘资质（包含不动产测绘子项）；拟派项目负责人需具备中级及以上职称。投标人需在项目电子化交易系统中按要求上传相应证明文件并进行电子签章。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非联合体投标书面声明</w:t>
            </w:r>
          </w:p>
        </w:tc>
        <w:tc>
          <w:tcPr>
            <w:tcW w:type="dxa" w:w="3322"/>
          </w:tcPr>
          <w:p>
            <w:pPr>
              <w:pStyle w:val="null3"/>
            </w:pPr>
            <w:r>
              <w:rPr>
                <w:rFonts w:ascii="仿宋_GB2312" w:hAnsi="仿宋_GB2312" w:cs="仿宋_GB2312" w:eastAsia="仿宋_GB2312"/>
              </w:rPr>
              <w:t>本项目不接受联合体投标。投标人须提供《非联合体投标书面声明》。投标人需在项目电子化交易系统中按要求上传相应证明文件并进行电子签章。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响应文件内容格式</w:t>
            </w:r>
          </w:p>
        </w:tc>
        <w:tc>
          <w:tcPr>
            <w:tcW w:type="dxa" w:w="3322"/>
          </w:tcPr>
          <w:p>
            <w:pPr>
              <w:pStyle w:val="null3"/>
            </w:pPr>
            <w:r>
              <w:rPr>
                <w:rFonts w:ascii="仿宋_GB2312" w:hAnsi="仿宋_GB2312" w:cs="仿宋_GB2312" w:eastAsia="仿宋_GB2312"/>
              </w:rPr>
              <w:t>供应商响应文件按照规定的格式和内容填写，内容清晰，签字盖章符合要求。</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投标人提供2023年1月1日至今完成的同类项目业绩证明，每提供一份得2分，最高得4.0分； 评审依据： 以投标人提供的中标通知书复印件和施工合同复印件为准，否则不作为业绩进行考核，该业绩不得分。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1、评审项：管理制度，内容包含①岗位职责：具有岗位职责的具体描述（3分）； ②内控制度：具有管理组织机构、问责机制、监督机制（3分）； ③人员管理制度：具有员工日常管理办法、请销假制度、奖惩措施（6分）。 2、评审标准： ①完整性：方案全面，对评审内容中的各项要求有详细描述及说明； ②可实施性：切合本项目实际情况，项目方案步骤清晰、合理；③针对性：方案紧扣项目实际情况，内容科学合理。 3、赋分标准：①岗位职责：每完全满足一项评审标准得 1 分，满分 3 分； ②内控制度：每完全满足一项评审标准得1 分，满分 3 分； ③人员管理制度：每完全满足一项评审标准得 2分，满分 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质量保证实施措施</w:t>
            </w:r>
          </w:p>
        </w:tc>
        <w:tc>
          <w:tcPr>
            <w:tcW w:type="dxa" w:w="2492"/>
          </w:tcPr>
          <w:p>
            <w:pPr>
              <w:pStyle w:val="null3"/>
            </w:pPr>
            <w:r>
              <w:rPr>
                <w:rFonts w:ascii="仿宋_GB2312" w:hAnsi="仿宋_GB2312" w:cs="仿宋_GB2312" w:eastAsia="仿宋_GB2312"/>
              </w:rPr>
              <w:t>投标人针对本项目的特点，制定质量保证的措施方案。 1、评审项： ①具有针对本项目质量管理制度（3分）； ②质量保障措施（6分）； ③内部管控流程合理（3分）。 2、评审标准： ①完整性：内容全面，对评审内容中的各项要求有详细描述； ②可实施性：切合本项目实际情况，方案步骤清晰、合理； ③针对性：紧扣项目实际情况需求，内容切实合理。 3、赋分标准： ①具有针对本项目质量管理制度：每完全满足一个评审标准得 1 分，满分 3 分； ②质量保障措施：每完全满足一个评审标准得 2分，满分 6 分； ③内部管控流程：每完全满足一个评审标准得 1 分，满分 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工期保障措施</w:t>
            </w:r>
          </w:p>
        </w:tc>
        <w:tc>
          <w:tcPr>
            <w:tcW w:type="dxa" w:w="2492"/>
          </w:tcPr>
          <w:p>
            <w:pPr>
              <w:pStyle w:val="null3"/>
            </w:pPr>
            <w:r>
              <w:rPr>
                <w:rFonts w:ascii="仿宋_GB2312" w:hAnsi="仿宋_GB2312" w:cs="仿宋_GB2312" w:eastAsia="仿宋_GB2312"/>
              </w:rPr>
              <w:t>1、评审项： ①进度保障措施（3分）； ②突发状况应急预案（3分）。 2、评审标准： ①完整性：内容全面，对评审内容中的各项要求有详细描述； ②可实施性：切合本项目实际情况，方案步骤清晰、合理； ③针对性：紧扣项目实际情况需求，内容切实合理。 3、赋分标准： ①进度保障措施：每完全满足一个评审标准得 1 分，满分 3 分；②突发状况应急预案：每完全满足一个评审标准得 1 分，满分 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投标人对自身承接本服务的有利条件和优势说明 1、评审项：根据项目实际情况及供应商自身特点 ①提供有关在本项目服务方面的优势（2分）； ②针对本项目的实施合理化建议（3分）。 2、评审标准：①完整性：内容全面，对评审内容中的各项要求有详细描述； ②科学性：紧扣项目实际情况需求，内容切实合理可行。 3、赋分标准： ①提供有关在本项目服务方面的优势：每满足一个评审标准得1分，满分2分； ②提供针对本项目的实施合理化建议：每满足一个评审标准得1.5分，满分3分；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1、评审项 ①对项目质量的承诺（3分）； ②对本项目及后期服务的承诺（3分）； ③对售后服务响应时间的承诺（3分）。 2、评审标准： ①完整性：内容全面，对评审内容中的各项要求有详细描述； ②可实施性：切合本项目实际情况，方案步骤清晰、合理； ③针对性：紧扣项目实际情况需求，内容切实合理。 3、赋分标准： ①对项目质量的承诺：每完全满足一个评审标准得 1 分，满分3 分；②对本项目及后期服务的承诺：每完全满足一个评审标准得1分，满分 3 分； ③对售后服务响应时间的承诺：每完全满足一个评审标准得 1 分，满分 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项目配备</w:t>
            </w:r>
          </w:p>
        </w:tc>
        <w:tc>
          <w:tcPr>
            <w:tcW w:type="dxa" w:w="2492"/>
          </w:tcPr>
          <w:p>
            <w:pPr>
              <w:pStyle w:val="null3"/>
            </w:pPr>
            <w:r>
              <w:rPr>
                <w:rFonts w:ascii="仿宋_GB2312" w:hAnsi="仿宋_GB2312" w:cs="仿宋_GB2312" w:eastAsia="仿宋_GB2312"/>
              </w:rPr>
              <w:t>1、评审项：针对本项目具有良好的人员及设备配备，内容包括 ①人员配备：根据项目实施配备相应的人员，需提供配备人员的数量及岗位专业（4分）； ②设备配备：根据项目实施配备相应的设施设备（4分）。 2、评审标准： ①齐全性：根据本项目实际情况配备全面，对评审内容中的各项要求有详细描述及说明； ②科学性：根据本项目实际情况配备科学合理。 3、赋分标准： ①人员配备每完全满足一项评审标准得 2分，满分4 分 ②设备配备：每完全满足一项评审标准得2 分，满分 4分。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投标人充分理解项目背景和内容，了解基本情况等，提供技术服务方案。 1、评审项： ①总体部署及计划（4分）； ②技术措施及方法（4分）； ③关键点、重难点分析（4分）； ④成果交付（4分）；⑤服务理念及特色（4分）。 2、评审标准： ①完整性：内容全面，对评审内容中的各项要求有详细描述； ②可实施性：切合本项目实际情况，方案步骤清晰、合理； ③针对性：紧扣项目实际情况需求，内容切实合理。 3、赋分标准： ①总体部署及计划：每完全满足一个评审标准得 1 分，满分 4 分； ②技术措施及方法：每完全满足一个评审标准得 1 分，满分 4 分； ③关键点、重难点分析：每完全满足一个评审标准得 1 分，满分 4 分； ④成果交付：每完全满足一个评审标准得 1 分，满分 4 分； ⑤服务理念及特色：每完全满足一个评审标准得 1 分，满分 4 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结合本项目实际情况，详细制定安全生产管理及保证措施及项目风险预测与防范，事故应急预案体系；1、评审项： ①安全保障措施（3分）； ②安全预防措施（3分）； ③事故应急预案（3分）。 2、评审标准： ①完整性：内容全面，对评审内容中的各项要求有详细描述；②可实施性：切合本项目实际情况，方案步骤清晰、合理； ③针对性：紧扣项目实际情况需求，内容切实合理。 3、赋分标准： ①安全保障措施：每完全满足一个评审标准得 1 分，满分 3 分； ②安全预防措施：每完全满足一个评审标准得1 分，满分 3 分。 ③事故应急预案：每完全满足一个评审标准得 1 分，满分 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2、以满足本次招标文件要求的最低报价为评审基准价，其价格为满分； 3、不享有政策优惠条件的投标供应商报价得分=（评审基准价/报价）×15；4、全部符合政策优惠条件的投标供应商报价得分=[评审基准价/报价*(1-10%)]×15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残疾人福利性单位声明函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详见附件：技术服务合同.docx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