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版本号：ZJDY-HZCG-2026-1320260717001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2026年大巴山北麓和汉江谷地水土保持与水源涵养项目（黎坪林场退化林修复）</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ZJDY-HZCG-2026-13</w:t>
      </w:r>
      <w:r>
        <w:br/>
      </w:r>
      <w:r>
        <w:br/>
      </w:r>
      <w:r>
        <w:br/>
      </w:r>
    </w:p>
    <w:p>
      <w:pPr>
        <w:pStyle w:val="null3"/>
        <w:jc w:val="center"/>
        <w:outlineLvl w:val="2"/>
      </w:pPr>
      <w:r>
        <w:rPr>
          <w:rFonts w:ascii="仿宋_GB2312" w:hAnsi="仿宋_GB2312" w:cs="仿宋_GB2312" w:eastAsia="仿宋_GB2312"/>
          <w:sz w:val="28"/>
          <w:b/>
        </w:rPr>
        <w:t>汉中市南郑区国有黎坪林场</w:t>
      </w:r>
    </w:p>
    <w:p>
      <w:pPr>
        <w:pStyle w:val="null3"/>
        <w:jc w:val="center"/>
        <w:outlineLvl w:val="2"/>
      </w:pPr>
      <w:r>
        <w:rPr>
          <w:rFonts w:ascii="仿宋_GB2312" w:hAnsi="仿宋_GB2312" w:cs="仿宋_GB2312" w:eastAsia="仿宋_GB2312"/>
          <w:sz w:val="28"/>
          <w:b/>
        </w:rPr>
        <w:t>中佳鼎运建设管理有限公司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中佳鼎运建设管理有限公司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汉中市南郑区国有黎坪林场</w:t>
      </w:r>
      <w:r>
        <w:rPr>
          <w:rFonts w:ascii="仿宋_GB2312" w:hAnsi="仿宋_GB2312" w:cs="仿宋_GB2312" w:eastAsia="仿宋_GB2312"/>
        </w:rPr>
        <w:t>委托，拟对</w:t>
      </w:r>
      <w:r>
        <w:rPr>
          <w:rFonts w:ascii="仿宋_GB2312" w:hAnsi="仿宋_GB2312" w:cs="仿宋_GB2312" w:eastAsia="仿宋_GB2312"/>
        </w:rPr>
        <w:t>2026年大巴山北麓和汉江谷地水土保持与水源涵养项目（黎坪林场退化林修复）</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ZJDY-HZCG-2026-13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2026年大巴山北麓和汉江谷地水土保持与水源涵养项目（黎坪林场退化林修复）</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2026年大巴山北麓和汉江谷地水土保持与水源涵养项目（黎坪林场退化林修复）作业面积10000亩的全部施工内容(择伐作业、补植、抚育成效监测样地、宣传牌等)。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采购包1（2026年大巴山北麓和汉江谷地水土保持与水源涵养项目（黎坪林场退化林修复）合同包1）：属于专门面向中小企业采购。</w:t>
      </w:r>
    </w:p>
    <w:p>
      <w:pPr>
        <w:pStyle w:val="null3"/>
      </w:pPr>
      <w:r>
        <w:rPr>
          <w:rFonts w:ascii="仿宋_GB2312" w:hAnsi="仿宋_GB2312" w:cs="仿宋_GB2312" w:eastAsia="仿宋_GB2312"/>
        </w:rPr>
        <w:t>采购包2（2026年大巴山北麓和汉江谷地水土保持与水源涵养项目（黎坪林场退化林修复）合同包2）：属于专门面向中小企业采购。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主体资格要求：投标人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2、法定代表人身份证明或授权书：法定代表人授权书（附法定代表人身份证复印件）及被授权人身份证（法定代表人直接参加投标只需提供法定代表人身份证）；</w:t>
      </w:r>
    </w:p>
    <w:p>
      <w:pPr>
        <w:pStyle w:val="null3"/>
      </w:pPr>
      <w:r>
        <w:rPr>
          <w:rFonts w:ascii="仿宋_GB2312" w:hAnsi="仿宋_GB2312" w:cs="仿宋_GB2312" w:eastAsia="仿宋_GB2312"/>
        </w:rPr>
        <w:t>3、供应商信誉要求：投标人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4、其他要求：本项目不接受联合体投标，投标人应提供《非联合体声明》。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主体资格要求：投标人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2、法定代表人身份证明或授权书：法定代表人授权书（附法定代表人身份证复印件）及被授权人身份证（法定代表人直接参加投标只需提供法定代表人身份证）；</w:t>
      </w:r>
    </w:p>
    <w:p>
      <w:pPr>
        <w:pStyle w:val="null3"/>
      </w:pPr>
      <w:r>
        <w:rPr>
          <w:rFonts w:ascii="仿宋_GB2312" w:hAnsi="仿宋_GB2312" w:cs="仿宋_GB2312" w:eastAsia="仿宋_GB2312"/>
        </w:rPr>
        <w:t>3、投标人信誉要求：投标人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4、其他要求：本项目不接受联合体投标，投标人应提供《非联合体声明》。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汉中市南郑区国有黎坪林场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汉中市南郑区黎坪镇元坝街38号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汉中市南郑区国有黎坪林场经办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15332522655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中佳鼎运建设管理有限公司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陕西省汉中市汉台区东关街道办事处中饮国际办公中C区8026室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邹丽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13571677736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采购包1：3,055,000.00元</w:t>
            </w:r>
          </w:p>
          <w:p>
            <w:pPr>
              <w:pStyle w:val="null3"/>
            </w:pPr>
            <w:r>
              <w:rPr>
                <w:rFonts w:ascii="仿宋_GB2312" w:hAnsi="仿宋_GB2312" w:cs="仿宋_GB2312" w:eastAsia="仿宋_GB2312"/>
              </w:rPr>
              <w:t>采购包2：3,378,000.00元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开户名称：中佳鼎运建设管理有限公司汉中分公司</w:t>
            </w:r>
          </w:p>
          <w:p>
            <w:pPr>
              <w:pStyle w:val="null3"/>
            </w:pPr>
            <w:r>
              <w:rPr>
                <w:rFonts w:ascii="仿宋_GB2312" w:hAnsi="仿宋_GB2312" w:cs="仿宋_GB2312" w:eastAsia="仿宋_GB2312"/>
              </w:rPr>
              <w:t>开户银行：中国工商银行股份有限公司汉中西环路支行</w:t>
            </w:r>
          </w:p>
          <w:p>
            <w:pPr>
              <w:pStyle w:val="null3"/>
            </w:pPr>
            <w:r>
              <w:rPr>
                <w:rFonts w:ascii="仿宋_GB2312" w:hAnsi="仿宋_GB2312" w:cs="仿宋_GB2312" w:eastAsia="仿宋_GB2312"/>
              </w:rPr>
              <w:t>银行账号：2606053909200098484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后优惠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汉中市南郑区国有黎坪林场</w:t>
      </w:r>
      <w:r>
        <w:rPr>
          <w:rFonts w:ascii="仿宋_GB2312" w:hAnsi="仿宋_GB2312" w:cs="仿宋_GB2312" w:eastAsia="仿宋_GB2312"/>
        </w:rPr>
        <w:t>和</w:t>
      </w:r>
      <w:r>
        <w:rPr>
          <w:rFonts w:ascii="仿宋_GB2312" w:hAnsi="仿宋_GB2312" w:cs="仿宋_GB2312" w:eastAsia="仿宋_GB2312"/>
        </w:rPr>
        <w:t>中佳鼎运建设管理有限公司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汉中市南郑区国有黎坪林场</w:t>
      </w:r>
      <w:r>
        <w:rPr>
          <w:rFonts w:ascii="仿宋_GB2312" w:hAnsi="仿宋_GB2312" w:cs="仿宋_GB2312" w:eastAsia="仿宋_GB2312"/>
        </w:rPr>
        <w:t>负责解释。除上述招标文件内容，其他内容由</w:t>
      </w:r>
      <w:r>
        <w:rPr>
          <w:rFonts w:ascii="仿宋_GB2312" w:hAnsi="仿宋_GB2312" w:cs="仿宋_GB2312" w:eastAsia="仿宋_GB2312"/>
        </w:rPr>
        <w:t>中佳鼎运建设管理有限公司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汉中市南郑区国有黎坪林场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中佳鼎运建设管理有限公司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施工各分项符合林业设计及行业规范，林地生态恢复达标，全套技术档案齐全，通过林场、林业局两级验收即为履约合格。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施工各分项符合林业设计及行业规范，林地生态恢复达标，全套技术档案齐全，通过林场、林业局两级验收即为履约合格。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联系人：邹丽</w:t>
      </w:r>
    </w:p>
    <w:p>
      <w:pPr>
        <w:pStyle w:val="null3"/>
      </w:pPr>
      <w:r>
        <w:rPr>
          <w:rFonts w:ascii="仿宋_GB2312" w:hAnsi="仿宋_GB2312" w:cs="仿宋_GB2312" w:eastAsia="仿宋_GB2312"/>
        </w:rPr>
        <w:t>联系电话：13571677736</w:t>
      </w:r>
    </w:p>
    <w:p>
      <w:pPr>
        <w:pStyle w:val="null3"/>
      </w:pPr>
      <w:r>
        <w:rPr>
          <w:rFonts w:ascii="仿宋_GB2312" w:hAnsi="仿宋_GB2312" w:cs="仿宋_GB2312" w:eastAsia="仿宋_GB2312"/>
        </w:rPr>
        <w:t>地址：陕西省汉中市汉台区东关街道办事处中饮国际办公中心C区8026室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2026年大巴山北麓和汉江谷地水土保持与水源涵养项目（黎坪林场退化林修复）作业面积10000亩的全部施工内容(择伐作业、补植、抚育成效监测样地、宣传牌等)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3,055,000.00</w:t>
      </w:r>
    </w:p>
    <w:p>
      <w:pPr>
        <w:pStyle w:val="null3"/>
      </w:pPr>
      <w:r>
        <w:rPr>
          <w:rFonts w:ascii="仿宋_GB2312" w:hAnsi="仿宋_GB2312" w:cs="仿宋_GB2312" w:eastAsia="仿宋_GB2312"/>
        </w:rPr>
        <w:t>采购包最高限价（元）: 3,055,000.00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退化林修复5331亩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3,055,000.00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3,378,000.00</w:t>
      </w:r>
    </w:p>
    <w:p>
      <w:pPr>
        <w:pStyle w:val="null3"/>
      </w:pPr>
      <w:r>
        <w:rPr>
          <w:rFonts w:ascii="仿宋_GB2312" w:hAnsi="仿宋_GB2312" w:cs="仿宋_GB2312" w:eastAsia="仿宋_GB2312"/>
        </w:rPr>
        <w:t>采购包最高限价（元）: 3,378,000.00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退化林修复4669亩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3,378,000.00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标的名称：退化林修复5331亩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 xml:space="preserve">2026年大巴山北麓和汉江谷地水土保持与水源涵养项目（黎坪林场退化林修复）合同包1         </w:t>
            </w:r>
          </w:p>
          <w:p>
            <w:pPr>
              <w:pStyle w:val="null3"/>
              <w:ind w:firstLine="482"/>
              <w:jc w:val="both"/>
            </w:pPr>
            <w:r>
              <w:rPr>
                <w:rFonts w:ascii="仿宋_GB2312" w:hAnsi="仿宋_GB2312" w:cs="仿宋_GB2312" w:eastAsia="仿宋_GB2312"/>
                <w:sz w:val="24"/>
                <w:b/>
              </w:rPr>
              <w:t>一、项目建设地点：</w:t>
            </w:r>
            <w:r>
              <w:rPr>
                <w:rFonts w:ascii="仿宋_GB2312" w:hAnsi="仿宋_GB2312" w:cs="仿宋_GB2312" w:eastAsia="仿宋_GB2312"/>
                <w:sz w:val="24"/>
              </w:rPr>
              <w:t>位于黎坪林场</w:t>
            </w:r>
            <w:r>
              <w:rPr>
                <w:rFonts w:ascii="仿宋_GB2312" w:hAnsi="仿宋_GB2312" w:cs="仿宋_GB2312" w:eastAsia="仿宋_GB2312"/>
                <w:sz w:val="24"/>
              </w:rPr>
              <w:t>57林班、58林班、60林班、106林班范围内，</w:t>
            </w:r>
            <w:r>
              <w:rPr>
                <w:rFonts w:ascii="仿宋_GB2312" w:hAnsi="仿宋_GB2312" w:cs="仿宋_GB2312" w:eastAsia="仿宋_GB2312"/>
                <w:sz w:val="24"/>
              </w:rPr>
              <w:t>项</w:t>
            </w:r>
            <w:r>
              <w:rPr>
                <w:rFonts w:ascii="仿宋_GB2312" w:hAnsi="仿宋_GB2312" w:cs="仿宋_GB2312" w:eastAsia="仿宋_GB2312"/>
                <w:sz w:val="24"/>
              </w:rPr>
              <w:t>目作业面积</w:t>
            </w:r>
            <w:r>
              <w:rPr>
                <w:rFonts w:ascii="仿宋_GB2312" w:hAnsi="仿宋_GB2312" w:cs="仿宋_GB2312" w:eastAsia="仿宋_GB2312"/>
                <w:sz w:val="24"/>
              </w:rPr>
              <w:t>5331亩。</w:t>
            </w:r>
          </w:p>
          <w:p>
            <w:pPr>
              <w:pStyle w:val="null3"/>
              <w:ind w:firstLine="482"/>
              <w:jc w:val="both"/>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黎坪林场</w:t>
            </w:r>
            <w:r>
              <w:rPr>
                <w:rFonts w:ascii="仿宋_GB2312" w:hAnsi="仿宋_GB2312" w:cs="仿宋_GB2312" w:eastAsia="仿宋_GB2312"/>
                <w:sz w:val="24"/>
              </w:rPr>
              <w:t>57林班、58林班、60林班、106林班范围内，27个作业小班，可作业面积5331亩，修复方式为综合修复（择伐+补植+割灌）。修复采伐方式为单株择伐，采伐株数为79512株，采伐消耗蓄积1474立方米；补植面积2282亩，其中补植漆树28933株，巴山松24122株，云杉41075株。林地清理、整地、割灌及割灌后的剩余物处置，以及后期的抚育管理。</w:t>
            </w:r>
          </w:p>
          <w:p>
            <w:pPr>
              <w:pStyle w:val="null3"/>
              <w:ind w:firstLine="482"/>
              <w:jc w:val="both"/>
            </w:pPr>
            <w:r>
              <w:rPr>
                <w:rFonts w:ascii="仿宋_GB2312" w:hAnsi="仿宋_GB2312" w:cs="仿宋_GB2312" w:eastAsia="仿宋_GB2312"/>
                <w:sz w:val="24"/>
                <w:b/>
              </w:rPr>
              <w:t>三、技术参数与性能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、修复规模</w:t>
            </w:r>
          </w:p>
          <w:p>
            <w:pPr>
              <w:pStyle w:val="null3"/>
              <w:ind w:firstLine="480"/>
              <w:jc w:val="both"/>
            </w:pPr>
            <w:r>
              <w:rPr>
                <w:rFonts w:ascii="仿宋_GB2312" w:hAnsi="仿宋_GB2312" w:cs="仿宋_GB2312" w:eastAsia="仿宋_GB2312"/>
                <w:sz w:val="24"/>
              </w:rPr>
              <w:t>实施退化林修复面积</w:t>
            </w:r>
            <w:r>
              <w:rPr>
                <w:rFonts w:ascii="仿宋_GB2312" w:hAnsi="仿宋_GB2312" w:cs="仿宋_GB2312" w:eastAsia="仿宋_GB2312"/>
                <w:sz w:val="24"/>
              </w:rPr>
              <w:t>5331亩。</w:t>
            </w:r>
          </w:p>
          <w:p>
            <w:pPr>
              <w:pStyle w:val="null3"/>
              <w:ind w:firstLine="480"/>
              <w:jc w:val="both"/>
            </w:pPr>
            <w:r>
              <w:rPr>
                <w:rFonts w:ascii="仿宋_GB2312" w:hAnsi="仿宋_GB2312" w:cs="仿宋_GB2312" w:eastAsia="仿宋_GB2312"/>
                <w:sz w:val="24"/>
              </w:rPr>
              <w:t>2.修复目的</w:t>
            </w:r>
          </w:p>
          <w:p>
            <w:pPr>
              <w:pStyle w:val="null3"/>
              <w:ind w:firstLine="480"/>
              <w:jc w:val="both"/>
            </w:pPr>
            <w:r>
              <w:rPr>
                <w:rFonts w:ascii="仿宋_GB2312" w:hAnsi="仿宋_GB2312" w:cs="仿宋_GB2312" w:eastAsia="仿宋_GB2312"/>
                <w:sz w:val="24"/>
              </w:rPr>
              <w:t>通过采取科学的修复措施，调整林分密度和林分结构，改善林分卫生状况，提高林分质量，提高林分郁闭度，促进林木生长，提高森林质量，恢复森林功能，促进森林生态系统正向演替。</w:t>
            </w:r>
          </w:p>
          <w:p>
            <w:pPr>
              <w:pStyle w:val="null3"/>
              <w:ind w:firstLine="480"/>
              <w:jc w:val="both"/>
            </w:pPr>
            <w:r>
              <w:rPr>
                <w:rFonts w:ascii="仿宋_GB2312" w:hAnsi="仿宋_GB2312" w:cs="仿宋_GB2312" w:eastAsia="仿宋_GB2312"/>
                <w:sz w:val="24"/>
              </w:rPr>
              <w:t>3.修复措施</w:t>
            </w:r>
          </w:p>
          <w:p>
            <w:pPr>
              <w:pStyle w:val="null3"/>
              <w:ind w:firstLine="480"/>
              <w:jc w:val="both"/>
            </w:pPr>
            <w:r>
              <w:rPr>
                <w:rFonts w:ascii="仿宋_GB2312" w:hAnsi="仿宋_GB2312" w:cs="仿宋_GB2312" w:eastAsia="仿宋_GB2312"/>
                <w:sz w:val="24"/>
              </w:rPr>
              <w:t>退化林修复作业区内存在林间空地，同时也存在多代萌生林。依据《退化林修复技术规范》（</w:t>
            </w:r>
            <w:r>
              <w:rPr>
                <w:rFonts w:ascii="仿宋_GB2312" w:hAnsi="仿宋_GB2312" w:cs="仿宋_GB2312" w:eastAsia="仿宋_GB2312"/>
                <w:sz w:val="24"/>
              </w:rPr>
              <w:t>DB/T2074-2025）和《退化林修复技术规程》（GB/T44351-2024），该项目退化林修复措施采取综合修复（择伐+割灌、择伐+补植+割灌）。</w:t>
            </w:r>
          </w:p>
          <w:p>
            <w:pPr>
              <w:pStyle w:val="null3"/>
              <w:ind w:firstLine="480"/>
              <w:jc w:val="both"/>
            </w:pPr>
            <w:r>
              <w:rPr>
                <w:rFonts w:ascii="仿宋_GB2312" w:hAnsi="仿宋_GB2312" w:cs="仿宋_GB2312" w:eastAsia="仿宋_GB2312"/>
                <w:sz w:val="24"/>
              </w:rPr>
              <w:t>4.择伐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1）择伐对象：受害木、濒死木、枯死木、生长不良木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2）择伐方式：单株择伐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3）株数采伐强度：7%—20%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4）蓄积采伐强度：3%—9%</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5）择伐面积：5331亩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6）择伐株数：79512株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7）择伐蓄积量：1474立方米</w:t>
            </w:r>
          </w:p>
          <w:p>
            <w:pPr>
              <w:pStyle w:val="null3"/>
              <w:ind w:firstLine="480"/>
              <w:jc w:val="both"/>
            </w:pPr>
            <w:r>
              <w:rPr>
                <w:rFonts w:ascii="仿宋_GB2312" w:hAnsi="仿宋_GB2312" w:cs="仿宋_GB2312" w:eastAsia="仿宋_GB2312"/>
                <w:sz w:val="24"/>
              </w:rPr>
              <w:t>5.补植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1）补植面积：2282亩（巴山松664亩，云杉1049亩，漆树569亩）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2）补植树种：漆树、巴山松、云杉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3）补植密度：35-60株/亩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4）栽植点配置：品字形配置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5）整地方式及规格：穴状整地，规格为40×40×30厘米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6）物料内容：苗木94130株（漆树28933株，巴山松24122株，云杉41075株）</w:t>
            </w:r>
          </w:p>
          <w:p>
            <w:pPr>
              <w:pStyle w:val="null3"/>
              <w:numPr>
                <w:ilvl w:val="0"/>
                <w:numId w:val="1"/>
              </w:numPr>
              <w:jc w:val="both"/>
            </w:pPr>
            <w:r>
              <w:rPr>
                <w:rFonts w:ascii="仿宋_GB2312" w:hAnsi="仿宋_GB2312" w:cs="仿宋_GB2312" w:eastAsia="仿宋_GB2312"/>
                <w:sz w:val="24"/>
              </w:rPr>
              <w:t>苗木规格：本次退化林修复补植</w:t>
            </w:r>
            <w:r>
              <w:rPr>
                <w:rFonts w:ascii="仿宋_GB2312" w:hAnsi="仿宋_GB2312" w:cs="仿宋_GB2312" w:eastAsia="仿宋_GB2312"/>
                <w:sz w:val="24"/>
              </w:rPr>
              <w:t>苗木良种使用率</w:t>
            </w:r>
            <w:r>
              <w:rPr>
                <w:rFonts w:ascii="仿宋_GB2312" w:hAnsi="仿宋_GB2312" w:cs="仿宋_GB2312" w:eastAsia="仿宋_GB2312"/>
                <w:sz w:val="24"/>
              </w:rPr>
              <w:t>≥75%。苗木起苗包装过程中容器苗要包装牢固，裸根苗根系幅度需达标、根系保湿；供苗单位应出具“两证一签”（植物检疫合格证、苗木质量检验合格证和苗木产地标签）以及苗木良种证明的“Ⅰ”级苗木并随车同行，施工单位应保留苗木购销合同、苗木销售发票等资料。苗木运至项目区后，施工单位先逐车逐株自检，自检合格后再由监理单位会同建设单位逐车查验，不合格苗木当即拒收，验收完成后，施工、监理、建设三方需共同在《材料进场查验记录表》上签字确认，并将此作为结算和审计的依据；查验合格的苗木卸车后，施工单位及时假植或就近栽植，避免暴晒风干；栽植过程中可用无人机运苗，避免人为踩踏破坏原生植被。木检验中严格把关，选用植株健壮、苗干通直圆满、枝条茁壮、组织充实、木质化程度高；根系发达而完整、有较多的侧根和须根、根系无劈裂；具有完整健壮的顶芽；无机械损伤、无病虫害、不失水、有旺盛生命力的优质苗木。</w:t>
            </w:r>
          </w:p>
          <w:p>
            <w:pPr>
              <w:pStyle w:val="null3"/>
              <w:ind w:firstLine="480"/>
              <w:jc w:val="both"/>
            </w:pPr>
            <w:r>
              <w:rPr>
                <w:rFonts w:ascii="仿宋_GB2312" w:hAnsi="仿宋_GB2312" w:cs="仿宋_GB2312" w:eastAsia="仿宋_GB2312"/>
                <w:sz w:val="24"/>
              </w:rPr>
              <w:t>苗木来源统计</w:t>
            </w:r>
          </w:p>
          <w:tbl>
            <w:tblPr>
              <w:tblInd w:type="dxa" w:w="105"/>
              <w:tblBorders>
                <w:top w:val="none" w:color="000000" w:sz="4"/>
                <w:left w:val="none" w:color="000000" w:sz="4"/>
                <w:bottom w:val="none" w:color="000000" w:sz="4"/>
                <w:right w:val="none" w:color="000000" w:sz="4"/>
                <w:insideH w:val="none"/>
                <w:insideV w:val="none"/>
              </w:tblBorders>
            </w:tblPr>
            <w:tblGrid>
              <w:gridCol w:w="301"/>
              <w:gridCol w:w="1088"/>
              <w:gridCol w:w="1158"/>
            </w:tblGrid>
            <w:tr>
              <w:tc>
                <w:tcPr>
                  <w:tcW w:type="dxa" w:w="3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pPr>
                  <w:r>
                    <w:rPr>
                      <w:rFonts w:ascii="仿宋_GB2312" w:hAnsi="仿宋_GB2312" w:cs="仿宋_GB2312" w:eastAsia="仿宋_GB2312"/>
                      <w:sz w:val="22"/>
                    </w:rPr>
                    <w:t>树种</w:t>
                  </w:r>
                </w:p>
              </w:tc>
              <w:tc>
                <w:tcPr>
                  <w:tcW w:type="dxa" w:w="10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440" w:firstLine="428"/>
                  </w:pPr>
                  <w:r>
                    <w:rPr>
                      <w:rFonts w:ascii="仿宋_GB2312" w:hAnsi="仿宋_GB2312" w:cs="仿宋_GB2312" w:eastAsia="仿宋_GB2312"/>
                      <w:sz w:val="22"/>
                    </w:rPr>
                    <w:t>苗圃所在地</w:t>
                  </w:r>
                </w:p>
              </w:tc>
              <w:tc>
                <w:tcPr>
                  <w:tcW w:type="dxa" w:w="11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710" w:firstLine="404"/>
                  </w:pPr>
                  <w:r>
                    <w:rPr>
                      <w:rFonts w:ascii="仿宋_GB2312" w:hAnsi="仿宋_GB2312" w:cs="仿宋_GB2312" w:eastAsia="仿宋_GB2312"/>
                      <w:sz w:val="22"/>
                    </w:rPr>
                    <w:t>良种编号</w:t>
                  </w:r>
                </w:p>
              </w:tc>
            </w:tr>
            <w:tr>
              <w:tc>
                <w:tcPr>
                  <w:tcW w:type="dxa" w:w="30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2"/>
                    </w:rPr>
                    <w:t>云杉</w:t>
                  </w:r>
                </w:p>
              </w:tc>
              <w:tc>
                <w:tcPr>
                  <w:tcW w:type="dxa" w:w="10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pPr>
                  <w:r>
                    <w:rPr>
                      <w:rFonts w:ascii="仿宋_GB2312" w:hAnsi="仿宋_GB2312" w:cs="仿宋_GB2312" w:eastAsia="仿宋_GB2312"/>
                      <w:sz w:val="22"/>
                    </w:rPr>
                    <w:t>宝鸡市林业工作中心站</w:t>
                  </w:r>
                </w:p>
              </w:tc>
              <w:tc>
                <w:tcPr>
                  <w:tcW w:type="dxa" w:w="11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pPr>
                  <w:r>
                    <w:rPr>
                      <w:rFonts w:ascii="仿宋_GB2312" w:hAnsi="仿宋_GB2312" w:cs="仿宋_GB2312" w:eastAsia="仿宋_GB2312"/>
                      <w:sz w:val="22"/>
                    </w:rPr>
                    <w:t>陕</w:t>
                  </w:r>
                  <w:r>
                    <w:rPr>
                      <w:rFonts w:ascii="仿宋_GB2312" w:hAnsi="仿宋_GB2312" w:cs="仿宋_GB2312" w:eastAsia="仿宋_GB2312"/>
                    </w:rPr>
                    <w:t xml:space="preserve"> </w:t>
                  </w:r>
                  <w:r>
                    <w:rPr>
                      <w:rFonts w:ascii="仿宋_GB2312" w:hAnsi="仿宋_GB2312" w:cs="仿宋_GB2312" w:eastAsia="仿宋_GB2312"/>
                      <w:sz w:val="22"/>
                    </w:rPr>
                    <w:t>S-SS-PB-016-2020</w:t>
                  </w:r>
                </w:p>
              </w:tc>
            </w:tr>
            <w:tr>
              <w:tc>
                <w:tcPr>
                  <w:tcW w:type="dxa" w:w="301"/>
                  <w:vMerge/>
                  <w:tcBorders>
                    <w:top w:val="none" w:color="000000" w:sz="4"/>
                    <w:left w:val="single" w:color="000000" w:sz="4"/>
                    <w:bottom w:val="single" w:color="000000" w:sz="4"/>
                    <w:right w:val="single" w:color="000000" w:sz="4"/>
                  </w:tcBorders>
                </w:tcPr>
                <w:p/>
              </w:tc>
              <w:tc>
                <w:tcPr>
                  <w:tcW w:type="dxa" w:w="10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pPr>
                  <w:r>
                    <w:rPr>
                      <w:rFonts w:ascii="仿宋_GB2312" w:hAnsi="仿宋_GB2312" w:cs="仿宋_GB2312" w:eastAsia="仿宋_GB2312"/>
                      <w:sz w:val="22"/>
                    </w:rPr>
                    <w:t>阿坝州观音桥国有林保护局</w:t>
                  </w:r>
                </w:p>
              </w:tc>
              <w:tc>
                <w:tcPr>
                  <w:tcW w:type="dxa" w:w="11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pPr>
                  <w:r>
                    <w:rPr>
                      <w:rFonts w:ascii="仿宋_GB2312" w:hAnsi="仿宋_GB2312" w:cs="仿宋_GB2312" w:eastAsia="仿宋_GB2312"/>
                      <w:sz w:val="22"/>
                    </w:rPr>
                    <w:t>川</w:t>
                  </w:r>
                  <w:r>
                    <w:rPr>
                      <w:rFonts w:ascii="仿宋_GB2312" w:hAnsi="仿宋_GB2312" w:cs="仿宋_GB2312" w:eastAsia="仿宋_GB2312"/>
                    </w:rPr>
                    <w:t xml:space="preserve"> </w:t>
                  </w:r>
                  <w:r>
                    <w:rPr>
                      <w:rFonts w:ascii="仿宋_GB2312" w:hAnsi="仿宋_GB2312" w:cs="仿宋_GB2312" w:eastAsia="仿宋_GB2312"/>
                      <w:sz w:val="22"/>
                    </w:rPr>
                    <w:t>S-CSO(1)-PR-001-2025</w:t>
                  </w:r>
                </w:p>
              </w:tc>
            </w:tr>
            <w:tr>
              <w:tc>
                <w:tcPr>
                  <w:tcW w:type="dxa" w:w="301"/>
                  <w:vMerge/>
                  <w:tcBorders>
                    <w:top w:val="none" w:color="000000" w:sz="4"/>
                    <w:left w:val="single" w:color="000000" w:sz="4"/>
                    <w:bottom w:val="single" w:color="000000" w:sz="4"/>
                    <w:right w:val="single" w:color="000000" w:sz="4"/>
                  </w:tcBorders>
                </w:tcPr>
                <w:p/>
              </w:tc>
              <w:tc>
                <w:tcPr>
                  <w:tcW w:type="dxa" w:w="10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pPr>
                  <w:r>
                    <w:rPr>
                      <w:rFonts w:ascii="仿宋_GB2312" w:hAnsi="仿宋_GB2312" w:cs="仿宋_GB2312" w:eastAsia="仿宋_GB2312"/>
                      <w:sz w:val="22"/>
                    </w:rPr>
                    <w:t>甘孜州道孚国有林保护管理局</w:t>
                  </w:r>
                </w:p>
              </w:tc>
              <w:tc>
                <w:tcPr>
                  <w:tcW w:type="dxa" w:w="11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pPr>
                  <w:r>
                    <w:rPr>
                      <w:rFonts w:ascii="仿宋_GB2312" w:hAnsi="仿宋_GB2312" w:cs="仿宋_GB2312" w:eastAsia="仿宋_GB2312"/>
                      <w:sz w:val="22"/>
                    </w:rPr>
                    <w:t>川</w:t>
                  </w:r>
                  <w:r>
                    <w:rPr>
                      <w:rFonts w:ascii="仿宋_GB2312" w:hAnsi="仿宋_GB2312" w:cs="仿宋_GB2312" w:eastAsia="仿宋_GB2312"/>
                    </w:rPr>
                    <w:t xml:space="preserve"> </w:t>
                  </w:r>
                  <w:r>
                    <w:rPr>
                      <w:rFonts w:ascii="仿宋_GB2312" w:hAnsi="仿宋_GB2312" w:cs="仿宋_GB2312" w:eastAsia="仿宋_GB2312"/>
                      <w:sz w:val="22"/>
                    </w:rPr>
                    <w:t>R-SS-PB-001-2025</w:t>
                  </w:r>
                </w:p>
              </w:tc>
            </w:tr>
            <w:tr>
              <w:tc>
                <w:tcPr>
                  <w:tcW w:type="dxa" w:w="301"/>
                  <w:vMerge/>
                  <w:tcBorders>
                    <w:top w:val="none" w:color="000000" w:sz="4"/>
                    <w:left w:val="single" w:color="000000" w:sz="4"/>
                    <w:bottom w:val="single" w:color="000000" w:sz="4"/>
                    <w:right w:val="single" w:color="000000" w:sz="4"/>
                  </w:tcBorders>
                </w:tcPr>
                <w:p/>
              </w:tc>
              <w:tc>
                <w:tcPr>
                  <w:tcW w:type="dxa" w:w="10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pPr>
                  <w:r>
                    <w:rPr>
                      <w:rFonts w:ascii="仿宋_GB2312" w:hAnsi="仿宋_GB2312" w:cs="仿宋_GB2312" w:eastAsia="仿宋_GB2312"/>
                      <w:sz w:val="22"/>
                    </w:rPr>
                    <w:t>甘孜州炉霍国有林保护管理局</w:t>
                  </w:r>
                </w:p>
              </w:tc>
              <w:tc>
                <w:tcPr>
                  <w:tcW w:type="dxa" w:w="11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pPr>
                  <w:r>
                    <w:rPr>
                      <w:rFonts w:ascii="仿宋_GB2312" w:hAnsi="仿宋_GB2312" w:cs="仿宋_GB2312" w:eastAsia="仿宋_GB2312"/>
                      <w:sz w:val="22"/>
                    </w:rPr>
                    <w:t>川</w:t>
                  </w:r>
                  <w:r>
                    <w:rPr>
                      <w:rFonts w:ascii="仿宋_GB2312" w:hAnsi="仿宋_GB2312" w:cs="仿宋_GB2312" w:eastAsia="仿宋_GB2312"/>
                    </w:rPr>
                    <w:t xml:space="preserve"> </w:t>
                  </w:r>
                  <w:r>
                    <w:rPr>
                      <w:rFonts w:ascii="仿宋_GB2312" w:hAnsi="仿宋_GB2312" w:cs="仿宋_GB2312" w:eastAsia="仿宋_GB2312"/>
                      <w:sz w:val="22"/>
                    </w:rPr>
                    <w:t>R-SS-PB-002-2025</w:t>
                  </w:r>
                </w:p>
              </w:tc>
            </w:tr>
            <w:tr>
              <w:tc>
                <w:tcPr>
                  <w:tcW w:type="dxa" w:w="30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2"/>
                    </w:rPr>
                    <w:t>漆树</w:t>
                  </w:r>
                </w:p>
              </w:tc>
              <w:tc>
                <w:tcPr>
                  <w:tcW w:type="dxa" w:w="10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pPr>
                  <w:r>
                    <w:rPr>
                      <w:rFonts w:ascii="仿宋_GB2312" w:hAnsi="仿宋_GB2312" w:cs="仿宋_GB2312" w:eastAsia="仿宋_GB2312"/>
                      <w:sz w:val="22"/>
                    </w:rPr>
                    <w:t>周至县国有永红生态林场</w:t>
                  </w:r>
                </w:p>
              </w:tc>
              <w:tc>
                <w:tcPr>
                  <w:tcW w:type="dxa" w:w="11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pPr>
                  <w:r>
                    <w:rPr>
                      <w:rFonts w:ascii="仿宋_GB2312" w:hAnsi="仿宋_GB2312" w:cs="仿宋_GB2312" w:eastAsia="仿宋_GB2312"/>
                      <w:sz w:val="22"/>
                    </w:rPr>
                    <w:t>陕</w:t>
                  </w:r>
                  <w:r>
                    <w:rPr>
                      <w:rFonts w:ascii="仿宋_GB2312" w:hAnsi="仿宋_GB2312" w:cs="仿宋_GB2312" w:eastAsia="仿宋_GB2312"/>
                    </w:rPr>
                    <w:t xml:space="preserve"> </w:t>
                  </w:r>
                  <w:r>
                    <w:rPr>
                      <w:rFonts w:ascii="仿宋_GB2312" w:hAnsi="仿宋_GB2312" w:cs="仿宋_GB2312" w:eastAsia="仿宋_GB2312"/>
                      <w:sz w:val="22"/>
                    </w:rPr>
                    <w:t>S-SS-TZ-028-2023</w:t>
                  </w:r>
                </w:p>
              </w:tc>
            </w:tr>
            <w:tr>
              <w:tc>
                <w:tcPr>
                  <w:tcW w:type="dxa" w:w="301"/>
                  <w:vMerge/>
                  <w:tcBorders>
                    <w:top w:val="none" w:color="000000" w:sz="4"/>
                    <w:left w:val="single" w:color="000000" w:sz="4"/>
                    <w:bottom w:val="single" w:color="000000" w:sz="4"/>
                    <w:right w:val="single" w:color="000000" w:sz="4"/>
                  </w:tcBorders>
                </w:tcP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pPr>
                  <w:r>
                    <w:rPr>
                      <w:rFonts w:ascii="仿宋_GB2312" w:hAnsi="仿宋_GB2312" w:cs="仿宋_GB2312" w:eastAsia="仿宋_GB2312"/>
                      <w:sz w:val="22"/>
                    </w:rPr>
                    <w:t>四川省明富大漆科技有限公司</w:t>
                  </w:r>
                </w:p>
              </w:tc>
              <w:tc>
                <w:tcPr>
                  <w:tcW w:type="dxa" w:w="1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pPr>
                  <w:r>
                    <w:rPr>
                      <w:rFonts w:ascii="仿宋_GB2312" w:hAnsi="仿宋_GB2312" w:cs="仿宋_GB2312" w:eastAsia="仿宋_GB2312"/>
                      <w:sz w:val="22"/>
                    </w:rPr>
                    <w:t>川</w:t>
                  </w:r>
                  <w:r>
                    <w:rPr>
                      <w:rFonts w:ascii="仿宋_GB2312" w:hAnsi="仿宋_GB2312" w:cs="仿宋_GB2312" w:eastAsia="仿宋_GB2312"/>
                      <w:sz w:val="22"/>
                    </w:rPr>
                    <w:t>R-SC-TV-007-2022、川R-SC-TV-008-2022</w:t>
                  </w:r>
                </w:p>
              </w:tc>
            </w:tr>
            <w:tr>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pPr>
                  <w:r>
                    <w:rPr>
                      <w:rFonts w:ascii="仿宋_GB2312" w:hAnsi="仿宋_GB2312" w:cs="仿宋_GB2312" w:eastAsia="仿宋_GB2312"/>
                      <w:sz w:val="22"/>
                    </w:rPr>
                    <w:t>巴山松</w:t>
                  </w:r>
                </w:p>
              </w:tc>
              <w:tc>
                <w:tcPr>
                  <w:tcW w:type="dxa" w:w="10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90" w:firstLine="428"/>
                  </w:pPr>
                  <w:r>
                    <w:rPr>
                      <w:rFonts w:ascii="仿宋_GB2312" w:hAnsi="仿宋_GB2312" w:cs="仿宋_GB2312" w:eastAsia="仿宋_GB2312"/>
                      <w:sz w:val="22"/>
                    </w:rPr>
                    <w:t>国有黎坪林场</w:t>
                  </w:r>
                </w:p>
              </w:tc>
              <w:tc>
                <w:tcPr>
                  <w:tcW w:type="dxa" w:w="1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90" w:firstLine="428"/>
                  </w:pPr>
                  <w:r>
                    <w:rPr>
                      <w:rFonts w:ascii="仿宋_GB2312" w:hAnsi="仿宋_GB2312" w:cs="仿宋_GB2312" w:eastAsia="仿宋_GB2312"/>
                      <w:sz w:val="22"/>
                    </w:rPr>
                    <w:t>/</w:t>
                  </w:r>
                </w:p>
              </w:tc>
            </w:tr>
          </w:tbl>
          <w:p>
            <w:pPr>
              <w:pStyle w:val="null3"/>
              <w:ind w:firstLine="476"/>
              <w:jc w:val="both"/>
            </w:pPr>
            <w:r>
              <w:rPr>
                <w:rFonts w:ascii="仿宋_GB2312" w:hAnsi="仿宋_GB2312" w:cs="仿宋_GB2312" w:eastAsia="仿宋_GB2312"/>
                <w:sz w:val="24"/>
              </w:rPr>
              <w:t>注：巴山松为当地乡土树种，占补植株数</w:t>
            </w:r>
            <w:r>
              <w:rPr>
                <w:rFonts w:ascii="仿宋_GB2312" w:hAnsi="仿宋_GB2312" w:cs="仿宋_GB2312" w:eastAsia="仿宋_GB2312"/>
                <w:sz w:val="21"/>
              </w:rPr>
              <w:t xml:space="preserve"> </w:t>
            </w:r>
            <w:r>
              <w:rPr>
                <w:rFonts w:ascii="仿宋_GB2312" w:hAnsi="仿宋_GB2312" w:cs="仿宋_GB2312" w:eastAsia="仿宋_GB2312"/>
                <w:sz w:val="24"/>
              </w:rPr>
              <w:t>20.63%</w:t>
            </w:r>
          </w:p>
          <w:p>
            <w:pPr>
              <w:pStyle w:val="null3"/>
              <w:ind w:firstLine="480"/>
              <w:jc w:val="both"/>
            </w:pPr>
            <w:r>
              <w:rPr>
                <w:rFonts w:ascii="仿宋_GB2312" w:hAnsi="仿宋_GB2312" w:cs="仿宋_GB2312" w:eastAsia="仿宋_GB2312"/>
                <w:sz w:val="24"/>
              </w:rPr>
              <w:t>苗木规格及用量表</w:t>
            </w:r>
          </w:p>
          <w:tbl>
            <w:tblPr>
              <w:tblInd w:type="dxa" w:w="165"/>
              <w:tblBorders>
                <w:top w:val="none" w:color="000000" w:sz="4"/>
                <w:left w:val="none" w:color="000000" w:sz="4"/>
                <w:bottom w:val="none" w:color="000000" w:sz="4"/>
                <w:right w:val="none" w:color="000000" w:sz="4"/>
                <w:insideH w:val="none"/>
                <w:insideV w:val="none"/>
              </w:tblBorders>
            </w:tblPr>
            <w:tblGrid>
              <w:gridCol w:w="307"/>
              <w:gridCol w:w="414"/>
              <w:gridCol w:w="1022"/>
              <w:gridCol w:w="372"/>
              <w:gridCol w:w="431"/>
            </w:tblGrid>
            <w:tr>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树种</w:t>
                  </w:r>
                </w:p>
              </w:tc>
              <w:tc>
                <w:tcPr>
                  <w:tcW w:type="dxa" w:w="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苗木标准等</w:t>
                  </w:r>
                  <w:r>
                    <w:rPr>
                      <w:rFonts w:ascii="仿宋_GB2312" w:hAnsi="仿宋_GB2312" w:cs="仿宋_GB2312" w:eastAsia="仿宋_GB2312"/>
                      <w:sz w:val="22"/>
                      <w:color w:val="000000"/>
                    </w:rPr>
                    <w:t>级</w:t>
                  </w:r>
                </w:p>
              </w:tc>
              <w:tc>
                <w:tcPr>
                  <w:tcW w:type="dxa" w:w="10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rPr>
                    <w:t>苗木规格</w:t>
                  </w:r>
                </w:p>
              </w:tc>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补植面积（亩）</w:t>
                  </w:r>
                </w:p>
              </w:tc>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需苗量</w:t>
                  </w:r>
                </w:p>
                <w:p>
                  <w:pPr>
                    <w:pStyle w:val="null3"/>
                    <w:jc w:val="center"/>
                  </w:pPr>
                  <w:r>
                    <w:rPr>
                      <w:rFonts w:ascii="仿宋_GB2312" w:hAnsi="仿宋_GB2312" w:cs="仿宋_GB2312" w:eastAsia="仿宋_GB2312"/>
                      <w:sz w:val="21"/>
                    </w:rPr>
                    <w:t>（株）</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巴山松</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Ⅰ级苗</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容器苗，</w:t>
                  </w:r>
                  <w:r>
                    <w:rPr>
                      <w:rFonts w:ascii="仿宋_GB2312" w:hAnsi="仿宋_GB2312" w:cs="仿宋_GB2312" w:eastAsia="仿宋_GB2312"/>
                      <w:sz w:val="21"/>
                    </w:rPr>
                    <w:t>2年生，H＞30cm,d＞0.4cm</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664</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24122</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云杉</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Ⅰ级苗</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杯苗，</w:t>
                  </w:r>
                  <w:r>
                    <w:rPr>
                      <w:rFonts w:ascii="仿宋_GB2312" w:hAnsi="仿宋_GB2312" w:cs="仿宋_GB2312" w:eastAsia="仿宋_GB2312"/>
                      <w:sz w:val="21"/>
                    </w:rPr>
                    <w:t>4年生，H＞50cm,d＞0.8cm</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1049</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41075</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漆树</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Ⅰ级苗</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裸根苗，</w:t>
                  </w:r>
                  <w:r>
                    <w:rPr>
                      <w:rFonts w:ascii="仿宋_GB2312" w:hAnsi="仿宋_GB2312" w:cs="仿宋_GB2312" w:eastAsia="仿宋_GB2312"/>
                      <w:sz w:val="21"/>
                    </w:rPr>
                    <w:t>1年生，H＞90cm,d＞ 1.0cm</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569</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28933</w:t>
                  </w:r>
                </w:p>
              </w:tc>
            </w:tr>
          </w:tbl>
          <w:p>
            <w:pPr>
              <w:pStyle w:val="null3"/>
              <w:ind w:firstLine="480"/>
              <w:jc w:val="both"/>
            </w:pPr>
            <w:r>
              <w:rPr>
                <w:rFonts w:ascii="仿宋_GB2312" w:hAnsi="仿宋_GB2312" w:cs="仿宋_GB2312" w:eastAsia="仿宋_GB2312"/>
                <w:sz w:val="24"/>
              </w:rPr>
              <w:t>6.割灌</w:t>
            </w:r>
          </w:p>
          <w:p>
            <w:pPr>
              <w:pStyle w:val="null3"/>
              <w:ind w:firstLine="480"/>
              <w:jc w:val="both"/>
            </w:pPr>
            <w:r>
              <w:rPr>
                <w:rFonts w:ascii="仿宋_GB2312" w:hAnsi="仿宋_GB2312" w:cs="仿宋_GB2312" w:eastAsia="仿宋_GB2312"/>
                <w:sz w:val="24"/>
              </w:rPr>
              <w:t>以目标树和目标树幼苗幼树为中心，割除影响目标树和目标树幼苗幼树生长的杂灌和藤本植物，进行局部割灌割藤。割灌割藤强度为</w:t>
            </w:r>
            <w:r>
              <w:rPr>
                <w:rFonts w:ascii="仿宋_GB2312" w:hAnsi="仿宋_GB2312" w:cs="仿宋_GB2312" w:eastAsia="仿宋_GB2312"/>
                <w:sz w:val="24"/>
              </w:rPr>
              <w:t>15%~25%，割灌割藤面积5331亩。</w:t>
            </w:r>
          </w:p>
          <w:p>
            <w:pPr>
              <w:pStyle w:val="null3"/>
              <w:ind w:firstLine="480"/>
              <w:jc w:val="both"/>
            </w:pPr>
            <w:r>
              <w:rPr>
                <w:rFonts w:ascii="仿宋_GB2312" w:hAnsi="仿宋_GB2312" w:cs="仿宋_GB2312" w:eastAsia="仿宋_GB2312"/>
                <w:sz w:val="24"/>
              </w:rPr>
              <w:t>7.技术措施</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 xml:space="preserve">1 </w:t>
            </w:r>
            <w:r>
              <w:rPr>
                <w:rFonts w:ascii="仿宋_GB2312" w:hAnsi="仿宋_GB2312" w:cs="仿宋_GB2312" w:eastAsia="仿宋_GB2312"/>
                <w:sz w:val="24"/>
              </w:rPr>
              <w:t>修复工序</w:t>
            </w:r>
          </w:p>
          <w:p>
            <w:pPr>
              <w:pStyle w:val="null3"/>
              <w:ind w:firstLine="480"/>
              <w:jc w:val="both"/>
            </w:pPr>
            <w:r>
              <w:rPr>
                <w:rFonts w:ascii="仿宋_GB2312" w:hAnsi="仿宋_GB2312" w:cs="仿宋_GB2312" w:eastAsia="仿宋_GB2312"/>
                <w:sz w:val="24"/>
              </w:rPr>
              <w:t>退化林修复工序大致分为施工准备、施工阶段和施工验收三个阶段，</w:t>
            </w:r>
          </w:p>
          <w:p>
            <w:pPr>
              <w:pStyle w:val="null3"/>
              <w:ind w:firstLine="480"/>
              <w:jc w:val="both"/>
            </w:pPr>
            <w:r>
              <w:rPr>
                <w:rFonts w:ascii="仿宋_GB2312" w:hAnsi="仿宋_GB2312" w:cs="仿宋_GB2312" w:eastAsia="仿宋_GB2312"/>
                <w:sz w:val="24"/>
              </w:rPr>
              <w:t>各阶段工作内容见下图。</w:t>
            </w:r>
          </w:p>
          <w:p>
            <w:pPr>
              <w:pStyle w:val="null3"/>
              <w:ind w:firstLine="480"/>
              <w:jc w:val="both"/>
            </w:pPr>
            <w:r>
              <w:rPr>
                <w:rFonts w:ascii="仿宋_GB2312" w:hAnsi="仿宋_GB2312" w:cs="仿宋_GB2312" w:eastAsia="仿宋_GB2312"/>
                <w:sz w:val="24"/>
              </w:rPr>
              <w:t>施工准备</w:t>
            </w:r>
            <w:r>
              <w:rPr>
                <w:rFonts w:ascii="仿宋_GB2312" w:hAnsi="仿宋_GB2312" w:cs="仿宋_GB2312" w:eastAsia="仿宋_GB2312"/>
                <w:sz w:val="24"/>
              </w:rPr>
              <w:t>→ 施工技术交底 →组织施工方案 → 工棚搭建</w:t>
            </w:r>
          </w:p>
          <w:p>
            <w:pPr>
              <w:pStyle w:val="null3"/>
              <w:ind w:firstLine="720"/>
              <w:jc w:val="both"/>
            </w:pP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施工阶段</w:t>
            </w:r>
            <w:r>
              <w:rPr>
                <w:rFonts w:ascii="仿宋_GB2312" w:hAnsi="仿宋_GB2312" w:cs="仿宋_GB2312" w:eastAsia="仿宋_GB2312"/>
                <w:sz w:val="24"/>
              </w:rPr>
              <w:t>→  退化林修复  → 现场技术检查 →   林地清理</w:t>
            </w:r>
          </w:p>
          <w:p>
            <w:pPr>
              <w:pStyle w:val="null3"/>
              <w:ind w:firstLine="720"/>
              <w:jc w:val="both"/>
            </w:pP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施工验收</w:t>
            </w:r>
            <w:r>
              <w:rPr>
                <w:rFonts w:ascii="仿宋_GB2312" w:hAnsi="仿宋_GB2312" w:cs="仿宋_GB2312" w:eastAsia="仿宋_GB2312"/>
                <w:sz w:val="24"/>
              </w:rPr>
              <w:t>→ 施工队自验  →    林场验收   → 林业局总验</w:t>
            </w:r>
          </w:p>
          <w:p>
            <w:pPr>
              <w:pStyle w:val="null3"/>
              <w:ind w:firstLine="480"/>
              <w:jc w:val="both"/>
            </w:pPr>
            <w:r>
              <w:rPr>
                <w:rFonts w:ascii="仿宋_GB2312" w:hAnsi="仿宋_GB2312" w:cs="仿宋_GB2312" w:eastAsia="仿宋_GB2312"/>
                <w:sz w:val="24"/>
              </w:rPr>
              <w:t>7.2 作业方式</w:t>
            </w:r>
          </w:p>
          <w:p>
            <w:pPr>
              <w:pStyle w:val="null3"/>
              <w:ind w:firstLine="480"/>
              <w:jc w:val="both"/>
            </w:pPr>
            <w:r>
              <w:rPr>
                <w:rFonts w:ascii="仿宋_GB2312" w:hAnsi="仿宋_GB2312" w:cs="仿宋_GB2312" w:eastAsia="仿宋_GB2312"/>
                <w:sz w:val="24"/>
              </w:rPr>
              <w:t>根据项目区内的林分类型、特点及作业措施要求，退化林修复作业方式确定为综合修复（择伐</w:t>
            </w:r>
            <w:r>
              <w:rPr>
                <w:rFonts w:ascii="仿宋_GB2312" w:hAnsi="仿宋_GB2312" w:cs="仿宋_GB2312" w:eastAsia="仿宋_GB2312"/>
                <w:sz w:val="24"/>
              </w:rPr>
              <w:t>+割灌、择伐+补植+割灌）。具体措施为：对枯死木及林中生长不良木进行择伐，对林中空地的补植，并结合割灌等辅助措施，均采用人力方式。</w:t>
            </w:r>
          </w:p>
          <w:p>
            <w:pPr>
              <w:pStyle w:val="null3"/>
              <w:ind w:firstLine="480"/>
              <w:jc w:val="both"/>
            </w:pPr>
            <w:r>
              <w:rPr>
                <w:rFonts w:ascii="仿宋_GB2312" w:hAnsi="仿宋_GB2312" w:cs="仿宋_GB2312" w:eastAsia="仿宋_GB2312"/>
                <w:sz w:val="24"/>
              </w:rPr>
              <w:t>7.3 择伐修复</w:t>
            </w:r>
          </w:p>
          <w:p>
            <w:pPr>
              <w:pStyle w:val="null3"/>
              <w:ind w:firstLine="480"/>
              <w:jc w:val="both"/>
            </w:pPr>
            <w:r>
              <w:rPr>
                <w:rFonts w:ascii="仿宋_GB2312" w:hAnsi="仿宋_GB2312" w:cs="仿宋_GB2312" w:eastAsia="仿宋_GB2312"/>
                <w:sz w:val="24"/>
              </w:rPr>
              <w:t>择伐的原则是</w:t>
            </w:r>
            <w:r>
              <w:rPr>
                <w:rFonts w:ascii="仿宋_GB2312" w:hAnsi="仿宋_GB2312" w:cs="仿宋_GB2312" w:eastAsia="仿宋_GB2312"/>
                <w:sz w:val="24"/>
              </w:rPr>
              <w:t>“砍劣留优、砍小留大、砍密留匀、砍萌留实、砍弯留直、分布均匀、疏密适度”。择伐时，一是伐除对目标树生长直接产生不利影响的干扰树；二是对于一个伐桩上萌生了多个个体的林木，伐除质量差、生长弱的个体，保留 1株树干通直、生长旺盛、处于竞争优势的个体；三是伐除显著影响林分卫生条件或通风透光情况的林木；四是在局部密度大、无目的树种的区域，暂时保留生长良好的其他树种，伐除部分生长不良、干性弯曲、断头的林木。</w:t>
            </w:r>
          </w:p>
          <w:p>
            <w:pPr>
              <w:pStyle w:val="null3"/>
              <w:ind w:firstLine="480"/>
              <w:jc w:val="both"/>
            </w:pPr>
            <w:r>
              <w:rPr>
                <w:rFonts w:ascii="仿宋_GB2312" w:hAnsi="仿宋_GB2312" w:cs="仿宋_GB2312" w:eastAsia="仿宋_GB2312"/>
                <w:sz w:val="24"/>
              </w:rPr>
              <w:t>采伐时，应明确作业重点和作业顺序，优先采伐对目标树生长直接产生不利影响的干扰树，其次为目的树种的萌生株，非目的树种的枯立木、枯死木、不良木、断头木等。</w:t>
            </w:r>
          </w:p>
          <w:p>
            <w:pPr>
              <w:pStyle w:val="null3"/>
              <w:ind w:firstLine="480"/>
              <w:jc w:val="both"/>
            </w:pPr>
            <w:r>
              <w:rPr>
                <w:rFonts w:ascii="仿宋_GB2312" w:hAnsi="仿宋_GB2312" w:cs="仿宋_GB2312" w:eastAsia="仿宋_GB2312"/>
                <w:sz w:val="24"/>
              </w:rPr>
              <w:t>伐作业前，必须按照南郑区林木采伐限额管理制度办理林木采伐手续。此外，施工技术人员应按照设计图纸沿周界采用打桩或用红漆在固定物标注等形式确定施工作业小班的周界。</w:t>
            </w:r>
          </w:p>
          <w:p>
            <w:pPr>
              <w:pStyle w:val="null3"/>
              <w:ind w:firstLine="480"/>
              <w:jc w:val="both"/>
            </w:pPr>
            <w:r>
              <w:rPr>
                <w:rFonts w:ascii="仿宋_GB2312" w:hAnsi="仿宋_GB2312" w:cs="仿宋_GB2312" w:eastAsia="仿宋_GB2312"/>
                <w:sz w:val="24"/>
              </w:rPr>
              <w:t>按照作业设计确定的各小班采伐株树强度，组织施工技术人员逐小班确定采伐木，打号员用红油漆对采伐木进行打号、检尺和登记。确定保留木时要根据地形、林木的疏密程度等因素灵活掌握，忌死搬硬套。一定要注意保留林缘木、边界木和孤立木。</w:t>
            </w:r>
          </w:p>
          <w:p>
            <w:pPr>
              <w:pStyle w:val="null3"/>
              <w:ind w:firstLine="480"/>
              <w:jc w:val="both"/>
            </w:pPr>
            <w:r>
              <w:rPr>
                <w:rFonts w:ascii="仿宋_GB2312" w:hAnsi="仿宋_GB2312" w:cs="仿宋_GB2312" w:eastAsia="仿宋_GB2312"/>
                <w:sz w:val="24"/>
              </w:rPr>
              <w:t>施工技术人员要认真观察被伐木树冠形状、树干是否腐朽、倾斜、弯曲，风向和风力，判断树木的自然倒向，根据上述诸因素和周围其他树木的位置，有无挂枝、枯枝和其他危险因素，正确选定树木伐倒方向。采伐时应确认危险区内无其他作业人员后方可开始伐木；伐木时树木叫楂并开始倾倒时，伐木工应停止锯切，看下助手是否站在安全位置，并注意观察树冠走向，同时移开锯，迅速沿安全道退到安全地点；用弯把锯伐木时，伐木工人应单膝跪地操作，不应坐地上伐木。采伐时，应尽量降低伐根高度，伐根高度不大于</w:t>
            </w:r>
            <w:r>
              <w:rPr>
                <w:rFonts w:ascii="仿宋_GB2312" w:hAnsi="仿宋_GB2312" w:cs="仿宋_GB2312" w:eastAsia="仿宋_GB2312"/>
                <w:sz w:val="24"/>
              </w:rPr>
              <w:t>5cm，应使用油锯伐树。提高伐木技术，防止劈裂、搭挂，减少木材损失。采伐作业完成后把没有利用价值的采伐剩余物堆放于保留木树根处。</w:t>
            </w:r>
          </w:p>
          <w:p>
            <w:pPr>
              <w:pStyle w:val="null3"/>
              <w:ind w:firstLine="480"/>
              <w:jc w:val="both"/>
            </w:pPr>
            <w:r>
              <w:rPr>
                <w:rFonts w:ascii="仿宋_GB2312" w:hAnsi="仿宋_GB2312" w:cs="仿宋_GB2312" w:eastAsia="仿宋_GB2312"/>
                <w:sz w:val="24"/>
              </w:rPr>
              <w:t>采伐过程中，要切实加强管理，严格按照作业设计和有关技术规程进行施工，合理安排施工季节，尽量避免在暴雨季节大规模施工，杜绝过度采伐，避免对植被和环境造成严重破坏，避免造成水土流失。</w:t>
            </w:r>
          </w:p>
          <w:p>
            <w:pPr>
              <w:pStyle w:val="null3"/>
              <w:ind w:firstLine="480"/>
              <w:jc w:val="both"/>
            </w:pPr>
            <w:r>
              <w:rPr>
                <w:rFonts w:ascii="仿宋_GB2312" w:hAnsi="仿宋_GB2312" w:cs="仿宋_GB2312" w:eastAsia="仿宋_GB2312"/>
                <w:sz w:val="24"/>
              </w:rPr>
              <w:t>7.4.割灌</w:t>
            </w:r>
          </w:p>
          <w:p>
            <w:pPr>
              <w:pStyle w:val="null3"/>
              <w:ind w:firstLine="480"/>
              <w:jc w:val="both"/>
            </w:pPr>
            <w:r>
              <w:rPr>
                <w:rFonts w:ascii="仿宋_GB2312" w:hAnsi="仿宋_GB2312" w:cs="仿宋_GB2312" w:eastAsia="仿宋_GB2312"/>
                <w:sz w:val="24"/>
              </w:rPr>
              <w:t>对目标树和目标树幼苗幼树生长受杂灌和藤本植物严重影响的小班进行割灌割藤。割灌割藤时要以目标树和目标树幼苗幼树为中心，割除影响目标树和目标树幼苗幼树生长的杂灌和藤本植物，进行局部割灌割藤。割灌割藤时贴近地面切割，留茬高度不宜超过</w:t>
            </w:r>
            <w:r>
              <w:rPr>
                <w:rFonts w:ascii="仿宋_GB2312" w:hAnsi="仿宋_GB2312" w:cs="仿宋_GB2312" w:eastAsia="仿宋_GB2312"/>
                <w:sz w:val="24"/>
              </w:rPr>
              <w:t>5cm，施工作业时注重保护珍稀濒危树木、林窗处的幼树幼苗及林下有生长潜力的幼树幼苗，稀疏地段适度保留灌木。割灌割藤后，将割除的灌木、藤本等散铺在保留木树根处。</w:t>
            </w:r>
          </w:p>
          <w:p>
            <w:pPr>
              <w:pStyle w:val="null3"/>
              <w:ind w:firstLine="480"/>
              <w:jc w:val="both"/>
            </w:pPr>
            <w:r>
              <w:rPr>
                <w:rFonts w:ascii="仿宋_GB2312" w:hAnsi="仿宋_GB2312" w:cs="仿宋_GB2312" w:eastAsia="仿宋_GB2312"/>
                <w:sz w:val="24"/>
              </w:rPr>
              <w:t>7.5补植</w:t>
            </w:r>
          </w:p>
          <w:p>
            <w:pPr>
              <w:pStyle w:val="null3"/>
              <w:ind w:firstLine="480"/>
              <w:jc w:val="both"/>
            </w:pPr>
            <w:r>
              <w:rPr>
                <w:rFonts w:ascii="仿宋_GB2312" w:hAnsi="仿宋_GB2312" w:cs="仿宋_GB2312" w:eastAsia="仿宋_GB2312"/>
                <w:sz w:val="24"/>
              </w:rPr>
              <w:t>1、林地清理</w:t>
            </w:r>
          </w:p>
          <w:p>
            <w:pPr>
              <w:pStyle w:val="null3"/>
              <w:ind w:firstLine="480"/>
              <w:jc w:val="both"/>
            </w:pPr>
            <w:r>
              <w:rPr>
                <w:rFonts w:ascii="仿宋_GB2312" w:hAnsi="仿宋_GB2312" w:cs="仿宋_GB2312" w:eastAsia="仿宋_GB2312"/>
                <w:sz w:val="24"/>
              </w:rPr>
              <w:t>采用带状清理的方式，沿等高线清理栽植坑附近</w:t>
            </w:r>
            <w:r>
              <w:rPr>
                <w:rFonts w:ascii="仿宋_GB2312" w:hAnsi="仿宋_GB2312" w:cs="仿宋_GB2312" w:eastAsia="仿宋_GB2312"/>
                <w:sz w:val="24"/>
              </w:rPr>
              <w:t>1米内影响补植作业的石块、杂灌等。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、整地</w:t>
            </w:r>
          </w:p>
          <w:p>
            <w:pPr>
              <w:pStyle w:val="null3"/>
              <w:ind w:firstLine="480"/>
              <w:jc w:val="both"/>
            </w:pPr>
            <w:r>
              <w:rPr>
                <w:rFonts w:ascii="仿宋_GB2312" w:hAnsi="仿宋_GB2312" w:cs="仿宋_GB2312" w:eastAsia="仿宋_GB2312"/>
                <w:sz w:val="24"/>
              </w:rPr>
              <w:t>整地应遵照因地制宜的原则，以蓄水保土为目的。整地方式为穴状整地，规格为</w:t>
            </w:r>
            <w:r>
              <w:rPr>
                <w:rFonts w:ascii="仿宋_GB2312" w:hAnsi="仿宋_GB2312" w:cs="仿宋_GB2312" w:eastAsia="仿宋_GB2312"/>
                <w:sz w:val="24"/>
              </w:rPr>
              <w:t>40*40*30cm</w:t>
            </w:r>
            <w:r>
              <w:rPr>
                <w:rFonts w:ascii="仿宋_GB2312" w:hAnsi="仿宋_GB2312" w:cs="仿宋_GB2312" w:eastAsia="仿宋_GB2312"/>
                <w:sz w:val="24"/>
              </w:rPr>
              <w:t>。挖坑时应将表土和心土分开堆放，部分心土与表土混合均匀填入坑内，再将剩余心土覆盖其上，直至将坑穴填满。</w:t>
            </w:r>
          </w:p>
          <w:p>
            <w:pPr>
              <w:pStyle w:val="null3"/>
              <w:ind w:firstLine="480"/>
              <w:jc w:val="both"/>
            </w:pPr>
            <w:r>
              <w:rPr>
                <w:rFonts w:ascii="仿宋_GB2312" w:hAnsi="仿宋_GB2312" w:cs="仿宋_GB2312" w:eastAsia="仿宋_GB2312"/>
                <w:sz w:val="24"/>
              </w:rPr>
              <w:t>3、栽植</w:t>
            </w:r>
          </w:p>
          <w:p>
            <w:pPr>
              <w:pStyle w:val="null3"/>
              <w:ind w:firstLine="480"/>
              <w:jc w:val="both"/>
            </w:pPr>
            <w:r>
              <w:rPr>
                <w:rFonts w:ascii="仿宋_GB2312" w:hAnsi="仿宋_GB2312" w:cs="仿宋_GB2312" w:eastAsia="仿宋_GB2312"/>
                <w:sz w:val="24"/>
              </w:rPr>
              <w:t>栽植苗木为杯苗，卸苗时要注意一定要手拿营养钵轻拿轻放，不要摔到地上或用手提苗，以免土坨摔散或损伤根系。栽植时，用手托住营养土坨的上表面然后从杯内轻轻倒出带土坨的苗木放入种植穴中央。从杯内不</w:t>
            </w:r>
            <w:r>
              <w:rPr>
                <w:rFonts w:ascii="仿宋_GB2312" w:hAnsi="仿宋_GB2312" w:cs="仿宋_GB2312" w:eastAsia="仿宋_GB2312"/>
                <w:sz w:val="24"/>
              </w:rPr>
              <w:t>易</w:t>
            </w:r>
            <w:r>
              <w:rPr>
                <w:rFonts w:ascii="仿宋_GB2312" w:hAnsi="仿宋_GB2312" w:cs="仿宋_GB2312" w:eastAsia="仿宋_GB2312"/>
                <w:sz w:val="24"/>
              </w:rPr>
              <w:t>倒出时，可用剪刀轻轻把营养钵剪开，去掉营养钵后再栽植。栽植时注意不要把土坨弄散，避免伤根。回表土时，尽量捡净表土中的草根和石块。表土回填后，要注意沿着土坨的外周边踩实，营养土坨内不要踩，避免因挤压造成苗木根系受损。栽植后要及时浇水，待水浸后，覆</w:t>
            </w:r>
            <w:r>
              <w:rPr>
                <w:rFonts w:ascii="仿宋_GB2312" w:hAnsi="仿宋_GB2312" w:cs="仿宋_GB2312" w:eastAsia="仿宋_GB2312"/>
                <w:sz w:val="24"/>
              </w:rPr>
              <w:t>5cm</w:t>
            </w:r>
            <w:r>
              <w:rPr>
                <w:rFonts w:ascii="仿宋_GB2312" w:hAnsi="仿宋_GB2312" w:cs="仿宋_GB2312" w:eastAsia="仿宋_GB2312"/>
                <w:sz w:val="24"/>
              </w:rPr>
              <w:t>的表土以利保墒。</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、成活率调查与补植</w:t>
            </w:r>
          </w:p>
          <w:p>
            <w:pPr>
              <w:pStyle w:val="null3"/>
              <w:ind w:firstLine="480"/>
              <w:jc w:val="both"/>
            </w:pPr>
            <w:r>
              <w:rPr>
                <w:rFonts w:ascii="仿宋_GB2312" w:hAnsi="仿宋_GB2312" w:cs="仿宋_GB2312" w:eastAsia="仿宋_GB2312"/>
                <w:sz w:val="24"/>
              </w:rPr>
              <w:t>经过一个生长季节后进行成活率调查。调查方法是在当年所有补植小班内选设具有代表性的标准地，分别计算成活与死亡株数。调查结果分别按成活率</w:t>
            </w:r>
            <w:r>
              <w:rPr>
                <w:rFonts w:ascii="仿宋_GB2312" w:hAnsi="仿宋_GB2312" w:cs="仿宋_GB2312" w:eastAsia="仿宋_GB2312"/>
                <w:sz w:val="24"/>
              </w:rPr>
              <w:t>85%以上、41~84%、40%以下三级统计。成活率在40%以下的小班必须重新补植，成活率在41~84%的小班按补植密度及时进行补植。</w:t>
            </w:r>
          </w:p>
          <w:p>
            <w:pPr>
              <w:pStyle w:val="null3"/>
              <w:ind w:firstLine="480"/>
              <w:jc w:val="both"/>
            </w:pPr>
            <w:r>
              <w:rPr>
                <w:rFonts w:ascii="仿宋_GB2312" w:hAnsi="仿宋_GB2312" w:cs="仿宋_GB2312" w:eastAsia="仿宋_GB2312"/>
                <w:sz w:val="24"/>
              </w:rPr>
              <w:t>5、幼苗抚育</w:t>
            </w:r>
          </w:p>
          <w:p>
            <w:pPr>
              <w:pStyle w:val="null3"/>
              <w:ind w:firstLine="480"/>
              <w:jc w:val="both"/>
            </w:pPr>
            <w:r>
              <w:rPr>
                <w:rFonts w:ascii="仿宋_GB2312" w:hAnsi="仿宋_GB2312" w:cs="仿宋_GB2312" w:eastAsia="仿宋_GB2312"/>
                <w:sz w:val="24"/>
              </w:rPr>
              <w:t>幼苗抚育是指在补植后至郁闭前这一段时间里所进行的各种技术措施。通过松土、除草、扩穴等改善土壤理化性质，给幼苗幼树创造一个良好的生长环境。补植后</w:t>
            </w:r>
            <w:r>
              <w:rPr>
                <w:rFonts w:ascii="仿宋_GB2312" w:hAnsi="仿宋_GB2312" w:cs="仿宋_GB2312" w:eastAsia="仿宋_GB2312"/>
                <w:sz w:val="24"/>
              </w:rPr>
              <w:t>3年内进行幼苗抚育，抚育年次为3年5次，以2-2-1为序。第一年和第二年，每年进行2次抚育，抚育时间为春季和夏季；第三年进行1次抚育，抚育时间为夏季。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兔等林业有害生物要及时进行防治。</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1</w:t>
            </w:r>
            <w:r>
              <w:rPr>
                <w:rFonts w:ascii="仿宋_GB2312" w:hAnsi="仿宋_GB2312" w:cs="仿宋_GB2312" w:eastAsia="仿宋_GB2312"/>
                <w:sz w:val="21"/>
              </w:rPr>
              <w:t xml:space="preserve"> </w:t>
            </w:r>
            <w:r>
              <w:rPr>
                <w:rFonts w:ascii="仿宋_GB2312" w:hAnsi="仿宋_GB2312" w:cs="仿宋_GB2312" w:eastAsia="仿宋_GB2312"/>
                <w:sz w:val="24"/>
              </w:rPr>
              <w:t>苗木量</w:t>
            </w:r>
          </w:p>
          <w:tbl>
            <w:tblPr>
              <w:tblInd w:type="dxa" w:w="135"/>
              <w:tblBorders>
                <w:top w:val="none" w:color="000000" w:sz="4"/>
                <w:left w:val="none" w:color="000000" w:sz="4"/>
                <w:bottom w:val="none" w:color="000000" w:sz="4"/>
                <w:right w:val="none" w:color="000000" w:sz="4"/>
                <w:insideH w:val="none"/>
                <w:insideV w:val="none"/>
              </w:tblBorders>
            </w:tblPr>
            <w:tblGrid>
              <w:gridCol w:w="308"/>
              <w:gridCol w:w="586"/>
              <w:gridCol w:w="546"/>
              <w:gridCol w:w="542"/>
              <w:gridCol w:w="564"/>
            </w:tblGrid>
            <w:tr>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林班</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总计</w:t>
                  </w:r>
                </w:p>
              </w:tc>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漆树</w:t>
                  </w:r>
                </w:p>
              </w:tc>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巴山松</w:t>
                  </w:r>
                </w:p>
              </w:tc>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云杉</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3920</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3920</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52265</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11958</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16282</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24025</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16975</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16975</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20970</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3920</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17050</w:t>
                  </w:r>
                </w:p>
              </w:tc>
            </w:tr>
          </w:tbl>
          <w:p>
            <w:pPr>
              <w:pStyle w:val="null3"/>
              <w:ind w:firstLine="480"/>
              <w:jc w:val="both"/>
            </w:pPr>
            <w:r>
              <w:rPr>
                <w:rFonts w:ascii="仿宋_GB2312" w:hAnsi="仿宋_GB2312" w:cs="仿宋_GB2312" w:eastAsia="仿宋_GB2312"/>
                <w:sz w:val="24"/>
              </w:rPr>
              <w:t>5.2其他要求：</w:t>
            </w:r>
          </w:p>
          <w:p>
            <w:pPr>
              <w:pStyle w:val="null3"/>
              <w:ind w:firstLine="480"/>
              <w:jc w:val="both"/>
            </w:pPr>
            <w:r>
              <w:rPr>
                <w:rFonts w:ascii="仿宋_GB2312" w:hAnsi="仿宋_GB2312" w:cs="仿宋_GB2312" w:eastAsia="仿宋_GB2312"/>
                <w:sz w:val="24"/>
              </w:rPr>
              <w:t>用工优先吸纳本标段项目区剩余劳动力提供灵活就业机会，须吸纳林区</w:t>
            </w:r>
            <w:r>
              <w:rPr>
                <w:rFonts w:ascii="仿宋_GB2312" w:hAnsi="仿宋_GB2312" w:cs="仿宋_GB2312" w:eastAsia="仿宋_GB2312"/>
                <w:sz w:val="24"/>
              </w:rPr>
              <w:t>60人参与项目建设，通过务工获取劳动报酬，确保林区社会和谐、健康、稳定发展，推进乡村振兴。</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rPr>
              <w:t>主体工程建设期限为</w:t>
            </w:r>
            <w:r>
              <w:rPr>
                <w:rFonts w:ascii="仿宋_GB2312" w:hAnsi="仿宋_GB2312" w:cs="仿宋_GB2312" w:eastAsia="仿宋_GB2312"/>
                <w:sz w:val="24"/>
              </w:rPr>
              <w:t>4个月；幼苗抚育期限为2027年1月~2029年12月。</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标的名称：退化林修复4669亩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 xml:space="preserve">2026年大巴山北麓和汉江谷地水土保持与水源涵养项目（黎坪林场退化林修复）合同包2    </w:t>
            </w:r>
          </w:p>
          <w:p>
            <w:pPr>
              <w:pStyle w:val="null3"/>
              <w:ind w:firstLine="482"/>
              <w:jc w:val="both"/>
            </w:pPr>
            <w:r>
              <w:rPr>
                <w:rFonts w:ascii="仿宋_GB2312" w:hAnsi="仿宋_GB2312" w:cs="仿宋_GB2312" w:eastAsia="仿宋_GB2312"/>
                <w:sz w:val="24"/>
                <w:b/>
              </w:rPr>
              <w:t>一、项目建设地点：</w:t>
            </w:r>
            <w:r>
              <w:rPr>
                <w:rFonts w:ascii="仿宋_GB2312" w:hAnsi="仿宋_GB2312" w:cs="仿宋_GB2312" w:eastAsia="仿宋_GB2312"/>
                <w:sz w:val="24"/>
              </w:rPr>
              <w:t>位于黎坪林场</w:t>
            </w:r>
            <w:r>
              <w:rPr>
                <w:rFonts w:ascii="仿宋_GB2312" w:hAnsi="仿宋_GB2312" w:cs="仿宋_GB2312" w:eastAsia="仿宋_GB2312"/>
                <w:sz w:val="24"/>
              </w:rPr>
              <w:t>49林班、61林班、62林班、63林班、67林班范围内，项</w:t>
            </w:r>
            <w:r>
              <w:rPr>
                <w:rFonts w:ascii="仿宋_GB2312" w:hAnsi="仿宋_GB2312" w:cs="仿宋_GB2312" w:eastAsia="仿宋_GB2312"/>
                <w:sz w:val="24"/>
              </w:rPr>
              <w:t>目作业面积</w:t>
            </w:r>
            <w:r>
              <w:rPr>
                <w:rFonts w:ascii="仿宋_GB2312" w:hAnsi="仿宋_GB2312" w:cs="仿宋_GB2312" w:eastAsia="仿宋_GB2312"/>
                <w:sz w:val="24"/>
              </w:rPr>
              <w:t>4669</w:t>
            </w:r>
            <w:r>
              <w:rPr>
                <w:rFonts w:ascii="仿宋_GB2312" w:hAnsi="仿宋_GB2312" w:cs="仿宋_GB2312" w:eastAsia="仿宋_GB2312"/>
                <w:sz w:val="24"/>
              </w:rPr>
              <w:t>亩。</w:t>
            </w:r>
          </w:p>
          <w:p>
            <w:pPr>
              <w:pStyle w:val="null3"/>
              <w:ind w:firstLine="482"/>
              <w:jc w:val="both"/>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黎坪林场</w:t>
            </w:r>
            <w:r>
              <w:rPr>
                <w:rFonts w:ascii="仿宋_GB2312" w:hAnsi="仿宋_GB2312" w:cs="仿宋_GB2312" w:eastAsia="仿宋_GB2312"/>
                <w:sz w:val="24"/>
              </w:rPr>
              <w:t>49林班、61林班、62林班、63林班、67林班范围内，21个作业小班，可作业面积4669亩为综合修复（择伐+补植+割灌）。修复采伐方式为单株择伐，采伐株数为43580株，消耗蓄积1057</w:t>
            </w:r>
            <w:r>
              <w:rPr>
                <w:rFonts w:ascii="仿宋_GB2312" w:hAnsi="仿宋_GB2312" w:cs="仿宋_GB2312" w:eastAsia="仿宋_GB2312"/>
                <w:sz w:val="24"/>
              </w:rPr>
              <w:t>立方米</w:t>
            </w:r>
            <w:r>
              <w:rPr>
                <w:rFonts w:ascii="仿宋_GB2312" w:hAnsi="仿宋_GB2312" w:cs="仿宋_GB2312" w:eastAsia="仿宋_GB2312"/>
                <w:sz w:val="24"/>
              </w:rPr>
              <w:t>。补植面积</w:t>
            </w:r>
            <w:r>
              <w:rPr>
                <w:rFonts w:ascii="仿宋_GB2312" w:hAnsi="仿宋_GB2312" w:cs="仿宋_GB2312" w:eastAsia="仿宋_GB2312"/>
                <w:sz w:val="24"/>
              </w:rPr>
              <w:t>2870亩，其中补植漆树68990株，巴山松23600株，云杉446403株。项目公示牌一面。</w:t>
            </w:r>
          </w:p>
          <w:p>
            <w:pPr>
              <w:pStyle w:val="null3"/>
              <w:ind w:firstLine="482"/>
              <w:jc w:val="both"/>
            </w:pPr>
            <w:r>
              <w:rPr>
                <w:rFonts w:ascii="仿宋_GB2312" w:hAnsi="仿宋_GB2312" w:cs="仿宋_GB2312" w:eastAsia="仿宋_GB2312"/>
                <w:sz w:val="24"/>
                <w:b/>
              </w:rPr>
              <w:t>三、技术参数与性能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、修复规模</w:t>
            </w:r>
          </w:p>
          <w:p>
            <w:pPr>
              <w:pStyle w:val="null3"/>
              <w:ind w:firstLine="480"/>
              <w:jc w:val="both"/>
            </w:pPr>
            <w:r>
              <w:rPr>
                <w:rFonts w:ascii="仿宋_GB2312" w:hAnsi="仿宋_GB2312" w:cs="仿宋_GB2312" w:eastAsia="仿宋_GB2312"/>
                <w:sz w:val="24"/>
              </w:rPr>
              <w:t>实施退化林修复面积</w:t>
            </w:r>
            <w:r>
              <w:rPr>
                <w:rFonts w:ascii="仿宋_GB2312" w:hAnsi="仿宋_GB2312" w:cs="仿宋_GB2312" w:eastAsia="仿宋_GB2312"/>
                <w:sz w:val="24"/>
              </w:rPr>
              <w:t>4669</w:t>
            </w:r>
            <w:r>
              <w:rPr>
                <w:rFonts w:ascii="仿宋_GB2312" w:hAnsi="仿宋_GB2312" w:cs="仿宋_GB2312" w:eastAsia="仿宋_GB2312"/>
                <w:sz w:val="24"/>
              </w:rPr>
              <w:t>亩。</w:t>
            </w:r>
          </w:p>
          <w:p>
            <w:pPr>
              <w:pStyle w:val="null3"/>
              <w:ind w:firstLine="480"/>
              <w:jc w:val="both"/>
            </w:pPr>
            <w:r>
              <w:rPr>
                <w:rFonts w:ascii="仿宋_GB2312" w:hAnsi="仿宋_GB2312" w:cs="仿宋_GB2312" w:eastAsia="仿宋_GB2312"/>
                <w:sz w:val="24"/>
              </w:rPr>
              <w:t>2.修复目的</w:t>
            </w:r>
          </w:p>
          <w:p>
            <w:pPr>
              <w:pStyle w:val="null3"/>
              <w:ind w:firstLine="480"/>
              <w:jc w:val="both"/>
            </w:pPr>
            <w:r>
              <w:rPr>
                <w:rFonts w:ascii="仿宋_GB2312" w:hAnsi="仿宋_GB2312" w:cs="仿宋_GB2312" w:eastAsia="仿宋_GB2312"/>
                <w:sz w:val="24"/>
              </w:rPr>
              <w:t>通过采取科学的修复措施，调整林分密度和林分结构，改善林分卫生状况，提高林分质量，提高林分郁闭度，促进林木生长，提高森林质量，恢复森林功能，促进森林生态系统正向演替。</w:t>
            </w:r>
          </w:p>
          <w:p>
            <w:pPr>
              <w:pStyle w:val="null3"/>
              <w:ind w:firstLine="480"/>
              <w:jc w:val="both"/>
            </w:pPr>
            <w:r>
              <w:rPr>
                <w:rFonts w:ascii="仿宋_GB2312" w:hAnsi="仿宋_GB2312" w:cs="仿宋_GB2312" w:eastAsia="仿宋_GB2312"/>
                <w:sz w:val="24"/>
              </w:rPr>
              <w:t>3.修复措施</w:t>
            </w:r>
          </w:p>
          <w:p>
            <w:pPr>
              <w:pStyle w:val="null3"/>
              <w:ind w:firstLine="480"/>
              <w:jc w:val="both"/>
            </w:pPr>
            <w:r>
              <w:rPr>
                <w:rFonts w:ascii="仿宋_GB2312" w:hAnsi="仿宋_GB2312" w:cs="仿宋_GB2312" w:eastAsia="仿宋_GB2312"/>
                <w:sz w:val="24"/>
              </w:rPr>
              <w:t>退化林修复作业区内存在林间空地，同时也存在多代萌生林。依据《退化林修复技术规范》（</w:t>
            </w:r>
            <w:r>
              <w:rPr>
                <w:rFonts w:ascii="仿宋_GB2312" w:hAnsi="仿宋_GB2312" w:cs="仿宋_GB2312" w:eastAsia="仿宋_GB2312"/>
                <w:sz w:val="24"/>
              </w:rPr>
              <w:t>DB/T2074-2025）和《退化林修复技术规程》（GB/T44351-2024），该项目退化林修复措施采取综合修复（择伐+割灌、择伐+补植+割灌）。</w:t>
            </w:r>
          </w:p>
          <w:p>
            <w:pPr>
              <w:pStyle w:val="null3"/>
              <w:ind w:firstLine="480"/>
              <w:jc w:val="both"/>
            </w:pPr>
            <w:r>
              <w:rPr>
                <w:rFonts w:ascii="仿宋_GB2312" w:hAnsi="仿宋_GB2312" w:cs="仿宋_GB2312" w:eastAsia="仿宋_GB2312"/>
                <w:sz w:val="24"/>
              </w:rPr>
              <w:t>4.择伐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1）择伐对象：受害木、濒死木、枯死木、生长不良木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2）择伐方式：单株择伐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3）株数采伐强度：7%—20%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4）蓄积采伐强度：3%—9%</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5）择伐面积：</w:t>
            </w:r>
            <w:r>
              <w:rPr>
                <w:rFonts w:ascii="仿宋_GB2312" w:hAnsi="仿宋_GB2312" w:cs="仿宋_GB2312" w:eastAsia="仿宋_GB2312"/>
                <w:sz w:val="24"/>
              </w:rPr>
              <w:t>4669</w:t>
            </w:r>
            <w:r>
              <w:rPr>
                <w:rFonts w:ascii="仿宋_GB2312" w:hAnsi="仿宋_GB2312" w:cs="仿宋_GB2312" w:eastAsia="仿宋_GB2312"/>
                <w:sz w:val="24"/>
              </w:rPr>
              <w:t>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6）择伐株数：</w:t>
            </w:r>
            <w:r>
              <w:rPr>
                <w:rFonts w:ascii="仿宋_GB2312" w:hAnsi="仿宋_GB2312" w:cs="仿宋_GB2312" w:eastAsia="仿宋_GB2312"/>
                <w:sz w:val="24"/>
              </w:rPr>
              <w:t>43580</w:t>
            </w:r>
            <w:r>
              <w:rPr>
                <w:rFonts w:ascii="仿宋_GB2312" w:hAnsi="仿宋_GB2312" w:cs="仿宋_GB2312" w:eastAsia="仿宋_GB2312"/>
                <w:sz w:val="24"/>
              </w:rPr>
              <w:t>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7）择伐蓄积量：</w:t>
            </w:r>
            <w:r>
              <w:rPr>
                <w:rFonts w:ascii="仿宋_GB2312" w:hAnsi="仿宋_GB2312" w:cs="仿宋_GB2312" w:eastAsia="仿宋_GB2312"/>
                <w:sz w:val="24"/>
              </w:rPr>
              <w:t>1057</w:t>
            </w:r>
            <w:r>
              <w:rPr>
                <w:rFonts w:ascii="仿宋_GB2312" w:hAnsi="仿宋_GB2312" w:cs="仿宋_GB2312" w:eastAsia="仿宋_GB2312"/>
                <w:sz w:val="24"/>
              </w:rPr>
              <w:t>立方米</w:t>
            </w:r>
          </w:p>
          <w:p>
            <w:pPr>
              <w:pStyle w:val="null3"/>
              <w:ind w:firstLine="480"/>
              <w:jc w:val="both"/>
            </w:pPr>
            <w:r>
              <w:rPr>
                <w:rFonts w:ascii="仿宋_GB2312" w:hAnsi="仿宋_GB2312" w:cs="仿宋_GB2312" w:eastAsia="仿宋_GB2312"/>
                <w:sz w:val="24"/>
              </w:rPr>
              <w:t>5.补植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1）补植面积：</w:t>
            </w:r>
            <w:r>
              <w:rPr>
                <w:rFonts w:ascii="仿宋_GB2312" w:hAnsi="仿宋_GB2312" w:cs="仿宋_GB2312" w:eastAsia="仿宋_GB2312"/>
                <w:sz w:val="24"/>
              </w:rPr>
              <w:t>2870</w:t>
            </w:r>
            <w:r>
              <w:rPr>
                <w:rFonts w:ascii="仿宋_GB2312" w:hAnsi="仿宋_GB2312" w:cs="仿宋_GB2312" w:eastAsia="仿宋_GB2312"/>
                <w:sz w:val="24"/>
              </w:rPr>
              <w:t>亩（巴山松</w:t>
            </w:r>
            <w:r>
              <w:rPr>
                <w:rFonts w:ascii="仿宋_GB2312" w:hAnsi="仿宋_GB2312" w:cs="仿宋_GB2312" w:eastAsia="仿宋_GB2312"/>
                <w:sz w:val="24"/>
              </w:rPr>
              <w:t>489亩，</w:t>
            </w:r>
            <w:r>
              <w:rPr>
                <w:rFonts w:ascii="仿宋_GB2312" w:hAnsi="仿宋_GB2312" w:cs="仿宋_GB2312" w:eastAsia="仿宋_GB2312"/>
                <w:sz w:val="24"/>
              </w:rPr>
              <w:t>云杉</w:t>
            </w:r>
            <w:r>
              <w:rPr>
                <w:rFonts w:ascii="仿宋_GB2312" w:hAnsi="仿宋_GB2312" w:cs="仿宋_GB2312" w:eastAsia="仿宋_GB2312"/>
                <w:sz w:val="24"/>
              </w:rPr>
              <w:t>1050亩</w:t>
            </w:r>
            <w:r>
              <w:rPr>
                <w:rFonts w:ascii="仿宋_GB2312" w:hAnsi="仿宋_GB2312" w:cs="仿宋_GB2312" w:eastAsia="仿宋_GB2312"/>
                <w:sz w:val="24"/>
              </w:rPr>
              <w:t>，漆树</w:t>
            </w:r>
            <w:r>
              <w:rPr>
                <w:rFonts w:ascii="仿宋_GB2312" w:hAnsi="仿宋_GB2312" w:cs="仿宋_GB2312" w:eastAsia="仿宋_GB2312"/>
                <w:sz w:val="24"/>
              </w:rPr>
              <w:t>1331亩</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2）补植树种：漆树、巴山松、云杉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3）补植密度：35-60株/亩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4）栽植点配置：品字形配置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5）整地方式及规格：穴状整地，规格为40×40×30厘米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6）物料内容：苗木137230株（</w:t>
            </w:r>
            <w:r>
              <w:rPr>
                <w:rFonts w:ascii="仿宋_GB2312" w:hAnsi="仿宋_GB2312" w:cs="仿宋_GB2312" w:eastAsia="仿宋_GB2312"/>
                <w:sz w:val="24"/>
              </w:rPr>
              <w:t>漆树</w:t>
            </w:r>
            <w:r>
              <w:rPr>
                <w:rFonts w:ascii="仿宋_GB2312" w:hAnsi="仿宋_GB2312" w:cs="仿宋_GB2312" w:eastAsia="仿宋_GB2312"/>
                <w:sz w:val="24"/>
              </w:rPr>
              <w:t>68990株，巴山松23600株，云杉44640株</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苗木规格：本次退化林修复补植苗木良种使用率</w:t>
            </w:r>
            <w:r>
              <w:rPr>
                <w:rFonts w:ascii="仿宋_GB2312" w:hAnsi="仿宋_GB2312" w:cs="仿宋_GB2312" w:eastAsia="仿宋_GB2312"/>
                <w:sz w:val="24"/>
              </w:rPr>
              <w:t>≥75%。苗木起苗包装过程中容器苗要包装牢固，裸根苗根系幅度需达标、根系保湿；供苗单位应出具“两证一签”（植物检疫合格证、苗木质量检验合格证和苗木产地标签）以及苗木良种证明的“Ⅰ”级苗木并随车同行，施工单位应保留苗木购销合同、苗木销售发票等资料。苗木运至项目区后，施工单位先逐车逐株自检，自检合格后再由监理单位会同建设单位逐车查验，不合格苗木当即拒收，验收完成后，施工、监理、建设三方需共同在《材料进场查验记录表》上签字确认，并将此作为结算和审计的依据；查验合格的苗木卸车后，施工单位及时假植或就近栽植，避免暴晒风干；栽植过程中可用无人机运苗，避免人为踩踏破坏原生植被。木检验中严格把关，选用植株健壮、苗干通直圆满、枝条茁壮、组织充实、木质化程度高；根系发达而完整、有较多的侧根和须根、根系无劈裂；具有完整健壮的顶芽；无机械损伤、无病虫害、不失水、有旺盛生命力的优质苗木。</w:t>
            </w:r>
          </w:p>
          <w:p>
            <w:pPr>
              <w:pStyle w:val="null3"/>
              <w:ind w:firstLine="480"/>
              <w:jc w:val="both"/>
            </w:pPr>
            <w:r>
              <w:rPr>
                <w:rFonts w:ascii="仿宋_GB2312" w:hAnsi="仿宋_GB2312" w:cs="仿宋_GB2312" w:eastAsia="仿宋_GB2312"/>
                <w:sz w:val="24"/>
              </w:rPr>
              <w:t>苗木来源统计</w:t>
            </w:r>
          </w:p>
          <w:tbl>
            <w:tblPr>
              <w:tblInd w:type="dxa" w:w="105"/>
              <w:tblBorders>
                <w:top w:val="none" w:color="000000" w:sz="4"/>
                <w:left w:val="none" w:color="000000" w:sz="4"/>
                <w:bottom w:val="none" w:color="000000" w:sz="4"/>
                <w:right w:val="none" w:color="000000" w:sz="4"/>
                <w:insideH w:val="none"/>
                <w:insideV w:val="none"/>
              </w:tblBorders>
            </w:tblPr>
            <w:tblGrid>
              <w:gridCol w:w="298"/>
              <w:gridCol w:w="887"/>
              <w:gridCol w:w="1358"/>
            </w:tblGrid>
            <w:tr>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pPr>
                  <w:r>
                    <w:rPr>
                      <w:rFonts w:ascii="仿宋_GB2312" w:hAnsi="仿宋_GB2312" w:cs="仿宋_GB2312" w:eastAsia="仿宋_GB2312"/>
                      <w:sz w:val="22"/>
                    </w:rPr>
                    <w:t>树种</w:t>
                  </w:r>
                </w:p>
              </w:tc>
              <w:tc>
                <w:tcPr>
                  <w:tcW w:type="dxa" w:w="8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440" w:firstLine="428"/>
                  </w:pPr>
                  <w:r>
                    <w:rPr>
                      <w:rFonts w:ascii="仿宋_GB2312" w:hAnsi="仿宋_GB2312" w:cs="仿宋_GB2312" w:eastAsia="仿宋_GB2312"/>
                      <w:sz w:val="22"/>
                    </w:rPr>
                    <w:t>苗圃所在地</w:t>
                  </w:r>
                </w:p>
              </w:tc>
              <w:tc>
                <w:tcPr>
                  <w:tcW w:type="dxa" w:w="13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pPr>
                  <w:r>
                    <w:rPr>
                      <w:rFonts w:ascii="仿宋_GB2312" w:hAnsi="仿宋_GB2312" w:cs="仿宋_GB2312" w:eastAsia="仿宋_GB2312"/>
                      <w:sz w:val="22"/>
                    </w:rPr>
                    <w:t>良种编号</w:t>
                  </w:r>
                </w:p>
              </w:tc>
            </w:tr>
            <w:tr>
              <w:tc>
                <w:tcPr>
                  <w:tcW w:type="dxa" w:w="298"/>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2"/>
                    </w:rPr>
                    <w:t>云杉</w:t>
                  </w:r>
                </w:p>
              </w:tc>
              <w:tc>
                <w:tcPr>
                  <w:tcW w:type="dxa" w:w="8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pPr>
                  <w:r>
                    <w:rPr>
                      <w:rFonts w:ascii="仿宋_GB2312" w:hAnsi="仿宋_GB2312" w:cs="仿宋_GB2312" w:eastAsia="仿宋_GB2312"/>
                      <w:sz w:val="22"/>
                    </w:rPr>
                    <w:t>宝鸡市林业工作中心站</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pPr>
                  <w:r>
                    <w:rPr>
                      <w:rFonts w:ascii="仿宋_GB2312" w:hAnsi="仿宋_GB2312" w:cs="仿宋_GB2312" w:eastAsia="仿宋_GB2312"/>
                      <w:sz w:val="22"/>
                    </w:rPr>
                    <w:t>陕</w:t>
                  </w:r>
                  <w:r>
                    <w:rPr>
                      <w:rFonts w:ascii="仿宋_GB2312" w:hAnsi="仿宋_GB2312" w:cs="仿宋_GB2312" w:eastAsia="仿宋_GB2312"/>
                    </w:rPr>
                    <w:t xml:space="preserve"> </w:t>
                  </w:r>
                  <w:r>
                    <w:rPr>
                      <w:rFonts w:ascii="仿宋_GB2312" w:hAnsi="仿宋_GB2312" w:cs="仿宋_GB2312" w:eastAsia="仿宋_GB2312"/>
                      <w:sz w:val="22"/>
                    </w:rPr>
                    <w:t>S-SS-PB-016-2020</w:t>
                  </w:r>
                </w:p>
              </w:tc>
            </w:tr>
            <w:tr>
              <w:tc>
                <w:tcPr>
                  <w:tcW w:type="dxa" w:w="298"/>
                  <w:vMerge/>
                  <w:tcBorders>
                    <w:top w:val="none" w:color="000000" w:sz="4"/>
                    <w:left w:val="single" w:color="000000" w:sz="4"/>
                    <w:bottom w:val="none" w:color="000000" w:sz="4"/>
                    <w:right w:val="single" w:color="000000" w:sz="4"/>
                  </w:tcBorders>
                </w:tcPr>
                <w:p/>
              </w:tc>
              <w:tc>
                <w:tcPr>
                  <w:tcW w:type="dxa" w:w="8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pPr>
                  <w:r>
                    <w:rPr>
                      <w:rFonts w:ascii="仿宋_GB2312" w:hAnsi="仿宋_GB2312" w:cs="仿宋_GB2312" w:eastAsia="仿宋_GB2312"/>
                      <w:sz w:val="22"/>
                    </w:rPr>
                    <w:t>阿坝州观音桥国有林保护局</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pPr>
                  <w:r>
                    <w:rPr>
                      <w:rFonts w:ascii="仿宋_GB2312" w:hAnsi="仿宋_GB2312" w:cs="仿宋_GB2312" w:eastAsia="仿宋_GB2312"/>
                      <w:sz w:val="22"/>
                    </w:rPr>
                    <w:t>川</w:t>
                  </w:r>
                  <w:r>
                    <w:rPr>
                      <w:rFonts w:ascii="仿宋_GB2312" w:hAnsi="仿宋_GB2312" w:cs="仿宋_GB2312" w:eastAsia="仿宋_GB2312"/>
                    </w:rPr>
                    <w:t xml:space="preserve"> </w:t>
                  </w:r>
                  <w:r>
                    <w:rPr>
                      <w:rFonts w:ascii="仿宋_GB2312" w:hAnsi="仿宋_GB2312" w:cs="仿宋_GB2312" w:eastAsia="仿宋_GB2312"/>
                      <w:sz w:val="22"/>
                    </w:rPr>
                    <w:t>S-CSO(1)-PR-001-2025</w:t>
                  </w:r>
                </w:p>
              </w:tc>
            </w:tr>
            <w:tr>
              <w:tc>
                <w:tcPr>
                  <w:tcW w:type="dxa" w:w="298"/>
                  <w:vMerge/>
                  <w:tcBorders>
                    <w:top w:val="none" w:color="000000" w:sz="4"/>
                    <w:left w:val="single" w:color="000000" w:sz="4"/>
                    <w:bottom w:val="none" w:color="000000" w:sz="4"/>
                    <w:right w:val="single" w:color="000000" w:sz="4"/>
                  </w:tcBorders>
                </w:tcPr>
                <w:p/>
              </w:tc>
              <w:tc>
                <w:tcPr>
                  <w:tcW w:type="dxa" w:w="8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pPr>
                  <w:r>
                    <w:rPr>
                      <w:rFonts w:ascii="仿宋_GB2312" w:hAnsi="仿宋_GB2312" w:cs="仿宋_GB2312" w:eastAsia="仿宋_GB2312"/>
                      <w:sz w:val="22"/>
                    </w:rPr>
                    <w:t>甘孜州道孚国有林保护管理局</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pPr>
                  <w:r>
                    <w:rPr>
                      <w:rFonts w:ascii="仿宋_GB2312" w:hAnsi="仿宋_GB2312" w:cs="仿宋_GB2312" w:eastAsia="仿宋_GB2312"/>
                      <w:sz w:val="22"/>
                    </w:rPr>
                    <w:t>川</w:t>
                  </w:r>
                  <w:r>
                    <w:rPr>
                      <w:rFonts w:ascii="仿宋_GB2312" w:hAnsi="仿宋_GB2312" w:cs="仿宋_GB2312" w:eastAsia="仿宋_GB2312"/>
                    </w:rPr>
                    <w:t xml:space="preserve"> </w:t>
                  </w:r>
                  <w:r>
                    <w:rPr>
                      <w:rFonts w:ascii="仿宋_GB2312" w:hAnsi="仿宋_GB2312" w:cs="仿宋_GB2312" w:eastAsia="仿宋_GB2312"/>
                      <w:sz w:val="22"/>
                    </w:rPr>
                    <w:t>R-SS-PB-001-2025</w:t>
                  </w:r>
                </w:p>
              </w:tc>
            </w:tr>
            <w:tr>
              <w:tc>
                <w:tcPr>
                  <w:tcW w:type="dxa" w:w="298"/>
                  <w:vMerge/>
                  <w:tcBorders>
                    <w:top w:val="none" w:color="000000" w:sz="4"/>
                    <w:left w:val="single" w:color="000000" w:sz="4"/>
                    <w:bottom w:val="none" w:color="000000" w:sz="4"/>
                    <w:right w:val="single" w:color="000000" w:sz="4"/>
                  </w:tcBorders>
                </w:tcPr>
                <w:p/>
              </w:tc>
              <w:tc>
                <w:tcPr>
                  <w:tcW w:type="dxa" w:w="8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pPr>
                  <w:r>
                    <w:rPr>
                      <w:rFonts w:ascii="仿宋_GB2312" w:hAnsi="仿宋_GB2312" w:cs="仿宋_GB2312" w:eastAsia="仿宋_GB2312"/>
                      <w:sz w:val="22"/>
                    </w:rPr>
                    <w:t>甘孜州炉霍国有林保护管理局</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pPr>
                  <w:r>
                    <w:rPr>
                      <w:rFonts w:ascii="仿宋_GB2312" w:hAnsi="仿宋_GB2312" w:cs="仿宋_GB2312" w:eastAsia="仿宋_GB2312"/>
                      <w:sz w:val="22"/>
                    </w:rPr>
                    <w:t>川</w:t>
                  </w:r>
                  <w:r>
                    <w:rPr>
                      <w:rFonts w:ascii="仿宋_GB2312" w:hAnsi="仿宋_GB2312" w:cs="仿宋_GB2312" w:eastAsia="仿宋_GB2312"/>
                    </w:rPr>
                    <w:t xml:space="preserve"> </w:t>
                  </w:r>
                  <w:r>
                    <w:rPr>
                      <w:rFonts w:ascii="仿宋_GB2312" w:hAnsi="仿宋_GB2312" w:cs="仿宋_GB2312" w:eastAsia="仿宋_GB2312"/>
                      <w:sz w:val="22"/>
                    </w:rPr>
                    <w:t>R-SS-PB-002-2025</w:t>
                  </w:r>
                </w:p>
              </w:tc>
            </w:tr>
            <w:tr>
              <w:tc>
                <w:tcPr>
                  <w:tcW w:type="dxa" w:w="298"/>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22"/>
                    </w:rPr>
                    <w:t>漆树</w:t>
                  </w:r>
                </w:p>
              </w:tc>
              <w:tc>
                <w:tcPr>
                  <w:tcW w:type="dxa" w:w="8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pPr>
                  <w:r>
                    <w:rPr>
                      <w:rFonts w:ascii="仿宋_GB2312" w:hAnsi="仿宋_GB2312" w:cs="仿宋_GB2312" w:eastAsia="仿宋_GB2312"/>
                      <w:sz w:val="22"/>
                    </w:rPr>
                    <w:t>周至县国有永红生态林场</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pPr>
                  <w:r>
                    <w:rPr>
                      <w:rFonts w:ascii="仿宋_GB2312" w:hAnsi="仿宋_GB2312" w:cs="仿宋_GB2312" w:eastAsia="仿宋_GB2312"/>
                      <w:sz w:val="22"/>
                    </w:rPr>
                    <w:t>陕</w:t>
                  </w:r>
                  <w:r>
                    <w:rPr>
                      <w:rFonts w:ascii="仿宋_GB2312" w:hAnsi="仿宋_GB2312" w:cs="仿宋_GB2312" w:eastAsia="仿宋_GB2312"/>
                    </w:rPr>
                    <w:t xml:space="preserve"> </w:t>
                  </w:r>
                  <w:r>
                    <w:rPr>
                      <w:rFonts w:ascii="仿宋_GB2312" w:hAnsi="仿宋_GB2312" w:cs="仿宋_GB2312" w:eastAsia="仿宋_GB2312"/>
                      <w:sz w:val="22"/>
                    </w:rPr>
                    <w:t>S-SS-TZ-028-2023</w:t>
                  </w:r>
                </w:p>
              </w:tc>
            </w:tr>
            <w:tr>
              <w:tc>
                <w:tcPr>
                  <w:tcW w:type="dxa" w:w="298"/>
                  <w:vMerge/>
                  <w:tcBorders>
                    <w:top w:val="none" w:color="000000" w:sz="4"/>
                    <w:left w:val="single" w:color="000000" w:sz="4"/>
                    <w:bottom w:val="none" w:color="000000" w:sz="4"/>
                    <w:right w:val="single" w:color="000000" w:sz="4"/>
                  </w:tcBorders>
                </w:tcPr>
                <w:p/>
              </w:tc>
              <w:tc>
                <w:tcPr>
                  <w:tcW w:type="dxa" w:w="8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pPr>
                  <w:r>
                    <w:rPr>
                      <w:rFonts w:ascii="仿宋_GB2312" w:hAnsi="仿宋_GB2312" w:cs="仿宋_GB2312" w:eastAsia="仿宋_GB2312"/>
                      <w:sz w:val="22"/>
                    </w:rPr>
                    <w:t>四川省明富大漆科技有限公司</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right="900"/>
                  </w:pPr>
                  <w:r>
                    <w:rPr>
                      <w:rFonts w:ascii="仿宋_GB2312" w:hAnsi="仿宋_GB2312" w:cs="仿宋_GB2312" w:eastAsia="仿宋_GB2312"/>
                      <w:sz w:val="22"/>
                    </w:rPr>
                    <w:t>川</w:t>
                  </w:r>
                  <w:r>
                    <w:rPr>
                      <w:rFonts w:ascii="仿宋_GB2312" w:hAnsi="仿宋_GB2312" w:cs="仿宋_GB2312" w:eastAsia="仿宋_GB2312"/>
                      <w:sz w:val="22"/>
                    </w:rPr>
                    <w:t>R-SC-TV-007-2022</w:t>
                  </w:r>
                  <w:r>
                    <w:rPr>
                      <w:rFonts w:ascii="仿宋_GB2312" w:hAnsi="仿宋_GB2312" w:cs="仿宋_GB2312" w:eastAsia="仿宋_GB2312"/>
                      <w:sz w:val="22"/>
                    </w:rPr>
                    <w:t>、川</w:t>
                  </w:r>
                  <w:r>
                    <w:rPr>
                      <w:rFonts w:ascii="仿宋_GB2312" w:hAnsi="仿宋_GB2312" w:cs="仿宋_GB2312" w:eastAsia="仿宋_GB2312"/>
                      <w:sz w:val="22"/>
                    </w:rPr>
                    <w:t>R-SC-TV-008-2022</w:t>
                  </w:r>
                </w:p>
              </w:tc>
            </w:tr>
            <w:tr>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pPr>
                  <w:r>
                    <w:rPr>
                      <w:rFonts w:ascii="仿宋_GB2312" w:hAnsi="仿宋_GB2312" w:cs="仿宋_GB2312" w:eastAsia="仿宋_GB2312"/>
                      <w:sz w:val="22"/>
                    </w:rPr>
                    <w:t>巴山松</w:t>
                  </w:r>
                </w:p>
              </w:tc>
              <w:tc>
                <w:tcPr>
                  <w:tcW w:type="dxa" w:w="8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pPr>
                  <w:r>
                    <w:rPr>
                      <w:rFonts w:ascii="仿宋_GB2312" w:hAnsi="仿宋_GB2312" w:cs="仿宋_GB2312" w:eastAsia="仿宋_GB2312"/>
                      <w:sz w:val="22"/>
                    </w:rPr>
                    <w:t>国有黎坪林场</w:t>
                  </w:r>
                </w:p>
              </w:tc>
              <w:tc>
                <w:tcPr>
                  <w:tcW w:type="dxa" w:w="1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070" w:firstLine="440"/>
                    <w:jc w:val="both"/>
                  </w:pPr>
                  <w:r>
                    <w:rPr>
                      <w:rFonts w:ascii="仿宋_GB2312" w:hAnsi="仿宋_GB2312" w:cs="仿宋_GB2312" w:eastAsia="仿宋_GB2312"/>
                      <w:sz w:val="22"/>
                    </w:rPr>
                    <w:t>/</w:t>
                  </w:r>
                </w:p>
              </w:tc>
            </w:tr>
          </w:tbl>
          <w:p>
            <w:pPr>
              <w:pStyle w:val="null3"/>
              <w:ind w:firstLine="476"/>
              <w:jc w:val="both"/>
            </w:pPr>
            <w:r>
              <w:rPr>
                <w:rFonts w:ascii="仿宋_GB2312" w:hAnsi="仿宋_GB2312" w:cs="仿宋_GB2312" w:eastAsia="仿宋_GB2312"/>
                <w:sz w:val="24"/>
              </w:rPr>
              <w:t>注：巴山松为当地乡土树种，占补植株数</w:t>
            </w:r>
            <w:r>
              <w:rPr>
                <w:rFonts w:ascii="仿宋_GB2312" w:hAnsi="仿宋_GB2312" w:cs="仿宋_GB2312" w:eastAsia="仿宋_GB2312"/>
                <w:sz w:val="21"/>
              </w:rPr>
              <w:t xml:space="preserve"> </w:t>
            </w:r>
            <w:r>
              <w:rPr>
                <w:rFonts w:ascii="仿宋_GB2312" w:hAnsi="仿宋_GB2312" w:cs="仿宋_GB2312" w:eastAsia="仿宋_GB2312"/>
                <w:sz w:val="24"/>
              </w:rPr>
              <w:t>20.63%</w:t>
            </w:r>
          </w:p>
          <w:p>
            <w:pPr>
              <w:pStyle w:val="null3"/>
              <w:ind w:firstLine="420"/>
              <w:jc w:val="both"/>
            </w:pPr>
            <w:r>
              <w:rPr>
                <w:rFonts w:ascii="仿宋_GB2312" w:hAnsi="仿宋_GB2312" w:cs="仿宋_GB2312" w:eastAsia="仿宋_GB2312"/>
                <w:sz w:val="24"/>
              </w:rPr>
              <w:t>苗木规格及用量表</w:t>
            </w:r>
          </w:p>
          <w:tbl>
            <w:tblPr>
              <w:tblInd w:type="dxa" w:w="165"/>
              <w:tblBorders>
                <w:top w:val="none" w:color="000000" w:sz="4"/>
                <w:left w:val="none" w:color="000000" w:sz="4"/>
                <w:bottom w:val="none" w:color="000000" w:sz="4"/>
                <w:right w:val="none" w:color="000000" w:sz="4"/>
                <w:insideH w:val="none"/>
                <w:insideV w:val="none"/>
              </w:tblBorders>
            </w:tblPr>
            <w:tblGrid>
              <w:gridCol w:w="307"/>
              <w:gridCol w:w="414"/>
              <w:gridCol w:w="975"/>
              <w:gridCol w:w="414"/>
              <w:gridCol w:w="431"/>
            </w:tblGrid>
            <w:tr>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树种</w:t>
                  </w:r>
                </w:p>
              </w:tc>
              <w:tc>
                <w:tcPr>
                  <w:tcW w:type="dxa" w:w="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苗木标准等</w:t>
                  </w:r>
                  <w:r>
                    <w:rPr>
                      <w:rFonts w:ascii="仿宋_GB2312" w:hAnsi="仿宋_GB2312" w:cs="仿宋_GB2312" w:eastAsia="仿宋_GB2312"/>
                      <w:sz w:val="22"/>
                      <w:color w:val="000000"/>
                    </w:rPr>
                    <w:t>级</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苗木规格</w:t>
                  </w:r>
                </w:p>
              </w:tc>
              <w:tc>
                <w:tcPr>
                  <w:tcW w:type="dxa" w:w="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补植面积（亩）</w:t>
                  </w:r>
                </w:p>
              </w:tc>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需苗量（株）</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巴山松</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Ⅰ级苗</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容器苗，</w:t>
                  </w:r>
                  <w:r>
                    <w:rPr>
                      <w:rFonts w:ascii="仿宋_GB2312" w:hAnsi="仿宋_GB2312" w:cs="仿宋_GB2312" w:eastAsia="仿宋_GB2312"/>
                      <w:sz w:val="21"/>
                    </w:rPr>
                    <w:t>2年生，H＞30cm,d＞</w:t>
                  </w:r>
                </w:p>
                <w:p>
                  <w:pPr>
                    <w:pStyle w:val="null3"/>
                    <w:ind w:firstLine="420"/>
                    <w:jc w:val="center"/>
                  </w:pPr>
                  <w:r>
                    <w:rPr>
                      <w:rFonts w:ascii="仿宋_GB2312" w:hAnsi="仿宋_GB2312" w:cs="仿宋_GB2312" w:eastAsia="仿宋_GB2312"/>
                      <w:sz w:val="21"/>
                    </w:rPr>
                    <w:t>0.4cm</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489</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24122</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云杉</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Ⅰ级苗</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杯苗，</w:t>
                  </w:r>
                  <w:r>
                    <w:rPr>
                      <w:rFonts w:ascii="仿宋_GB2312" w:hAnsi="仿宋_GB2312" w:cs="仿宋_GB2312" w:eastAsia="仿宋_GB2312"/>
                      <w:sz w:val="21"/>
                    </w:rPr>
                    <w:t>4年生，H＞50cm,d＞0.8cm</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1050</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41075</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漆树</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Ⅰ级苗</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裸根苗，</w:t>
                  </w:r>
                  <w:r>
                    <w:rPr>
                      <w:rFonts w:ascii="仿宋_GB2312" w:hAnsi="仿宋_GB2312" w:cs="仿宋_GB2312" w:eastAsia="仿宋_GB2312"/>
                      <w:sz w:val="21"/>
                    </w:rPr>
                    <w:t>1年生，H＞90cm,d＞</w:t>
                  </w:r>
                </w:p>
                <w:p>
                  <w:pPr>
                    <w:pStyle w:val="null3"/>
                    <w:ind w:firstLine="420"/>
                    <w:jc w:val="center"/>
                  </w:pPr>
                  <w:r>
                    <w:rPr>
                      <w:rFonts w:ascii="仿宋_GB2312" w:hAnsi="仿宋_GB2312" w:cs="仿宋_GB2312" w:eastAsia="仿宋_GB2312"/>
                      <w:sz w:val="21"/>
                    </w:rPr>
                    <w:t>1.0cm</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1331</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28933</w:t>
                  </w:r>
                </w:p>
              </w:tc>
            </w:tr>
          </w:tbl>
          <w:p>
            <w:pPr>
              <w:pStyle w:val="null3"/>
              <w:ind w:firstLine="480"/>
              <w:jc w:val="both"/>
            </w:pPr>
            <w:r>
              <w:rPr>
                <w:rFonts w:ascii="仿宋_GB2312" w:hAnsi="仿宋_GB2312" w:cs="仿宋_GB2312" w:eastAsia="仿宋_GB2312"/>
                <w:sz w:val="24"/>
              </w:rPr>
              <w:t>6.割灌</w:t>
            </w:r>
          </w:p>
          <w:p>
            <w:pPr>
              <w:pStyle w:val="null3"/>
              <w:ind w:firstLine="480"/>
              <w:jc w:val="both"/>
            </w:pPr>
            <w:r>
              <w:rPr>
                <w:rFonts w:ascii="仿宋_GB2312" w:hAnsi="仿宋_GB2312" w:cs="仿宋_GB2312" w:eastAsia="仿宋_GB2312"/>
                <w:sz w:val="24"/>
              </w:rPr>
              <w:t>以目标树和目标树幼苗幼树为中心，割除影响目标树和目标树幼苗幼树生长的杂灌和藤本植物，进行局部割灌割藤。割灌割藤强度为</w:t>
            </w:r>
            <w:r>
              <w:rPr>
                <w:rFonts w:ascii="仿宋_GB2312" w:hAnsi="仿宋_GB2312" w:cs="仿宋_GB2312" w:eastAsia="仿宋_GB2312"/>
                <w:sz w:val="24"/>
              </w:rPr>
              <w:t>15%~25%，割灌割藤面积</w:t>
            </w:r>
            <w:r>
              <w:rPr>
                <w:rFonts w:ascii="仿宋_GB2312" w:hAnsi="仿宋_GB2312" w:cs="仿宋_GB2312" w:eastAsia="仿宋_GB2312"/>
                <w:sz w:val="24"/>
              </w:rPr>
              <w:t>4669</w:t>
            </w:r>
            <w:r>
              <w:rPr>
                <w:rFonts w:ascii="仿宋_GB2312" w:hAnsi="仿宋_GB2312" w:cs="仿宋_GB2312" w:eastAsia="仿宋_GB2312"/>
                <w:sz w:val="24"/>
              </w:rPr>
              <w:t>亩。</w:t>
            </w:r>
          </w:p>
          <w:p>
            <w:pPr>
              <w:pStyle w:val="null3"/>
              <w:ind w:firstLine="480"/>
              <w:jc w:val="both"/>
            </w:pPr>
            <w:r>
              <w:rPr>
                <w:rFonts w:ascii="仿宋_GB2312" w:hAnsi="仿宋_GB2312" w:cs="仿宋_GB2312" w:eastAsia="仿宋_GB2312"/>
                <w:sz w:val="24"/>
              </w:rPr>
              <w:t>7.技术措施</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 xml:space="preserve">1 </w:t>
            </w:r>
            <w:r>
              <w:rPr>
                <w:rFonts w:ascii="仿宋_GB2312" w:hAnsi="仿宋_GB2312" w:cs="仿宋_GB2312" w:eastAsia="仿宋_GB2312"/>
                <w:sz w:val="24"/>
              </w:rPr>
              <w:t>修复工序</w:t>
            </w:r>
          </w:p>
          <w:p>
            <w:pPr>
              <w:pStyle w:val="null3"/>
              <w:ind w:firstLine="480"/>
              <w:jc w:val="both"/>
            </w:pPr>
            <w:r>
              <w:rPr>
                <w:rFonts w:ascii="仿宋_GB2312" w:hAnsi="仿宋_GB2312" w:cs="仿宋_GB2312" w:eastAsia="仿宋_GB2312"/>
                <w:sz w:val="24"/>
              </w:rPr>
              <w:t>退化林修复工序大致分为施工准备、施工阶段和施工验收三个阶段，</w:t>
            </w:r>
          </w:p>
          <w:p>
            <w:pPr>
              <w:pStyle w:val="null3"/>
              <w:ind w:firstLine="480"/>
              <w:jc w:val="both"/>
            </w:pPr>
            <w:r>
              <w:rPr>
                <w:rFonts w:ascii="仿宋_GB2312" w:hAnsi="仿宋_GB2312" w:cs="仿宋_GB2312" w:eastAsia="仿宋_GB2312"/>
                <w:sz w:val="24"/>
              </w:rPr>
              <w:t>各阶段工作内容见下图。</w:t>
            </w:r>
          </w:p>
          <w:p>
            <w:pPr>
              <w:pStyle w:val="null3"/>
              <w:ind w:firstLine="480"/>
              <w:jc w:val="both"/>
            </w:pPr>
            <w:r>
              <w:rPr>
                <w:rFonts w:ascii="仿宋_GB2312" w:hAnsi="仿宋_GB2312" w:cs="仿宋_GB2312" w:eastAsia="仿宋_GB2312"/>
                <w:sz w:val="24"/>
              </w:rPr>
              <w:t>施工准备</w:t>
            </w:r>
            <w:r>
              <w:rPr>
                <w:rFonts w:ascii="仿宋_GB2312" w:hAnsi="仿宋_GB2312" w:cs="仿宋_GB2312" w:eastAsia="仿宋_GB2312"/>
                <w:sz w:val="24"/>
              </w:rPr>
              <w:t>→ 施工技术交底 →组织施工方案 → 工棚搭建</w:t>
            </w:r>
          </w:p>
          <w:p>
            <w:pPr>
              <w:pStyle w:val="null3"/>
              <w:ind w:firstLine="720"/>
              <w:jc w:val="both"/>
            </w:pP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施工阶段</w:t>
            </w:r>
            <w:r>
              <w:rPr>
                <w:rFonts w:ascii="仿宋_GB2312" w:hAnsi="仿宋_GB2312" w:cs="仿宋_GB2312" w:eastAsia="仿宋_GB2312"/>
                <w:sz w:val="24"/>
              </w:rPr>
              <w:t>→  退化林修复  → 现场技术检查 →   林地清理</w:t>
            </w:r>
          </w:p>
          <w:p>
            <w:pPr>
              <w:pStyle w:val="null3"/>
              <w:ind w:firstLine="720"/>
              <w:jc w:val="both"/>
            </w:pP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施工验收</w:t>
            </w:r>
            <w:r>
              <w:rPr>
                <w:rFonts w:ascii="仿宋_GB2312" w:hAnsi="仿宋_GB2312" w:cs="仿宋_GB2312" w:eastAsia="仿宋_GB2312"/>
                <w:sz w:val="24"/>
              </w:rPr>
              <w:t>→ 施工队自验  →    林场验收   → 林业局总验</w:t>
            </w:r>
          </w:p>
          <w:p>
            <w:pPr>
              <w:pStyle w:val="null3"/>
              <w:ind w:firstLine="480"/>
              <w:jc w:val="both"/>
            </w:pPr>
            <w:r>
              <w:rPr>
                <w:rFonts w:ascii="仿宋_GB2312" w:hAnsi="仿宋_GB2312" w:cs="仿宋_GB2312" w:eastAsia="仿宋_GB2312"/>
                <w:sz w:val="24"/>
              </w:rPr>
              <w:t>7.2 作业方式</w:t>
            </w:r>
          </w:p>
          <w:p>
            <w:pPr>
              <w:pStyle w:val="null3"/>
              <w:ind w:firstLine="480"/>
              <w:jc w:val="both"/>
            </w:pPr>
            <w:r>
              <w:rPr>
                <w:rFonts w:ascii="仿宋_GB2312" w:hAnsi="仿宋_GB2312" w:cs="仿宋_GB2312" w:eastAsia="仿宋_GB2312"/>
                <w:sz w:val="24"/>
              </w:rPr>
              <w:t>根据项目区内的林分类型、特点及作业措施要求，退化林修复作业方式确定为综合修复（择伐</w:t>
            </w:r>
            <w:r>
              <w:rPr>
                <w:rFonts w:ascii="仿宋_GB2312" w:hAnsi="仿宋_GB2312" w:cs="仿宋_GB2312" w:eastAsia="仿宋_GB2312"/>
                <w:sz w:val="24"/>
              </w:rPr>
              <w:t>+割灌、择伐+补植+割灌）。具体措施为：对枯死木及林中生长不良木进行择伐，对林中空地的补植，并结合割灌等辅助措施，均采用人力方式。</w:t>
            </w:r>
          </w:p>
          <w:p>
            <w:pPr>
              <w:pStyle w:val="null3"/>
              <w:ind w:firstLine="480"/>
              <w:jc w:val="both"/>
            </w:pPr>
            <w:r>
              <w:rPr>
                <w:rFonts w:ascii="仿宋_GB2312" w:hAnsi="仿宋_GB2312" w:cs="仿宋_GB2312" w:eastAsia="仿宋_GB2312"/>
                <w:sz w:val="24"/>
              </w:rPr>
              <w:t>7.3 择伐修复</w:t>
            </w:r>
          </w:p>
          <w:p>
            <w:pPr>
              <w:pStyle w:val="null3"/>
              <w:ind w:firstLine="480"/>
              <w:jc w:val="both"/>
            </w:pPr>
            <w:r>
              <w:rPr>
                <w:rFonts w:ascii="仿宋_GB2312" w:hAnsi="仿宋_GB2312" w:cs="仿宋_GB2312" w:eastAsia="仿宋_GB2312"/>
                <w:sz w:val="24"/>
              </w:rPr>
              <w:t>择伐的原则是</w:t>
            </w:r>
            <w:r>
              <w:rPr>
                <w:rFonts w:ascii="仿宋_GB2312" w:hAnsi="仿宋_GB2312" w:cs="仿宋_GB2312" w:eastAsia="仿宋_GB2312"/>
                <w:sz w:val="24"/>
              </w:rPr>
              <w:t>“砍劣留优、砍小留大、砍密留匀、砍萌留实、砍弯留直、分布均匀、疏密适度”。择伐时，一是伐除对目标树生长直接产生不利影响的干扰树；二是对于一个伐桩上萌生了多个个体的林木，伐除质量差、生长弱的个体，保留1株树干通直、生长旺盛、处于竞争优势的个体；三是伐除显著影响林分卫生条件或通风透光情况的林木；四是在局部密度大、无目的树种的区域，暂时保留生长良好的其他树种，伐除部分生长不良、干性弯曲、断头的林木。</w:t>
            </w:r>
          </w:p>
          <w:p>
            <w:pPr>
              <w:pStyle w:val="null3"/>
              <w:ind w:firstLine="480"/>
              <w:jc w:val="both"/>
            </w:pPr>
            <w:r>
              <w:rPr>
                <w:rFonts w:ascii="仿宋_GB2312" w:hAnsi="仿宋_GB2312" w:cs="仿宋_GB2312" w:eastAsia="仿宋_GB2312"/>
                <w:sz w:val="24"/>
              </w:rPr>
              <w:t>采伐时，应明确作业重点和作业顺序，优先采伐对目标树生长直接产生不利影响的干扰树，其次为目的树种的萌生株，非目的树种的枯立木、枯死木、不良木、断头木等。</w:t>
            </w:r>
          </w:p>
          <w:p>
            <w:pPr>
              <w:pStyle w:val="null3"/>
              <w:ind w:firstLine="480"/>
              <w:jc w:val="both"/>
            </w:pPr>
            <w:r>
              <w:rPr>
                <w:rFonts w:ascii="仿宋_GB2312" w:hAnsi="仿宋_GB2312" w:cs="仿宋_GB2312" w:eastAsia="仿宋_GB2312"/>
                <w:sz w:val="24"/>
              </w:rPr>
              <w:t>伐作业前，必须按照南郑区林木采伐限额管理制度办理林木采伐手续。此外，施工技术人员应按照设计图纸沿周界采用打桩或用红漆在固定物标注等形式确定施工作业小班的周界。</w:t>
            </w:r>
          </w:p>
          <w:p>
            <w:pPr>
              <w:pStyle w:val="null3"/>
              <w:ind w:firstLine="480"/>
              <w:jc w:val="both"/>
            </w:pPr>
            <w:r>
              <w:rPr>
                <w:rFonts w:ascii="仿宋_GB2312" w:hAnsi="仿宋_GB2312" w:cs="仿宋_GB2312" w:eastAsia="仿宋_GB2312"/>
                <w:sz w:val="24"/>
              </w:rPr>
              <w:t>按照作业设计确定的各小班采伐株树强度，组织施工技术人员逐小班确定采伐木，打号员用红油漆对采伐木进行打号、检尺和登记。确定保留木时要根据地形、林木的疏密程度等因素灵活掌握，忌死搬硬套。一定要注意保留林缘木、边界木和孤立木。</w:t>
            </w:r>
          </w:p>
          <w:p>
            <w:pPr>
              <w:pStyle w:val="null3"/>
              <w:ind w:firstLine="480"/>
              <w:jc w:val="both"/>
            </w:pPr>
            <w:r>
              <w:rPr>
                <w:rFonts w:ascii="仿宋_GB2312" w:hAnsi="仿宋_GB2312" w:cs="仿宋_GB2312" w:eastAsia="仿宋_GB2312"/>
                <w:sz w:val="24"/>
              </w:rPr>
              <w:t>施工技术人员要认真观察被伐木树冠形状、树干是否腐朽、倾斜、弯曲，风向和风力，判断树木的自然倒向，根据上述诸因素和周围其他树木的位置，有无挂枝、枯枝和其他危险因素，正确选定树木伐倒方向。采伐时应确认危险区内无其他作业人员后方可开始伐木；伐木时树木叫楂并开始倾倒时，伐木工应停止锯切，看下助手是否站在安全位置，并注意观察树冠走向，同时移开锯，迅速沿安全道退到安全地点；用弯把锯伐木时，伐木工人应单膝跪地操作，不应坐地上伐木。采伐时，应尽量降低伐根高度，伐根高度不大于</w:t>
            </w:r>
            <w:r>
              <w:rPr>
                <w:rFonts w:ascii="仿宋_GB2312" w:hAnsi="仿宋_GB2312" w:cs="仿宋_GB2312" w:eastAsia="仿宋_GB2312"/>
                <w:sz w:val="24"/>
              </w:rPr>
              <w:t>5cm，应使用油锯伐树。提高伐木技术，防止劈裂、搭挂，减少木材损失。采伐作业完成后把没有利用价值的采伐剩余物堆放于保留木树根处。</w:t>
            </w:r>
          </w:p>
          <w:p>
            <w:pPr>
              <w:pStyle w:val="null3"/>
              <w:ind w:firstLine="480"/>
              <w:jc w:val="both"/>
            </w:pPr>
            <w:r>
              <w:rPr>
                <w:rFonts w:ascii="仿宋_GB2312" w:hAnsi="仿宋_GB2312" w:cs="仿宋_GB2312" w:eastAsia="仿宋_GB2312"/>
                <w:sz w:val="24"/>
              </w:rPr>
              <w:t>采伐过程中，要切实加强管理，严格按照作业设计和有关技术规程进行施工，合理安排施工季节，尽量避免在暴雨季节大规模施工，杜绝过度采伐，避免对植被和环境造成严重破坏，避免造成水土流失。</w:t>
            </w:r>
          </w:p>
          <w:p>
            <w:pPr>
              <w:pStyle w:val="null3"/>
              <w:ind w:firstLine="480"/>
              <w:jc w:val="both"/>
            </w:pPr>
            <w:r>
              <w:rPr>
                <w:rFonts w:ascii="仿宋_GB2312" w:hAnsi="仿宋_GB2312" w:cs="仿宋_GB2312" w:eastAsia="仿宋_GB2312"/>
                <w:sz w:val="24"/>
              </w:rPr>
              <w:t>7.4.割灌</w:t>
            </w:r>
          </w:p>
          <w:p>
            <w:pPr>
              <w:pStyle w:val="null3"/>
              <w:ind w:firstLine="480"/>
              <w:jc w:val="both"/>
            </w:pPr>
            <w:r>
              <w:rPr>
                <w:rFonts w:ascii="仿宋_GB2312" w:hAnsi="仿宋_GB2312" w:cs="仿宋_GB2312" w:eastAsia="仿宋_GB2312"/>
                <w:sz w:val="24"/>
              </w:rPr>
              <w:t>对目标树和目标树幼苗幼树生长受杂灌和藤本植物严重影响的小班进行割灌割藤。割灌割藤时要以目标树和目标树幼苗幼树为中心，割除影响目标树和目标树幼苗幼树生长的杂灌和藤本植物，进行局部割灌割藤。割灌割藤时贴近地面切割，留茬高度不宜超过</w:t>
            </w:r>
            <w:r>
              <w:rPr>
                <w:rFonts w:ascii="仿宋_GB2312" w:hAnsi="仿宋_GB2312" w:cs="仿宋_GB2312" w:eastAsia="仿宋_GB2312"/>
                <w:sz w:val="24"/>
              </w:rPr>
              <w:t>5cm，施工作业时注重保护珍稀濒危树木、林窗处的幼树幼苗及林下有生长潜力的幼树幼苗，稀疏地段适度保留灌木。割灌割藤后，将割除的灌木、藤本等散铺在保留木树根处。</w:t>
            </w:r>
          </w:p>
          <w:p>
            <w:pPr>
              <w:pStyle w:val="null3"/>
              <w:ind w:firstLine="480"/>
              <w:jc w:val="both"/>
            </w:pPr>
            <w:r>
              <w:rPr>
                <w:rFonts w:ascii="仿宋_GB2312" w:hAnsi="仿宋_GB2312" w:cs="仿宋_GB2312" w:eastAsia="仿宋_GB2312"/>
                <w:sz w:val="24"/>
              </w:rPr>
              <w:t>7.5补植</w:t>
            </w:r>
          </w:p>
          <w:p>
            <w:pPr>
              <w:pStyle w:val="null3"/>
              <w:ind w:firstLine="480"/>
              <w:jc w:val="both"/>
            </w:pPr>
            <w:r>
              <w:rPr>
                <w:rFonts w:ascii="仿宋_GB2312" w:hAnsi="仿宋_GB2312" w:cs="仿宋_GB2312" w:eastAsia="仿宋_GB2312"/>
                <w:sz w:val="24"/>
              </w:rPr>
              <w:t>1、林地清理</w:t>
            </w:r>
          </w:p>
          <w:p>
            <w:pPr>
              <w:pStyle w:val="null3"/>
              <w:ind w:firstLine="480"/>
              <w:jc w:val="both"/>
            </w:pPr>
            <w:r>
              <w:rPr>
                <w:rFonts w:ascii="仿宋_GB2312" w:hAnsi="仿宋_GB2312" w:cs="仿宋_GB2312" w:eastAsia="仿宋_GB2312"/>
                <w:sz w:val="24"/>
              </w:rPr>
              <w:t>采用带状清理的方式，沿等高线清理栽植坑附近</w:t>
            </w:r>
            <w:r>
              <w:rPr>
                <w:rFonts w:ascii="仿宋_GB2312" w:hAnsi="仿宋_GB2312" w:cs="仿宋_GB2312" w:eastAsia="仿宋_GB2312"/>
                <w:sz w:val="24"/>
              </w:rPr>
              <w:t>1米内影响补植作业的石块、杂灌等。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、整地</w:t>
            </w:r>
          </w:p>
          <w:p>
            <w:pPr>
              <w:pStyle w:val="null3"/>
              <w:ind w:firstLine="480"/>
              <w:jc w:val="both"/>
            </w:pPr>
            <w:r>
              <w:rPr>
                <w:rFonts w:ascii="仿宋_GB2312" w:hAnsi="仿宋_GB2312" w:cs="仿宋_GB2312" w:eastAsia="仿宋_GB2312"/>
                <w:sz w:val="24"/>
              </w:rPr>
              <w:t>整地应遵照因地制宜的原则，以蓄水保土为目的。整地方式为穴状整地，规格为</w:t>
            </w:r>
            <w:r>
              <w:rPr>
                <w:rFonts w:ascii="仿宋_GB2312" w:hAnsi="仿宋_GB2312" w:cs="仿宋_GB2312" w:eastAsia="仿宋_GB2312"/>
                <w:sz w:val="24"/>
              </w:rPr>
              <w:t>40*40*30cm</w:t>
            </w:r>
            <w:r>
              <w:rPr>
                <w:rFonts w:ascii="仿宋_GB2312" w:hAnsi="仿宋_GB2312" w:cs="仿宋_GB2312" w:eastAsia="仿宋_GB2312"/>
                <w:sz w:val="24"/>
              </w:rPr>
              <w:t>。挖坑时应将表土和心土分开堆放，部分心土与表土混合均匀填入坑内，再将剩余心土覆盖其上，直至将坑穴填满。</w:t>
            </w:r>
          </w:p>
          <w:p>
            <w:pPr>
              <w:pStyle w:val="null3"/>
              <w:ind w:firstLine="480"/>
              <w:jc w:val="both"/>
            </w:pPr>
            <w:r>
              <w:rPr>
                <w:rFonts w:ascii="仿宋_GB2312" w:hAnsi="仿宋_GB2312" w:cs="仿宋_GB2312" w:eastAsia="仿宋_GB2312"/>
                <w:sz w:val="24"/>
              </w:rPr>
              <w:t>3、栽植</w:t>
            </w:r>
          </w:p>
          <w:p>
            <w:pPr>
              <w:pStyle w:val="null3"/>
              <w:ind w:firstLine="480"/>
              <w:jc w:val="both"/>
            </w:pPr>
            <w:r>
              <w:rPr>
                <w:rFonts w:ascii="仿宋_GB2312" w:hAnsi="仿宋_GB2312" w:cs="仿宋_GB2312" w:eastAsia="仿宋_GB2312"/>
                <w:sz w:val="24"/>
              </w:rPr>
              <w:t>栽植苗木为杯苗，卸苗时要注意一定要手拿营养钵轻拿轻放，不要摔到地上或用手提苗，以免土坨摔散或损伤根系。栽植时，用手托住营养土坨的上表面然后从杯内轻轻倒出带土坨的苗木放入种植穴中央。从杯内不易倒出时，可用剪刀轻轻把营养钵剪开，去掉营养钵后再栽植。栽植时注意不要把土坨弄散，避免伤根。回表土时，尽量捡净表土中的草根和石块。表土回填后，要注意沿着土坨的外周边踩实，营养土坨内不要踩，避免因挤压造成苗木根系受损。栽植后要及时浇水，待水浸后，覆</w:t>
            </w:r>
            <w:r>
              <w:rPr>
                <w:rFonts w:ascii="仿宋_GB2312" w:hAnsi="仿宋_GB2312" w:cs="仿宋_GB2312" w:eastAsia="仿宋_GB2312"/>
                <w:sz w:val="24"/>
              </w:rPr>
              <w:t>5cm</w:t>
            </w:r>
            <w:r>
              <w:rPr>
                <w:rFonts w:ascii="仿宋_GB2312" w:hAnsi="仿宋_GB2312" w:cs="仿宋_GB2312" w:eastAsia="仿宋_GB2312"/>
                <w:sz w:val="24"/>
              </w:rPr>
              <w:t>的表土以利保墒。</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、成活率调查与补植</w:t>
            </w:r>
          </w:p>
          <w:p>
            <w:pPr>
              <w:pStyle w:val="null3"/>
              <w:ind w:firstLine="480"/>
              <w:jc w:val="both"/>
            </w:pPr>
            <w:r>
              <w:rPr>
                <w:rFonts w:ascii="仿宋_GB2312" w:hAnsi="仿宋_GB2312" w:cs="仿宋_GB2312" w:eastAsia="仿宋_GB2312"/>
                <w:sz w:val="24"/>
              </w:rPr>
              <w:t>经过一个生长季节后进行成活率调查。调查方法是在当年所有补植小班内选设具有代表性的标准地，分别计算成活与死亡株数。调查结果分别按成活率</w:t>
            </w:r>
            <w:r>
              <w:rPr>
                <w:rFonts w:ascii="仿宋_GB2312" w:hAnsi="仿宋_GB2312" w:cs="仿宋_GB2312" w:eastAsia="仿宋_GB2312"/>
                <w:sz w:val="24"/>
              </w:rPr>
              <w:t>85%以上、41~84%、40%以下三级统计。成活率在40%以下的小班必须重新补植，成活率在41~84%的小班按补植密度及时进行补植。</w:t>
            </w:r>
          </w:p>
          <w:p>
            <w:pPr>
              <w:pStyle w:val="null3"/>
              <w:ind w:firstLine="480"/>
              <w:jc w:val="both"/>
            </w:pPr>
            <w:r>
              <w:rPr>
                <w:rFonts w:ascii="仿宋_GB2312" w:hAnsi="仿宋_GB2312" w:cs="仿宋_GB2312" w:eastAsia="仿宋_GB2312"/>
                <w:sz w:val="24"/>
              </w:rPr>
              <w:t>5、幼苗抚育</w:t>
            </w:r>
          </w:p>
          <w:p>
            <w:pPr>
              <w:pStyle w:val="null3"/>
              <w:ind w:firstLine="480"/>
              <w:jc w:val="both"/>
            </w:pPr>
            <w:r>
              <w:rPr>
                <w:rFonts w:ascii="仿宋_GB2312" w:hAnsi="仿宋_GB2312" w:cs="仿宋_GB2312" w:eastAsia="仿宋_GB2312"/>
                <w:sz w:val="24"/>
              </w:rPr>
              <w:t>幼苗抚育是指在补植后至郁闭前这一段时间里所进行的各种技术措施。通过松土、除草、扩穴等改善土壤理化性质，给幼苗幼树创造一个良好的生长环境。补植后</w:t>
            </w:r>
            <w:r>
              <w:rPr>
                <w:rFonts w:ascii="仿宋_GB2312" w:hAnsi="仿宋_GB2312" w:cs="仿宋_GB2312" w:eastAsia="仿宋_GB2312"/>
                <w:sz w:val="24"/>
              </w:rPr>
              <w:t>3年内进行幼苗抚育，抚育年次为3年5次，以2-2-1为序。第一年和第二年，每年进行2次抚育，抚育时间为春季和夏季；第三年进行1次抚育，抚育时间为夏季。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兔等林业有害生物要及时进行防治。</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1</w:t>
            </w:r>
            <w:r>
              <w:rPr>
                <w:rFonts w:ascii="仿宋_GB2312" w:hAnsi="仿宋_GB2312" w:cs="仿宋_GB2312" w:eastAsia="仿宋_GB2312"/>
                <w:sz w:val="21"/>
              </w:rPr>
              <w:t xml:space="preserve"> </w:t>
            </w:r>
            <w:r>
              <w:rPr>
                <w:rFonts w:ascii="仿宋_GB2312" w:hAnsi="仿宋_GB2312" w:cs="仿宋_GB2312" w:eastAsia="仿宋_GB2312"/>
                <w:sz w:val="24"/>
              </w:rPr>
              <w:t>苗木量</w:t>
            </w:r>
          </w:p>
          <w:tbl>
            <w:tblPr>
              <w:tblInd w:type="dxa" w:w="135"/>
              <w:tblBorders>
                <w:top w:val="none" w:color="000000" w:sz="4"/>
                <w:left w:val="none" w:color="000000" w:sz="4"/>
                <w:bottom w:val="none" w:color="000000" w:sz="4"/>
                <w:right w:val="none" w:color="000000" w:sz="4"/>
                <w:insideH w:val="none"/>
                <w:insideV w:val="none"/>
              </w:tblBorders>
            </w:tblPr>
            <w:tblGrid>
              <w:gridCol w:w="308"/>
              <w:gridCol w:w="586"/>
              <w:gridCol w:w="546"/>
              <w:gridCol w:w="542"/>
              <w:gridCol w:w="564"/>
            </w:tblGrid>
            <w:tr>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林班</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总计</w:t>
                  </w:r>
                </w:p>
              </w:tc>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漆树</w:t>
                  </w:r>
                </w:p>
              </w:tc>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rFonts w:ascii="仿宋_GB2312" w:hAnsi="仿宋_GB2312" w:cs="仿宋_GB2312" w:eastAsia="仿宋_GB2312"/>
                      <w:sz w:val="22"/>
                    </w:rPr>
                    <w:t>巴山松</w:t>
                  </w:r>
                </w:p>
              </w:tc>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云杉</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49</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15850</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0</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rFonts w:ascii="仿宋_GB2312" w:hAnsi="仿宋_GB2312" w:cs="仿宋_GB2312" w:eastAsia="仿宋_GB2312"/>
                      <w:sz w:val="22"/>
                    </w:rPr>
                    <w:t>4130</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11720</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61</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24475</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16250</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rFonts w:ascii="仿宋_GB2312" w:hAnsi="仿宋_GB2312" w:cs="仿宋_GB2312" w:eastAsia="仿宋_GB2312"/>
                      <w:sz w:val="22"/>
                    </w:rPr>
                    <w:t>0</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8225</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62</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30600</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30600</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rFonts w:ascii="仿宋_GB2312" w:hAnsi="仿宋_GB2312" w:cs="仿宋_GB2312" w:eastAsia="仿宋_GB2312"/>
                      <w:sz w:val="22"/>
                    </w:rPr>
                    <w:t>0</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0</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63</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54405</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22140</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rFonts w:ascii="仿宋_GB2312" w:hAnsi="仿宋_GB2312" w:cs="仿宋_GB2312" w:eastAsia="仿宋_GB2312"/>
                      <w:sz w:val="22"/>
                    </w:rPr>
                    <w:t>12960</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19305</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67</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rFonts w:ascii="仿宋_GB2312" w:hAnsi="仿宋_GB2312" w:cs="仿宋_GB2312" w:eastAsia="仿宋_GB2312"/>
                      <w:sz w:val="22"/>
                    </w:rPr>
                    <w:t>11900</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rFonts w:ascii="仿宋_GB2312" w:hAnsi="仿宋_GB2312" w:cs="仿宋_GB2312" w:eastAsia="仿宋_GB2312"/>
                      <w:sz w:val="22"/>
                    </w:rPr>
                    <w:t>0</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rFonts w:ascii="仿宋_GB2312" w:hAnsi="仿宋_GB2312" w:cs="仿宋_GB2312" w:eastAsia="仿宋_GB2312"/>
                      <w:sz w:val="22"/>
                    </w:rPr>
                    <w:t>6510</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rFonts w:ascii="仿宋_GB2312" w:hAnsi="仿宋_GB2312" w:cs="仿宋_GB2312" w:eastAsia="仿宋_GB2312"/>
                      <w:sz w:val="22"/>
                    </w:rPr>
                    <w:t>5390</w:t>
                  </w:r>
                </w:p>
              </w:tc>
            </w:tr>
          </w:tbl>
          <w:p>
            <w:pPr>
              <w:pStyle w:val="null3"/>
              <w:ind w:firstLine="480"/>
              <w:jc w:val="both"/>
            </w:pPr>
            <w:r>
              <w:rPr>
                <w:rFonts w:ascii="仿宋_GB2312" w:hAnsi="仿宋_GB2312" w:cs="仿宋_GB2312" w:eastAsia="仿宋_GB2312"/>
                <w:sz w:val="24"/>
              </w:rPr>
              <w:t>5.2 宣传牌</w:t>
            </w:r>
          </w:p>
          <w:p>
            <w:pPr>
              <w:pStyle w:val="null3"/>
              <w:ind w:firstLine="480"/>
              <w:jc w:val="both"/>
            </w:pPr>
            <w:r>
              <w:rPr>
                <w:rFonts w:ascii="仿宋_GB2312" w:hAnsi="仿宋_GB2312" w:cs="仿宋_GB2312" w:eastAsia="仿宋_GB2312"/>
                <w:sz w:val="24"/>
              </w:rPr>
              <w:t>设置</w:t>
            </w:r>
            <w:r>
              <w:rPr>
                <w:rFonts w:ascii="仿宋_GB2312" w:hAnsi="仿宋_GB2312" w:cs="仿宋_GB2312" w:eastAsia="仿宋_GB2312"/>
                <w:sz w:val="24"/>
              </w:rPr>
              <w:t>1个宣传牌。61林班2号小班（X：363342.90，Y：3621634.76）设置宣传牌1块。宣传牌规格为2000×1200mm热镀锌钢架+5年膜反光印刷。宣传牌上应标明建设项目名称、建设地点、建设规模、修复类型、修复措施、建设 期限、建设单位、施工单位、项目负责人、设计单位及监理单位等内容。</w:t>
            </w:r>
          </w:p>
          <w:p>
            <w:pPr>
              <w:pStyle w:val="null3"/>
              <w:ind w:firstLine="480"/>
              <w:jc w:val="both"/>
            </w:pPr>
            <w:r>
              <w:rPr>
                <w:rFonts w:ascii="仿宋_GB2312" w:hAnsi="仿宋_GB2312" w:cs="仿宋_GB2312" w:eastAsia="仿宋_GB2312"/>
                <w:sz w:val="24"/>
              </w:rPr>
              <w:t>具体样式详见下图。</w:t>
            </w:r>
          </w:p>
          <w:tbl>
            <w:tblPr>
              <w:tblInd w:type="dxa" w:w="150"/>
              <w:tblBorders>
                <w:top w:val="none" w:color="000000" w:sz="4"/>
                <w:left w:val="none" w:color="000000" w:sz="4"/>
                <w:bottom w:val="none" w:color="000000" w:sz="4"/>
                <w:right w:val="none" w:color="000000" w:sz="4"/>
                <w:insideH w:val="none"/>
                <w:insideV w:val="none"/>
              </w:tblBorders>
            </w:tblPr>
            <w:tblGrid>
              <w:gridCol w:w="2548"/>
            </w:tblGrid>
            <w:tr>
              <w:tc>
                <w:tcPr>
                  <w:tcW w:type="dxa" w:w="25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135" w:right="225"/>
                  </w:pPr>
                  <w:r>
                    <w:rPr>
                      <w:rFonts w:ascii="仿宋_GB2312" w:hAnsi="仿宋_GB2312" w:cs="仿宋_GB2312" w:eastAsia="仿宋_GB2312"/>
                      <w:sz w:val="24"/>
                    </w:rPr>
                    <w:t>陕西省汉中市南郑区</w:t>
                  </w:r>
                  <w:r>
                    <w:rPr>
                      <w:rFonts w:ascii="仿宋_GB2312" w:hAnsi="仿宋_GB2312" w:cs="仿宋_GB2312" w:eastAsia="仿宋_GB2312"/>
                    </w:rPr>
                    <w:t xml:space="preserve"> </w:t>
                  </w:r>
                  <w:r>
                    <w:rPr>
                      <w:rFonts w:ascii="仿宋_GB2312" w:hAnsi="仿宋_GB2312" w:cs="仿宋_GB2312" w:eastAsia="仿宋_GB2312"/>
                      <w:sz w:val="24"/>
                    </w:rPr>
                    <w:t>2026</w:t>
                  </w:r>
                  <w:r>
                    <w:rPr>
                      <w:rFonts w:ascii="仿宋_GB2312" w:hAnsi="仿宋_GB2312" w:cs="仿宋_GB2312" w:eastAsia="仿宋_GB2312"/>
                      <w:sz w:val="24"/>
                    </w:rPr>
                    <w:t>年大巴山北麓和汉江谷地水土保持与水源涵养项目</w:t>
                  </w:r>
                  <w:r>
                    <w:rPr>
                      <w:rFonts w:ascii="仿宋_GB2312" w:hAnsi="仿宋_GB2312" w:cs="仿宋_GB2312" w:eastAsia="仿宋_GB2312"/>
                      <w:sz w:val="24"/>
                    </w:rPr>
                    <w:t>（</w:t>
                  </w:r>
                  <w:r>
                    <w:rPr>
                      <w:rFonts w:ascii="仿宋_GB2312" w:hAnsi="仿宋_GB2312" w:cs="仿宋_GB2312" w:eastAsia="仿宋_GB2312"/>
                      <w:sz w:val="24"/>
                    </w:rPr>
                    <w:t>黎坪林场退化林修复</w:t>
                  </w:r>
                  <w:r>
                    <w:rPr>
                      <w:rFonts w:ascii="仿宋_GB2312" w:hAnsi="仿宋_GB2312" w:cs="仿宋_GB2312" w:eastAsia="仿宋_GB2312"/>
                      <w:sz w:val="24"/>
                    </w:rPr>
                    <w:t>）</w:t>
                  </w:r>
                </w:p>
                <w:p>
                  <w:pPr>
                    <w:pStyle w:val="null3"/>
                    <w:spacing w:before="120"/>
                    <w:ind w:right="225" w:firstLine="684"/>
                  </w:pPr>
                  <w:r>
                    <w:rPr>
                      <w:rFonts w:ascii="仿宋_GB2312" w:hAnsi="仿宋_GB2312" w:cs="仿宋_GB2312" w:eastAsia="仿宋_GB2312"/>
                      <w:sz w:val="24"/>
                    </w:rPr>
                    <w:t>建</w:t>
                  </w:r>
                  <w:r>
                    <w:rPr>
                      <w:rFonts w:ascii="仿宋_GB2312" w:hAnsi="仿宋_GB2312" w:cs="仿宋_GB2312" w:eastAsia="仿宋_GB2312"/>
                    </w:rPr>
                    <w:t xml:space="preserve"> </w:t>
                  </w:r>
                  <w:r>
                    <w:rPr>
                      <w:rFonts w:ascii="仿宋_GB2312" w:hAnsi="仿宋_GB2312" w:cs="仿宋_GB2312" w:eastAsia="仿宋_GB2312"/>
                      <w:sz w:val="24"/>
                    </w:rPr>
                    <w:t>设</w:t>
                  </w:r>
                  <w:r>
                    <w:rPr>
                      <w:rFonts w:ascii="仿宋_GB2312" w:hAnsi="仿宋_GB2312" w:cs="仿宋_GB2312" w:eastAsia="仿宋_GB2312"/>
                    </w:rPr>
                    <w:t xml:space="preserve"> </w:t>
                  </w:r>
                  <w:r>
                    <w:rPr>
                      <w:rFonts w:ascii="仿宋_GB2312" w:hAnsi="仿宋_GB2312" w:cs="仿宋_GB2312" w:eastAsia="仿宋_GB2312"/>
                      <w:sz w:val="24"/>
                    </w:rPr>
                    <w:t>地</w:t>
                  </w:r>
                  <w:r>
                    <w:rPr>
                      <w:rFonts w:ascii="仿宋_GB2312" w:hAnsi="仿宋_GB2312" w:cs="仿宋_GB2312" w:eastAsia="仿宋_GB2312"/>
                    </w:rPr>
                    <w:t xml:space="preserve"> </w:t>
                  </w:r>
                  <w:r>
                    <w:rPr>
                      <w:rFonts w:ascii="仿宋_GB2312" w:hAnsi="仿宋_GB2312" w:cs="仿宋_GB2312" w:eastAsia="仿宋_GB2312"/>
                      <w:sz w:val="24"/>
                    </w:rPr>
                    <w:t>点</w:t>
                  </w:r>
                  <w:r>
                    <w:rPr>
                      <w:rFonts w:ascii="仿宋_GB2312" w:hAnsi="仿宋_GB2312" w:cs="仿宋_GB2312" w:eastAsia="仿宋_GB2312"/>
                    </w:rPr>
                    <w:t xml:space="preserve"> </w:t>
                  </w:r>
                  <w:r>
                    <w:rPr>
                      <w:rFonts w:ascii="仿宋_GB2312" w:hAnsi="仿宋_GB2312" w:cs="仿宋_GB2312" w:eastAsia="仿宋_GB2312"/>
                      <w:sz w:val="24"/>
                    </w:rPr>
                    <w:t>：南郑区国有黎坪林场</w:t>
                  </w:r>
                </w:p>
                <w:p>
                  <w:pPr>
                    <w:pStyle w:val="null3"/>
                    <w:ind w:left="720"/>
                  </w:pPr>
                  <w:r>
                    <w:rPr>
                      <w:rFonts w:ascii="仿宋_GB2312" w:hAnsi="仿宋_GB2312" w:cs="仿宋_GB2312" w:eastAsia="仿宋_GB2312"/>
                      <w:sz w:val="24"/>
                    </w:rPr>
                    <w:t>建</w:t>
                  </w:r>
                  <w:r>
                    <w:rPr>
                      <w:rFonts w:ascii="仿宋_GB2312" w:hAnsi="仿宋_GB2312" w:cs="仿宋_GB2312" w:eastAsia="仿宋_GB2312"/>
                    </w:rPr>
                    <w:t xml:space="preserve"> </w:t>
                  </w:r>
                  <w:r>
                    <w:rPr>
                      <w:rFonts w:ascii="仿宋_GB2312" w:hAnsi="仿宋_GB2312" w:cs="仿宋_GB2312" w:eastAsia="仿宋_GB2312"/>
                      <w:sz w:val="24"/>
                    </w:rPr>
                    <w:t>设</w:t>
                  </w:r>
                  <w:r>
                    <w:rPr>
                      <w:rFonts w:ascii="仿宋_GB2312" w:hAnsi="仿宋_GB2312" w:cs="仿宋_GB2312" w:eastAsia="仿宋_GB2312"/>
                    </w:rPr>
                    <w:t xml:space="preserve"> </w:t>
                  </w:r>
                  <w:r>
                    <w:rPr>
                      <w:rFonts w:ascii="仿宋_GB2312" w:hAnsi="仿宋_GB2312" w:cs="仿宋_GB2312" w:eastAsia="仿宋_GB2312"/>
                      <w:sz w:val="24"/>
                    </w:rPr>
                    <w:t>面</w:t>
                  </w:r>
                  <w:r>
                    <w:rPr>
                      <w:rFonts w:ascii="仿宋_GB2312" w:hAnsi="仿宋_GB2312" w:cs="仿宋_GB2312" w:eastAsia="仿宋_GB2312"/>
                    </w:rPr>
                    <w:t xml:space="preserve"> </w:t>
                  </w:r>
                  <w:r>
                    <w:rPr>
                      <w:rFonts w:ascii="仿宋_GB2312" w:hAnsi="仿宋_GB2312" w:cs="仿宋_GB2312" w:eastAsia="仿宋_GB2312"/>
                      <w:sz w:val="24"/>
                    </w:rPr>
                    <w:t>积</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10000</w:t>
                  </w:r>
                  <w:r>
                    <w:rPr>
                      <w:rFonts w:ascii="仿宋_GB2312" w:hAnsi="仿宋_GB2312" w:cs="仿宋_GB2312" w:eastAsia="仿宋_GB2312"/>
                    </w:rPr>
                    <w:t xml:space="preserve"> </w:t>
                  </w:r>
                  <w:r>
                    <w:rPr>
                      <w:rFonts w:ascii="仿宋_GB2312" w:hAnsi="仿宋_GB2312" w:cs="仿宋_GB2312" w:eastAsia="仿宋_GB2312"/>
                      <w:sz w:val="24"/>
                    </w:rPr>
                    <w:t>亩</w:t>
                  </w:r>
                </w:p>
                <w:p>
                  <w:pPr>
                    <w:pStyle w:val="null3"/>
                    <w:spacing w:before="105"/>
                    <w:ind w:left="720"/>
                  </w:pPr>
                  <w:r>
                    <w:rPr>
                      <w:rFonts w:ascii="仿宋_GB2312" w:hAnsi="仿宋_GB2312" w:cs="仿宋_GB2312" w:eastAsia="仿宋_GB2312"/>
                      <w:sz w:val="24"/>
                    </w:rPr>
                    <w:t>修</w:t>
                  </w:r>
                  <w:r>
                    <w:rPr>
                      <w:rFonts w:ascii="仿宋_GB2312" w:hAnsi="仿宋_GB2312" w:cs="仿宋_GB2312" w:eastAsia="仿宋_GB2312"/>
                    </w:rPr>
                    <w:t xml:space="preserve"> </w:t>
                  </w:r>
                  <w:r>
                    <w:rPr>
                      <w:rFonts w:ascii="仿宋_GB2312" w:hAnsi="仿宋_GB2312" w:cs="仿宋_GB2312" w:eastAsia="仿宋_GB2312"/>
                      <w:sz w:val="24"/>
                    </w:rPr>
                    <w:t>复</w:t>
                  </w:r>
                  <w:r>
                    <w:rPr>
                      <w:rFonts w:ascii="仿宋_GB2312" w:hAnsi="仿宋_GB2312" w:cs="仿宋_GB2312" w:eastAsia="仿宋_GB2312"/>
                    </w:rPr>
                    <w:t xml:space="preserve"> </w:t>
                  </w:r>
                  <w:r>
                    <w:rPr>
                      <w:rFonts w:ascii="仿宋_GB2312" w:hAnsi="仿宋_GB2312" w:cs="仿宋_GB2312" w:eastAsia="仿宋_GB2312"/>
                      <w:sz w:val="24"/>
                    </w:rPr>
                    <w:t>措</w:t>
                  </w:r>
                  <w:r>
                    <w:rPr>
                      <w:rFonts w:ascii="仿宋_GB2312" w:hAnsi="仿宋_GB2312" w:cs="仿宋_GB2312" w:eastAsia="仿宋_GB2312"/>
                    </w:rPr>
                    <w:t xml:space="preserve"> </w:t>
                  </w:r>
                  <w:r>
                    <w:rPr>
                      <w:rFonts w:ascii="仿宋_GB2312" w:hAnsi="仿宋_GB2312" w:cs="仿宋_GB2312" w:eastAsia="仿宋_GB2312"/>
                      <w:sz w:val="24"/>
                    </w:rPr>
                    <w:t>施</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before="105"/>
                    <w:ind w:left="720"/>
                  </w:pPr>
                  <w:r>
                    <w:rPr>
                      <w:rFonts w:ascii="仿宋_GB2312" w:hAnsi="仿宋_GB2312" w:cs="仿宋_GB2312" w:eastAsia="仿宋_GB2312"/>
                      <w:sz w:val="24"/>
                    </w:rPr>
                    <w:t>建</w:t>
                  </w:r>
                  <w:r>
                    <w:rPr>
                      <w:rFonts w:ascii="仿宋_GB2312" w:hAnsi="仿宋_GB2312" w:cs="仿宋_GB2312" w:eastAsia="仿宋_GB2312"/>
                    </w:rPr>
                    <w:t xml:space="preserve"> </w:t>
                  </w:r>
                  <w:r>
                    <w:rPr>
                      <w:rFonts w:ascii="仿宋_GB2312" w:hAnsi="仿宋_GB2312" w:cs="仿宋_GB2312" w:eastAsia="仿宋_GB2312"/>
                      <w:sz w:val="24"/>
                    </w:rPr>
                    <w:t>设</w:t>
                  </w:r>
                  <w:r>
                    <w:rPr>
                      <w:rFonts w:ascii="仿宋_GB2312" w:hAnsi="仿宋_GB2312" w:cs="仿宋_GB2312" w:eastAsia="仿宋_GB2312"/>
                    </w:rPr>
                    <w:t xml:space="preserve"> </w:t>
                  </w:r>
                  <w:r>
                    <w:rPr>
                      <w:rFonts w:ascii="仿宋_GB2312" w:hAnsi="仿宋_GB2312" w:cs="仿宋_GB2312" w:eastAsia="仿宋_GB2312"/>
                      <w:sz w:val="24"/>
                    </w:rPr>
                    <w:t>期</w:t>
                  </w:r>
                  <w:r>
                    <w:rPr>
                      <w:rFonts w:ascii="仿宋_GB2312" w:hAnsi="仿宋_GB2312" w:cs="仿宋_GB2312" w:eastAsia="仿宋_GB2312"/>
                    </w:rPr>
                    <w:t xml:space="preserve"> </w:t>
                  </w:r>
                  <w:r>
                    <w:rPr>
                      <w:rFonts w:ascii="仿宋_GB2312" w:hAnsi="仿宋_GB2312" w:cs="仿宋_GB2312" w:eastAsia="仿宋_GB2312"/>
                      <w:sz w:val="24"/>
                    </w:rPr>
                    <w:t>限</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2026</w:t>
                  </w:r>
                  <w:r>
                    <w:rPr>
                      <w:rFonts w:ascii="仿宋_GB2312" w:hAnsi="仿宋_GB2312" w:cs="仿宋_GB2312" w:eastAsia="仿宋_GB2312"/>
                    </w:rPr>
                    <w:t xml:space="preserve"> </w:t>
                  </w:r>
                  <w:r>
                    <w:rPr>
                      <w:rFonts w:ascii="仿宋_GB2312" w:hAnsi="仿宋_GB2312" w:cs="仿宋_GB2312" w:eastAsia="仿宋_GB2312"/>
                      <w:sz w:val="24"/>
                    </w:rPr>
                    <w:t>年</w:t>
                  </w:r>
                  <w:r>
                    <w:rPr>
                      <w:rFonts w:ascii="仿宋_GB2312" w:hAnsi="仿宋_GB2312" w:cs="仿宋_GB2312" w:eastAsia="仿宋_GB2312"/>
                    </w:rPr>
                    <w:t xml:space="preserve">  </w:t>
                  </w:r>
                  <w:r>
                    <w:rPr>
                      <w:rFonts w:ascii="仿宋_GB2312" w:hAnsi="仿宋_GB2312" w:cs="仿宋_GB2312" w:eastAsia="仿宋_GB2312"/>
                      <w:sz w:val="24"/>
                    </w:rPr>
                    <w:t>8</w:t>
                  </w:r>
                  <w:r>
                    <w:rPr>
                      <w:rFonts w:ascii="仿宋_GB2312" w:hAnsi="仿宋_GB2312" w:cs="仿宋_GB2312" w:eastAsia="仿宋_GB2312"/>
                    </w:rPr>
                    <w:t xml:space="preserve"> </w:t>
                  </w:r>
                  <w:r>
                    <w:rPr>
                      <w:rFonts w:ascii="仿宋_GB2312" w:hAnsi="仿宋_GB2312" w:cs="仿宋_GB2312" w:eastAsia="仿宋_GB2312"/>
                      <w:sz w:val="24"/>
                    </w:rPr>
                    <w:t>月</w:t>
                  </w:r>
                  <w:r>
                    <w:rPr>
                      <w:rFonts w:ascii="仿宋_GB2312" w:hAnsi="仿宋_GB2312" w:cs="仿宋_GB2312" w:eastAsia="仿宋_GB2312"/>
                      <w:sz w:val="24"/>
                    </w:rPr>
                    <w:t>-2027</w:t>
                  </w:r>
                  <w:r>
                    <w:rPr>
                      <w:rFonts w:ascii="仿宋_GB2312" w:hAnsi="仿宋_GB2312" w:cs="仿宋_GB2312" w:eastAsia="仿宋_GB2312"/>
                    </w:rPr>
                    <w:t xml:space="preserve"> </w:t>
                  </w:r>
                  <w:r>
                    <w:rPr>
                      <w:rFonts w:ascii="仿宋_GB2312" w:hAnsi="仿宋_GB2312" w:cs="仿宋_GB2312" w:eastAsia="仿宋_GB2312"/>
                      <w:sz w:val="24"/>
                    </w:rPr>
                    <w:t>年</w:t>
                  </w:r>
                  <w:r>
                    <w:rPr>
                      <w:rFonts w:ascii="仿宋_GB2312" w:hAnsi="仿宋_GB2312" w:cs="仿宋_GB2312" w:eastAsia="仿宋_GB2312"/>
                    </w:rPr>
                    <w:t xml:space="preserve"> </w:t>
                  </w:r>
                  <w:r>
                    <w:rPr>
                      <w:rFonts w:ascii="仿宋_GB2312" w:hAnsi="仿宋_GB2312" w:cs="仿宋_GB2312" w:eastAsia="仿宋_GB2312"/>
                      <w:sz w:val="24"/>
                    </w:rPr>
                    <w:t>4</w:t>
                  </w:r>
                  <w:r>
                    <w:rPr>
                      <w:rFonts w:ascii="仿宋_GB2312" w:hAnsi="仿宋_GB2312" w:cs="仿宋_GB2312" w:eastAsia="仿宋_GB2312"/>
                    </w:rPr>
                    <w:t xml:space="preserve"> </w:t>
                  </w:r>
                  <w:r>
                    <w:rPr>
                      <w:rFonts w:ascii="仿宋_GB2312" w:hAnsi="仿宋_GB2312" w:cs="仿宋_GB2312" w:eastAsia="仿宋_GB2312"/>
                      <w:sz w:val="24"/>
                    </w:rPr>
                    <w:t>月</w:t>
                  </w:r>
                </w:p>
                <w:p>
                  <w:pPr>
                    <w:pStyle w:val="null3"/>
                    <w:spacing w:before="90"/>
                    <w:ind w:left="720"/>
                  </w:pPr>
                  <w:r>
                    <w:rPr>
                      <w:rFonts w:ascii="仿宋_GB2312" w:hAnsi="仿宋_GB2312" w:cs="仿宋_GB2312" w:eastAsia="仿宋_GB2312"/>
                      <w:sz w:val="24"/>
                    </w:rPr>
                    <w:t>建</w:t>
                  </w:r>
                  <w:r>
                    <w:rPr>
                      <w:rFonts w:ascii="仿宋_GB2312" w:hAnsi="仿宋_GB2312" w:cs="仿宋_GB2312" w:eastAsia="仿宋_GB2312"/>
                    </w:rPr>
                    <w:t xml:space="preserve"> </w:t>
                  </w:r>
                  <w:r>
                    <w:rPr>
                      <w:rFonts w:ascii="仿宋_GB2312" w:hAnsi="仿宋_GB2312" w:cs="仿宋_GB2312" w:eastAsia="仿宋_GB2312"/>
                      <w:sz w:val="24"/>
                    </w:rPr>
                    <w:t>设</w:t>
                  </w:r>
                  <w:r>
                    <w:rPr>
                      <w:rFonts w:ascii="仿宋_GB2312" w:hAnsi="仿宋_GB2312" w:cs="仿宋_GB2312" w:eastAsia="仿宋_GB2312"/>
                    </w:rPr>
                    <w:t xml:space="preserve"> </w:t>
                  </w:r>
                  <w:r>
                    <w:rPr>
                      <w:rFonts w:ascii="仿宋_GB2312" w:hAnsi="仿宋_GB2312" w:cs="仿宋_GB2312" w:eastAsia="仿宋_GB2312"/>
                      <w:sz w:val="24"/>
                    </w:rPr>
                    <w:t>单</w:t>
                  </w:r>
                  <w:r>
                    <w:rPr>
                      <w:rFonts w:ascii="仿宋_GB2312" w:hAnsi="仿宋_GB2312" w:cs="仿宋_GB2312" w:eastAsia="仿宋_GB2312"/>
                    </w:rPr>
                    <w:t xml:space="preserve"> </w:t>
                  </w:r>
                  <w:r>
                    <w:rPr>
                      <w:rFonts w:ascii="仿宋_GB2312" w:hAnsi="仿宋_GB2312" w:cs="仿宋_GB2312" w:eastAsia="仿宋_GB2312"/>
                      <w:sz w:val="24"/>
                    </w:rPr>
                    <w:t>位</w:t>
                  </w:r>
                  <w:r>
                    <w:rPr>
                      <w:rFonts w:ascii="仿宋_GB2312" w:hAnsi="仿宋_GB2312" w:cs="仿宋_GB2312" w:eastAsia="仿宋_GB2312"/>
                    </w:rPr>
                    <w:t xml:space="preserve"> </w:t>
                  </w:r>
                  <w:r>
                    <w:rPr>
                      <w:rFonts w:ascii="仿宋_GB2312" w:hAnsi="仿宋_GB2312" w:cs="仿宋_GB2312" w:eastAsia="仿宋_GB2312"/>
                      <w:sz w:val="24"/>
                    </w:rPr>
                    <w:t>：汉中市南郑区林业局</w:t>
                  </w:r>
                </w:p>
                <w:p>
                  <w:pPr>
                    <w:pStyle w:val="null3"/>
                    <w:spacing w:before="120"/>
                    <w:ind w:left="720"/>
                  </w:pPr>
                  <w:r>
                    <w:rPr>
                      <w:rFonts w:ascii="仿宋_GB2312" w:hAnsi="仿宋_GB2312" w:cs="仿宋_GB2312" w:eastAsia="仿宋_GB2312"/>
                      <w:sz w:val="24"/>
                    </w:rPr>
                    <w:t>施</w:t>
                  </w:r>
                  <w:r>
                    <w:rPr>
                      <w:rFonts w:ascii="仿宋_GB2312" w:hAnsi="仿宋_GB2312" w:cs="仿宋_GB2312" w:eastAsia="仿宋_GB2312"/>
                    </w:rPr>
                    <w:t xml:space="preserve"> </w:t>
                  </w:r>
                  <w:r>
                    <w:rPr>
                      <w:rFonts w:ascii="仿宋_GB2312" w:hAnsi="仿宋_GB2312" w:cs="仿宋_GB2312" w:eastAsia="仿宋_GB2312"/>
                      <w:sz w:val="24"/>
                    </w:rPr>
                    <w:t>工</w:t>
                  </w:r>
                  <w:r>
                    <w:rPr>
                      <w:rFonts w:ascii="仿宋_GB2312" w:hAnsi="仿宋_GB2312" w:cs="仿宋_GB2312" w:eastAsia="仿宋_GB2312"/>
                    </w:rPr>
                    <w:t xml:space="preserve"> </w:t>
                  </w:r>
                  <w:r>
                    <w:rPr>
                      <w:rFonts w:ascii="仿宋_GB2312" w:hAnsi="仿宋_GB2312" w:cs="仿宋_GB2312" w:eastAsia="仿宋_GB2312"/>
                      <w:sz w:val="24"/>
                    </w:rPr>
                    <w:t>单</w:t>
                  </w:r>
                  <w:r>
                    <w:rPr>
                      <w:rFonts w:ascii="仿宋_GB2312" w:hAnsi="仿宋_GB2312" w:cs="仿宋_GB2312" w:eastAsia="仿宋_GB2312"/>
                    </w:rPr>
                    <w:t xml:space="preserve"> </w:t>
                  </w:r>
                  <w:r>
                    <w:rPr>
                      <w:rFonts w:ascii="仿宋_GB2312" w:hAnsi="仿宋_GB2312" w:cs="仿宋_GB2312" w:eastAsia="仿宋_GB2312"/>
                      <w:sz w:val="24"/>
                    </w:rPr>
                    <w:t>位</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before="105"/>
                    <w:ind w:left="795"/>
                  </w:pPr>
                  <w:r>
                    <w:rPr>
                      <w:rFonts w:ascii="仿宋_GB2312" w:hAnsi="仿宋_GB2312" w:cs="仿宋_GB2312" w:eastAsia="仿宋_GB2312"/>
                      <w:sz w:val="24"/>
                    </w:rPr>
                    <w:t>项目负责人：</w:t>
                  </w:r>
                  <w:r>
                    <w:rPr>
                      <w:rFonts w:ascii="仿宋_GB2312" w:hAnsi="仿宋_GB2312" w:cs="仿宋_GB2312" w:eastAsia="仿宋_GB2312"/>
                      <w:sz w:val="24"/>
                    </w:rPr>
                    <w:t>××××</w:t>
                  </w:r>
                </w:p>
                <w:p>
                  <w:pPr>
                    <w:pStyle w:val="null3"/>
                    <w:spacing w:before="90"/>
                    <w:ind w:left="720"/>
                  </w:pPr>
                  <w:r>
                    <w:rPr>
                      <w:rFonts w:ascii="仿宋_GB2312" w:hAnsi="仿宋_GB2312" w:cs="仿宋_GB2312" w:eastAsia="仿宋_GB2312"/>
                      <w:sz w:val="24"/>
                    </w:rPr>
                    <w:t>设</w:t>
                  </w:r>
                  <w:r>
                    <w:rPr>
                      <w:rFonts w:ascii="仿宋_GB2312" w:hAnsi="仿宋_GB2312" w:cs="仿宋_GB2312" w:eastAsia="仿宋_GB2312"/>
                    </w:rPr>
                    <w:t xml:space="preserve"> </w:t>
                  </w:r>
                  <w:r>
                    <w:rPr>
                      <w:rFonts w:ascii="仿宋_GB2312" w:hAnsi="仿宋_GB2312" w:cs="仿宋_GB2312" w:eastAsia="仿宋_GB2312"/>
                      <w:sz w:val="24"/>
                    </w:rPr>
                    <w:t>计</w:t>
                  </w:r>
                  <w:r>
                    <w:rPr>
                      <w:rFonts w:ascii="仿宋_GB2312" w:hAnsi="仿宋_GB2312" w:cs="仿宋_GB2312" w:eastAsia="仿宋_GB2312"/>
                    </w:rPr>
                    <w:t xml:space="preserve"> </w:t>
                  </w:r>
                  <w:r>
                    <w:rPr>
                      <w:rFonts w:ascii="仿宋_GB2312" w:hAnsi="仿宋_GB2312" w:cs="仿宋_GB2312" w:eastAsia="仿宋_GB2312"/>
                      <w:sz w:val="24"/>
                    </w:rPr>
                    <w:t>单</w:t>
                  </w:r>
                  <w:r>
                    <w:rPr>
                      <w:rFonts w:ascii="仿宋_GB2312" w:hAnsi="仿宋_GB2312" w:cs="仿宋_GB2312" w:eastAsia="仿宋_GB2312"/>
                    </w:rPr>
                    <w:t xml:space="preserve"> </w:t>
                  </w:r>
                  <w:r>
                    <w:rPr>
                      <w:rFonts w:ascii="仿宋_GB2312" w:hAnsi="仿宋_GB2312" w:cs="仿宋_GB2312" w:eastAsia="仿宋_GB2312"/>
                      <w:sz w:val="24"/>
                    </w:rPr>
                    <w:t>位</w:t>
                  </w:r>
                  <w:r>
                    <w:rPr>
                      <w:rFonts w:ascii="仿宋_GB2312" w:hAnsi="仿宋_GB2312" w:cs="仿宋_GB2312" w:eastAsia="仿宋_GB2312"/>
                    </w:rPr>
                    <w:t xml:space="preserve"> </w:t>
                  </w:r>
                  <w:r>
                    <w:rPr>
                      <w:rFonts w:ascii="仿宋_GB2312" w:hAnsi="仿宋_GB2312" w:cs="仿宋_GB2312" w:eastAsia="仿宋_GB2312"/>
                      <w:sz w:val="24"/>
                    </w:rPr>
                    <w:t>：诺力泰国际建设集团有限公司</w:t>
                  </w:r>
                </w:p>
                <w:p>
                  <w:pPr>
                    <w:pStyle w:val="null3"/>
                    <w:spacing w:before="120"/>
                    <w:ind w:left="735"/>
                  </w:pPr>
                  <w:r>
                    <w:rPr>
                      <w:rFonts w:ascii="仿宋_GB2312" w:hAnsi="仿宋_GB2312" w:cs="仿宋_GB2312" w:eastAsia="仿宋_GB2312"/>
                      <w:sz w:val="24"/>
                    </w:rPr>
                    <w:t>监</w:t>
                  </w:r>
                  <w:r>
                    <w:rPr>
                      <w:rFonts w:ascii="仿宋_GB2312" w:hAnsi="仿宋_GB2312" w:cs="仿宋_GB2312" w:eastAsia="仿宋_GB2312"/>
                    </w:rPr>
                    <w:t xml:space="preserve"> </w:t>
                  </w:r>
                  <w:r>
                    <w:rPr>
                      <w:rFonts w:ascii="仿宋_GB2312" w:hAnsi="仿宋_GB2312" w:cs="仿宋_GB2312" w:eastAsia="仿宋_GB2312"/>
                      <w:sz w:val="24"/>
                    </w:rPr>
                    <w:t>理</w:t>
                  </w:r>
                  <w:r>
                    <w:rPr>
                      <w:rFonts w:ascii="仿宋_GB2312" w:hAnsi="仿宋_GB2312" w:cs="仿宋_GB2312" w:eastAsia="仿宋_GB2312"/>
                    </w:rPr>
                    <w:t xml:space="preserve"> </w:t>
                  </w:r>
                  <w:r>
                    <w:rPr>
                      <w:rFonts w:ascii="仿宋_GB2312" w:hAnsi="仿宋_GB2312" w:cs="仿宋_GB2312" w:eastAsia="仿宋_GB2312"/>
                      <w:sz w:val="24"/>
                    </w:rPr>
                    <w:t>单</w:t>
                  </w:r>
                  <w:r>
                    <w:rPr>
                      <w:rFonts w:ascii="仿宋_GB2312" w:hAnsi="仿宋_GB2312" w:cs="仿宋_GB2312" w:eastAsia="仿宋_GB2312"/>
                    </w:rPr>
                    <w:t xml:space="preserve"> </w:t>
                  </w:r>
                  <w:r>
                    <w:rPr>
                      <w:rFonts w:ascii="仿宋_GB2312" w:hAnsi="仿宋_GB2312" w:cs="仿宋_GB2312" w:eastAsia="仿宋_GB2312"/>
                      <w:sz w:val="24"/>
                    </w:rPr>
                    <w:t>位</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before="105"/>
                    <w:ind w:left="5745"/>
                  </w:pPr>
                  <w:r>
                    <w:rPr>
                      <w:rFonts w:ascii="仿宋_GB2312" w:hAnsi="仿宋_GB2312" w:cs="仿宋_GB2312" w:eastAsia="仿宋_GB2312"/>
                      <w:sz w:val="24"/>
                    </w:rPr>
                    <w:t>汉中市南郑区林业局</w:t>
                  </w:r>
                </w:p>
                <w:p>
                  <w:pPr>
                    <w:pStyle w:val="null3"/>
                    <w:spacing w:before="120"/>
                    <w:ind w:left="6000"/>
                  </w:pPr>
                  <w:r>
                    <w:rPr>
                      <w:rFonts w:ascii="仿宋_GB2312" w:hAnsi="仿宋_GB2312" w:cs="仿宋_GB2312" w:eastAsia="仿宋_GB2312"/>
                      <w:sz w:val="24"/>
                    </w:rPr>
                    <w:t>2026</w:t>
                  </w:r>
                  <w:r>
                    <w:rPr>
                      <w:rFonts w:ascii="仿宋_GB2312" w:hAnsi="仿宋_GB2312" w:cs="仿宋_GB2312" w:eastAsia="仿宋_GB2312"/>
                    </w:rPr>
                    <w:t xml:space="preserve"> </w:t>
                  </w:r>
                  <w:r>
                    <w:rPr>
                      <w:rFonts w:ascii="仿宋_GB2312" w:hAnsi="仿宋_GB2312" w:cs="仿宋_GB2312" w:eastAsia="仿宋_GB2312"/>
                      <w:sz w:val="24"/>
                    </w:rPr>
                    <w:t>年</w:t>
                  </w:r>
                  <w:r>
                    <w:rPr>
                      <w:rFonts w:ascii="仿宋_GB2312" w:hAnsi="仿宋_GB2312" w:cs="仿宋_GB2312" w:eastAsia="仿宋_GB2312"/>
                      <w:sz w:val="24"/>
                    </w:rPr>
                    <w:t>××</w:t>
                  </w:r>
                  <w:r>
                    <w:rPr>
                      <w:rFonts w:ascii="仿宋_GB2312" w:hAnsi="仿宋_GB2312" w:cs="仿宋_GB2312" w:eastAsia="仿宋_GB2312"/>
                      <w:sz w:val="24"/>
                    </w:rPr>
                    <w:t>月</w:t>
                  </w:r>
                </w:p>
              </w:tc>
            </w:tr>
          </w:tbl>
          <w:p>
            <w:pPr>
              <w:pStyle w:val="null3"/>
              <w:jc w:val="both"/>
            </w:pPr>
            <w:r>
              <w:rPr>
                <w:rFonts w:ascii="仿宋_GB2312" w:hAnsi="仿宋_GB2312" w:cs="仿宋_GB2312" w:eastAsia="仿宋_GB2312"/>
                <w:sz w:val="24"/>
              </w:rPr>
              <w:t>5.3其他要求：</w:t>
            </w:r>
          </w:p>
          <w:p>
            <w:pPr>
              <w:pStyle w:val="null3"/>
              <w:ind w:firstLine="480"/>
              <w:jc w:val="both"/>
            </w:pPr>
            <w:r>
              <w:rPr>
                <w:rFonts w:ascii="仿宋_GB2312" w:hAnsi="仿宋_GB2312" w:cs="仿宋_GB2312" w:eastAsia="仿宋_GB2312"/>
                <w:sz w:val="24"/>
              </w:rPr>
              <w:t>用工优先吸纳本标段项目区剩余劳动力提供灵活就业机会，须吸纳林区</w:t>
            </w:r>
            <w:r>
              <w:rPr>
                <w:rFonts w:ascii="仿宋_GB2312" w:hAnsi="仿宋_GB2312" w:cs="仿宋_GB2312" w:eastAsia="仿宋_GB2312"/>
                <w:sz w:val="24"/>
              </w:rPr>
              <w:t>60人参与项目建设，通过务工获取劳动报酬，确保林区社会和谐、健康、稳定发展，推进乡村振兴。</w:t>
            </w:r>
          </w:p>
          <w:p>
            <w:pPr>
              <w:pStyle w:val="null3"/>
              <w:ind w:firstLine="480"/>
              <w:jc w:val="both"/>
            </w:pPr>
            <w:r>
              <w:rPr>
                <w:rFonts w:ascii="仿宋_GB2312" w:hAnsi="仿宋_GB2312" w:cs="仿宋_GB2312" w:eastAsia="仿宋_GB2312"/>
                <w:sz w:val="24"/>
              </w:rPr>
              <w:t>四、主体工程建设期限为</w:t>
            </w:r>
            <w:r>
              <w:rPr>
                <w:rFonts w:ascii="仿宋_GB2312" w:hAnsi="仿宋_GB2312" w:cs="仿宋_GB2312" w:eastAsia="仿宋_GB2312"/>
                <w:sz w:val="24"/>
              </w:rPr>
              <w:t>4个月；幼苗抚育期限为2027年1月~2029年12月。</w:t>
            </w:r>
          </w:p>
          <w:p>
            <w:pPr>
              <w:pStyle w:val="null3"/>
              <w:ind w:firstLine="480"/>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详见评审办法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详见评审办法</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详见评审办法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详见评审办法</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主体工程建设期限为4个月；幼苗抚育期限为2027年1月~2029年12月。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主体工程建设期限为4个月；幼苗抚育期限为2027年1月~2029年12月。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项目所在地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项目所在地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施工质量、林地环境、技术资料均符合设计规范，经施工自检、林场初验、林业局现场抽样终验合格后，完成项目交付。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施工质量、林地环境、技术资料均符合设计规范，经施工自检、林场初验、林业局现场抽样终验合格后，完成项目交付。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进度款，项目开工后，达到付款条件起30个工作日内，支付合同总金额的30.0%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进度款，工程完成至工程量的80%，达到付款条件起30个工作日内，支付合同总金额的50.0%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进度款，项目验收合格后，达到付款条件起30个工作日内，支付合同总金额的20.0%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进度款，付款条件说明:项目开工后，达到付款条件起30个工作日内，支付合同总金额的30.0%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进度款，工程完成至工程量的80%，达到付款条件起30个工作日内，支付合同总金额的50.0%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进度款，项目验收合格后，达到付款条件起30个工作日内，支付合同总金额的20.0%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合同履行产生纠纷，双方优先协商；协商不成，向项目所在地人民法院提起诉讼。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合同履行产生纠纷，双方优先协商；协商不成，向项目所在地人民法院提起诉讼。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投标人认为需要提交的其他材料.docx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投标人认为需要提交的其他材料.docx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投标人主体资格要求</w:t>
            </w:r>
          </w:p>
        </w:tc>
        <w:tc>
          <w:tcPr>
            <w:tcW w:type="dxa" w:w="3322"/>
          </w:tcPr>
          <w:p>
            <w:pPr>
              <w:pStyle w:val="null3"/>
            </w:pPr>
            <w:r>
              <w:rPr>
                <w:rFonts w:ascii="仿宋_GB2312" w:hAnsi="仿宋_GB2312" w:cs="仿宋_GB2312" w:eastAsia="仿宋_GB2312"/>
              </w:rPr>
              <w:t>投标人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法定代表人授权书（附法定代表人身份证复印件）及被授权人身份证（法定代表人直接参加投标只需提供法定代表人身份证）；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投标人具有良好的商业信誉和健全的财务会计制度,具有履行合同所必需的设备和专业技术能力，具有依法缴纳税收和社会保障金的良好记录，参加本项目采购活动前三年内无重大违法活动记录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本项目不接受联合体投标，投标人应提供《非联合体声明》。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投标人主体资格要求</w:t>
            </w:r>
          </w:p>
        </w:tc>
        <w:tc>
          <w:tcPr>
            <w:tcW w:type="dxa" w:w="3322"/>
          </w:tcPr>
          <w:p>
            <w:pPr>
              <w:pStyle w:val="null3"/>
            </w:pPr>
            <w:r>
              <w:rPr>
                <w:rFonts w:ascii="仿宋_GB2312" w:hAnsi="仿宋_GB2312" w:cs="仿宋_GB2312" w:eastAsia="仿宋_GB2312"/>
              </w:rPr>
              <w:t>投标人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法定代表人授权书（附法定代表人身份证复印件）及被授权人身份证（法定代表人直接参加投标只需提供法定代表人身份证）；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投标人信誉要求</w:t>
            </w:r>
          </w:p>
        </w:tc>
        <w:tc>
          <w:tcPr>
            <w:tcW w:type="dxa" w:w="3322"/>
          </w:tcPr>
          <w:p>
            <w:pPr>
              <w:pStyle w:val="null3"/>
            </w:pPr>
            <w:r>
              <w:rPr>
                <w:rFonts w:ascii="仿宋_GB2312" w:hAnsi="仿宋_GB2312" w:cs="仿宋_GB2312" w:eastAsia="仿宋_GB2312"/>
              </w:rPr>
              <w:t>投标人具有良好的商业信誉和健全的财务会计制度,具有履行合同所必需的设备和专业技术能力，具有依法缴纳税收和社会保障金的良好记录，参加本项目采购活动前三年内无重大违法活动记录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本项目不接受联合体投标，投标人应提供《非联合体声明》。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参与的投标人（联合体）服务全部由符合政策要求的中小企业承接。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参与的投标人（联合体）服务全部由符合政策要求的中小企业承接。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中小企业声明函 残疾人福利性单位声明函 服务内容及服务要求应答表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投标人认为需要提交的其他材料.docx 商务应答表 服务内容及服务要求应答表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中小企业声明函 残疾人福利性单位声明函 服务内容及服务要求应答表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投标人认为需要提交的其他材料.docx 商务应答表 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针对本项目提供具体可行的服务方案，包括但不限于①抚育采伐方案；②补植苗木方案；③修枝 / 割灌 / 除草抚育方案；④退化林成效监测样地方案；⑤水源涵养宣传牌布设管护方案。 二、评审标准（10 分）各部分内容全面详细、阐述条理清晰详尽、符合本项目采购需求得满分，每有一个评审内容缺项扣 2 分，每有一项评审内容存在缺陷扣 1 分，扣完为止。 “缺陷” 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1.实施方案.docx</w:t>
            </w:r>
          </w:p>
        </w:tc>
      </w:tr>
      <w:tr>
        <w:tc>
          <w:tcPr>
            <w:tcW w:type="dxa" w:w="831"/>
            <w:vMerge/>
          </w:tcPr>
          <w:p/>
        </w:tc>
        <w:tc>
          <w:tcPr>
            <w:tcW w:type="dxa" w:w="1661"/>
          </w:tcPr>
          <w:p>
            <w:pPr>
              <w:pStyle w:val="null3"/>
            </w:pPr>
            <w:r>
              <w:rPr>
                <w:rFonts w:ascii="仿宋_GB2312" w:hAnsi="仿宋_GB2312" w:cs="仿宋_GB2312" w:eastAsia="仿宋_GB2312"/>
              </w:rPr>
              <w:t>作业前培训</w:t>
            </w:r>
          </w:p>
        </w:tc>
        <w:tc>
          <w:tcPr>
            <w:tcW w:type="dxa" w:w="2492"/>
          </w:tcPr>
          <w:p>
            <w:pPr>
              <w:pStyle w:val="null3"/>
            </w:pPr>
            <w:r>
              <w:rPr>
                <w:rFonts w:ascii="仿宋_GB2312" w:hAnsi="仿宋_GB2312" w:cs="仿宋_GB2312" w:eastAsia="仿宋_GB2312"/>
              </w:rPr>
              <w:t>一、评审内容：投标人针对本项目编制作业前培训，包括但不限于①科学作业培训；②防治重难点培训；③安全及应急培训。 二、评审标准：（6分）各部分内容全面详细、阐述条理清晰详尽、符合本项目采购需求得满分，每缺一项内容扣 2 分；每有一处内容存在缺陷，扣 1分，扣完为止。 “缺陷” 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2.作业前培训.docx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一、评审内容：投标人针对本项目服务质量保证措施，包括但不限于①质量控制方案；②质量保证措施方案。 二、评审标准：（6分）各部分内容全面详细、阐述条理清晰详尽、符合本项目采购需求得满分，每缺一项内容扣 3 分；每有一处内容存在缺陷，扣 1.5 分，扣完为止。 “缺陷” 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3.服务质量保证措施.docx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一、评审内容：投标人针对本项目进度保障措施，包括但不限于①项目分林班进度计划；②进度保证措施。 二、评审标准：（6分） 各部分内容全面详细、阐述条理清晰详尽、符合本项目采购需求得满分，每缺一项内容扣 3 分；每有一处内容存在缺陷，扣 1.5 分，扣完为止。 “缺陷” 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4.进度保障措施.docx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一、评审内容：投标人针对本项目提供的安全保障措施，包含但不限于①森林防火措施；②野外作业安全保障措施；③山地滑坡、水土污染防控措施。 二、评审标准：（6 分）以上内容切合本项目实际情况及实施要求，内容与要点相符、每个要点均有展开详细的阐述且能够适用于本项目的计满分。评审内容任意一项缺项2分，扣完为止； “缺陷” 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5.安全保障措施.docx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一、评审内容：投标人针对本项目提供的应急保障措施，包含但不限于①暴雨、冰冻灾害等突发性恶劣天气影响应急预案；②重大接待、检查任务应急预案；③重点植物关注措施及异常植物处置措施等。 二、评审标准：（6分）以上内容切合本项目实际情况及实施要求，内容与要点相符、每个要点均有展开详细的阐述且能够适用于本项目。评审内容任意一项缺项扣2分，扣完为止；评审内容任意一项有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6.应急措施.docx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一、评审内容：供投标人针对本项目提供完整的项目内部管理制度体系，包含但不限于①养护资料档案管理制度；②人员管理制度（员工日常管理、考勤管理）；③服务自检制度；④安全生产管理制度。 二、评审标准：（4分） 本项为客观评审项，仅核查管理制度文件完整性、规范性。每提供1项完整、规范、加盖公章的管理制度得 1 分，四项全部提供得得 4 分，缺项、内容空白或未盖章的该项不得对应分值，未提供整套管理制度的本项得0分。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7.内部管理制度.docx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一、评审内容：投标人针对本项目服务承诺，包括但不限于①售后服务方案（竣工技术交底、养护上门指导、设备维修响应）、②售后服务流程（报修渠道、问题分级处理、满意度回访）。 二、评审标准：（5 分）各部分内容全面详细、阐述条理清晰详尽、符合本项目采购需求得满分，每缺一项内容扣 2.5 分；每有一处内容存在缺陷，扣 1 分，扣完为止。 “缺陷” 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8.服务承诺.docx</w:t>
            </w:r>
          </w:p>
        </w:tc>
      </w:tr>
      <w:tr>
        <w:tc>
          <w:tcPr>
            <w:tcW w:type="dxa" w:w="831"/>
            <w:vMerge/>
          </w:tcPr>
          <w:p/>
        </w:tc>
        <w:tc>
          <w:tcPr>
            <w:tcW w:type="dxa" w:w="1661"/>
          </w:tcPr>
          <w:p>
            <w:pPr>
              <w:pStyle w:val="null3"/>
            </w:pPr>
            <w:r>
              <w:rPr>
                <w:rFonts w:ascii="仿宋_GB2312" w:hAnsi="仿宋_GB2312" w:cs="仿宋_GB2312" w:eastAsia="仿宋_GB2312"/>
              </w:rPr>
              <w:t>拟投入的专业设备</w:t>
            </w:r>
          </w:p>
        </w:tc>
        <w:tc>
          <w:tcPr>
            <w:tcW w:type="dxa" w:w="2492"/>
          </w:tcPr>
          <w:p>
            <w:pPr>
              <w:pStyle w:val="null3"/>
            </w:pPr>
            <w:r>
              <w:rPr>
                <w:rFonts w:ascii="仿宋_GB2312" w:hAnsi="仿宋_GB2312" w:cs="仿宋_GB2312" w:eastAsia="仿宋_GB2312"/>
              </w:rPr>
              <w:t>一、评审内容：投标人针对本项目拟投入的专业设备：包括但不限于①采伐类（如油锯、割灌机等）；②运输类（如自卸车、小型农用车等）；③养护类（如施肥机）；④安全类（如安全帽、安全绳、便携式灭火机等）。 二、评审标准：（9分）投标人须提供完整的拟投入设备清单，列明设备名称、规格型号、数量，并配套提供设备佐证材料（自有设备提供购置发票/设备台账，租赁设备提供租赁协议），按项客观计分。 1、完整提供采伐类、运输类、养护类、安全类4大类设备，品类齐全、参数详实且提供有效佐证材料，完全匹配本项目作业需求，得9分； 2、完整提供4大类设备，品类齐全、参数详实，但未提供设备佐证材料，得6分； 3、缺少任意1类设备，或设备参数简单罗列、未结合项目作业需求配置，得3分； 4、缺少2类及以上设备、设备配置与项目严重不匹配或未提供设备清单的，得0分。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9.拟投入的专业设备.docx</w:t>
            </w:r>
          </w:p>
        </w:tc>
      </w:tr>
      <w:tr>
        <w:tc>
          <w:tcPr>
            <w:tcW w:type="dxa" w:w="831"/>
            <w:vMerge/>
          </w:tcPr>
          <w:p/>
        </w:tc>
        <w:tc>
          <w:tcPr>
            <w:tcW w:type="dxa" w:w="1661"/>
          </w:tcPr>
          <w:p>
            <w:pPr>
              <w:pStyle w:val="null3"/>
            </w:pPr>
            <w:r>
              <w:rPr>
                <w:rFonts w:ascii="仿宋_GB2312" w:hAnsi="仿宋_GB2312" w:cs="仿宋_GB2312" w:eastAsia="仿宋_GB2312"/>
              </w:rPr>
              <w:t>主要人员配备</w:t>
            </w:r>
          </w:p>
        </w:tc>
        <w:tc>
          <w:tcPr>
            <w:tcW w:type="dxa" w:w="2492"/>
          </w:tcPr>
          <w:p>
            <w:pPr>
              <w:pStyle w:val="null3"/>
            </w:pPr>
            <w:r>
              <w:rPr>
                <w:rFonts w:ascii="仿宋_GB2312" w:hAnsi="仿宋_GB2312" w:cs="仿宋_GB2312" w:eastAsia="仿宋_GB2312"/>
              </w:rPr>
              <w:t>1、项目负责人职称（3 分）拟派项目负责人具备林业相关专业高级工程师及以上职称证书，并提供劳动关系证明材料（聘用合同或社保缴纳证明）的得 3 分；具备林业相关专业中级工程师职称证书，并提供劳动关系证明材料的得 2 分；不符合上述条件不得分。 2、项目负责人同类业绩（4 分）项目负责人每提供 1 项 2023 年 1 月 1 日以来有效同类林业项目业绩得 2 分，本项累计最高得 4 分。业绩以供应商加盖公章的合同或中标通知书扫描件为准。 3、专业技术人员配置（3 分）除项目负责人外，为本项目在岗配置林业相关专业中级及以上职称专职技术人员，每提供 1 名人员的有效职称证书及劳动关系证明材料得 1 分，本项累计最高得 3 分。 4、人员稳定服务承诺（2 分）供应商提供加盖公章的《项目管理人员不更换承诺书》，承诺施工期间不擅自更换项目部主要管理人员的得 2 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10.主要人员配备.docx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提供2023年1月1日至今完成的同类林业项目业绩(以合同签订时间为准)，每提供1个得2.5分，最高5分(业绩以合同和中标通知书加盖公章的扫描件为准)。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11.类似业绩.docx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一、评审内容：投标人针对本项目特点提供切实可行的农民工工资足额按时发放承诺、优先聘用林地周边本地村民承诺、林地生态保护及作业降噪防尘承诺、工期保证承诺、项目售后响应保障承诺承诺，保证按时按质按量完成本项目。 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12.其他承诺.docx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3、投标人报价得分=（评审基准价/报价）×20 4、本项目专门面向中小企业，故不在执行优惠政策。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针对本项目提供具体可行的服务方案，包括但不限于①抚育采伐方案；②补植苗木方案；③修枝 / 割灌 / 除草抚育方案；④退化林成效监测样地方案；⑤水源涵养宣传牌布设管护方案。 二、评审标准（10 分）各部分内容全面详细、阐述条理清晰详尽、符合本项目采购需求得满分，每有一个评审内容缺项扣 2 分，每有一项评审内容存在缺陷扣 1 分，扣完为止。 “缺陷” 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1.实施方案.docx</w:t>
            </w:r>
          </w:p>
        </w:tc>
      </w:tr>
      <w:tr>
        <w:tc>
          <w:tcPr>
            <w:tcW w:type="dxa" w:w="831"/>
            <w:vMerge/>
          </w:tcPr>
          <w:p/>
        </w:tc>
        <w:tc>
          <w:tcPr>
            <w:tcW w:type="dxa" w:w="1661"/>
          </w:tcPr>
          <w:p>
            <w:pPr>
              <w:pStyle w:val="null3"/>
            </w:pPr>
            <w:r>
              <w:rPr>
                <w:rFonts w:ascii="仿宋_GB2312" w:hAnsi="仿宋_GB2312" w:cs="仿宋_GB2312" w:eastAsia="仿宋_GB2312"/>
              </w:rPr>
              <w:t>作业前培训</w:t>
            </w:r>
          </w:p>
        </w:tc>
        <w:tc>
          <w:tcPr>
            <w:tcW w:type="dxa" w:w="2492"/>
          </w:tcPr>
          <w:p>
            <w:pPr>
              <w:pStyle w:val="null3"/>
            </w:pPr>
            <w:r>
              <w:rPr>
                <w:rFonts w:ascii="仿宋_GB2312" w:hAnsi="仿宋_GB2312" w:cs="仿宋_GB2312" w:eastAsia="仿宋_GB2312"/>
              </w:rPr>
              <w:t>一、评审内容：投标人针对本项目编制作业前培训，包括但不限于①科学作业培训；②防治重难点培训；③安全及应急培训。 二、评审标准：（6分）各部分内容全面详细、阐述条理清晰详尽、符合本项目采购需求得满分，每缺一项内容扣 2 分；每有一处内容存在缺陷，扣 1分，扣完为止。 “缺陷” 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2.作业前培训.docx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一、评审内容：投标人针对本项目服务质量保证措施，包括但不限于①质量控制方案；②质量保证措施方案。 二、评审标准：（6分）各部分内容全面详细、阐述条理清晰详尽、符合本项目采购需求得满分，每缺一项内容扣 3 分；每有一处内容存在缺陷，扣 1.5 分，扣完为止。 “缺陷” 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3.服务质量保证措施.docx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一、评审内容：投标人针对本项目进度保障措施，包括但不限于①项目分林班进度计划；②进度保证措施。 二、评审标准：（6分） 各部分内容全面详细、阐述条理清晰详尽、符合本项目采购需求得满分，每缺一项内容扣 3 分；每有一处内容存在缺陷，扣 1.5 分，扣完为止。 “缺陷” 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4.进度保障措施.docx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一、评审内容：投标人针对本项目提供的安全保障措施，包含但不限于①森林防火措施；②野外作业安全保障措施；③山地滑坡、水土污染防控措施。 二、评审标准：（6 分）以上内容切合本项目实际情况及实施要求，内容与要点相符、每个要点均有展开详细的阐述且能够适用于本项目的计满分。评审内容任意一项缺项2分，扣完为止； “缺陷” 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5.安全保障措施.docx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一、评审内容：投标人针对本项目提供的应急保障措施，包含但不限于①暴雨、冰冻灾害等突发性恶劣天气影响应急预案；②重大接待、检查任务应急预案；③重点植物关注措施及异常植物处置措施等。 二、评审标准：（6分）以上内容切合本项目实际情况及实施要求，内容与要点相符、每个要点均有展开详细的阐述且能够适用于本项目。评审内容任意一项缺项扣2分，扣完为止；评审内容任意一项有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6.应急措施.docx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一、评审内容：投标人针对本项目提供完整的项目内部管理制度体系，包含但不限于①养护资料档案管理制度；②人员管理制度（员工日常管理、考勤管理）；③服务自检制度；④安全生产管理制度。 二、评审标准：（4分） 本项为客观评审项，仅核查管理制度文件完整性、规范性。每提供1项完整、规范、加盖公章的管理制度得 1 分，四项全部提供得得 4 分，缺项、内容空白或未盖章的该项不得对应分值，未提供整套管理制度的本项得0分。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7.内部管理制度.docx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一、评审内容：投标人针对本项目服务承诺，包括但不限于①售后服务方案（竣工技术交底、养护上门指导、设备维修响应）、②售后服务流程（报修渠道、问题分级处理、满意度回访）。 二、评审标准：（5 分）各部分内容全面详细、阐述条理清晰详尽、符合本项目采购需求得满分，每缺一项内容扣 2.5 分；每有一处内容存在缺陷，扣 1 分，扣完为止。 “缺陷” 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8.服务承诺.docx</w:t>
            </w:r>
          </w:p>
        </w:tc>
      </w:tr>
      <w:tr>
        <w:tc>
          <w:tcPr>
            <w:tcW w:type="dxa" w:w="831"/>
            <w:vMerge/>
          </w:tcPr>
          <w:p/>
        </w:tc>
        <w:tc>
          <w:tcPr>
            <w:tcW w:type="dxa" w:w="1661"/>
          </w:tcPr>
          <w:p>
            <w:pPr>
              <w:pStyle w:val="null3"/>
            </w:pPr>
            <w:r>
              <w:rPr>
                <w:rFonts w:ascii="仿宋_GB2312" w:hAnsi="仿宋_GB2312" w:cs="仿宋_GB2312" w:eastAsia="仿宋_GB2312"/>
              </w:rPr>
              <w:t>拟投入的专业设备</w:t>
            </w:r>
          </w:p>
        </w:tc>
        <w:tc>
          <w:tcPr>
            <w:tcW w:type="dxa" w:w="2492"/>
          </w:tcPr>
          <w:p>
            <w:pPr>
              <w:pStyle w:val="null3"/>
            </w:pPr>
            <w:r>
              <w:rPr>
                <w:rFonts w:ascii="仿宋_GB2312" w:hAnsi="仿宋_GB2312" w:cs="仿宋_GB2312" w:eastAsia="仿宋_GB2312"/>
              </w:rPr>
              <w:t>一、评审内容：投标人针对本项目拟投入的专业设备：包括但不限于①采伐类（如油锯、割灌机等）；②运输类（如自卸车、小型农用车等）；③养护类（如施肥机）；④安全类（如安全帽、安全绳、便携式灭火机等）。 二、评审标准：（9分）投标人须提供完整的拟投入设备清单，列明设备名称、规格型号、数量，并配套提供设备佐证材料（自有设备提供购置发票/设备台账，租赁设备提供租赁协议），按项客观计分。 1、完整提供采伐类、运输类、养护类、安全类4大类设备，品类齐全、参数详实且提供有效佐证材料，完全匹配本项目作业需求，得9分； 2、完整提供4大类设备，品类齐全、参数详实，但未提供设备佐证材料，得6分； 3、缺少任意1类设备，或设备参数简单罗列、未结合项目作业需求配置，得3分； 4、缺少2类及以上设备、设备配置与项目严重不匹配或未提供设备清单的，得0分。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9.拟投入的专业设备.docx</w:t>
            </w:r>
          </w:p>
        </w:tc>
      </w:tr>
      <w:tr>
        <w:tc>
          <w:tcPr>
            <w:tcW w:type="dxa" w:w="831"/>
            <w:vMerge/>
          </w:tcPr>
          <w:p/>
        </w:tc>
        <w:tc>
          <w:tcPr>
            <w:tcW w:type="dxa" w:w="1661"/>
          </w:tcPr>
          <w:p>
            <w:pPr>
              <w:pStyle w:val="null3"/>
            </w:pPr>
            <w:r>
              <w:rPr>
                <w:rFonts w:ascii="仿宋_GB2312" w:hAnsi="仿宋_GB2312" w:cs="仿宋_GB2312" w:eastAsia="仿宋_GB2312"/>
              </w:rPr>
              <w:t>主要人员配备</w:t>
            </w:r>
          </w:p>
        </w:tc>
        <w:tc>
          <w:tcPr>
            <w:tcW w:type="dxa" w:w="2492"/>
          </w:tcPr>
          <w:p>
            <w:pPr>
              <w:pStyle w:val="null3"/>
            </w:pPr>
            <w:r>
              <w:rPr>
                <w:rFonts w:ascii="仿宋_GB2312" w:hAnsi="仿宋_GB2312" w:cs="仿宋_GB2312" w:eastAsia="仿宋_GB2312"/>
              </w:rPr>
              <w:t>1、项目负责人职称（3 分）拟派项目负责人具备林业相关专业高级工程师及以上职称证书，并提供劳动关系证明材料（聘用合同或社保缴纳证明）的得 3 分；具备林业相关专业中级工程师职称证书，并提供劳动关系证明材料的得 2 分；不符合上述条件不得分。 2、项目负责人同类业绩（4 分）项目负责人每提供 1 项 2023 年 1 月 1 日以来有效同类林业项目业绩得 2 分，本项累计最高得 4 分。业绩以供应商加盖公章的合同或中标通知书扫描件为准。 3、专业技术人员配置（3 分）除项目负责人外，为本项目在岗配置林业相关专业中级及以上职称专职技术人员，每提供 1 名人员的有效职称证书及劳动关系证明材料得 1 分，本项累计最高得 3 分。 4、人员稳定服务承诺（2 分）供应商提供加盖公章的《项目管理人员不更换承诺书》，承诺施工期间不擅自更换项目部主要管理人员的得 2 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10.主要人员配备.docx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提供2023年1月1日至今完成的同类林业项目业绩(以合同签订时间为准)，每提供1个得2.5分，最高5分(业绩以合同和中标通知书加盖公章的扫描件为准)。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11.类似业绩.docx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一、评审内容：投标人针对本项目特点提供切实可行的农民工工资足额按时发放承诺、优先聘用林地周边本地村民承诺、林地生态保护及作业降噪防尘承诺、工期保证承诺、项目售后响应保障承诺承诺，保证按时按质按量完成本项目。 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12.其他承诺.docx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3、投标人报价得分=（评审基准价/报价）×20 4、本项目专门面向中小企业，故不在执行优惠政策。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详见附件：投标人认为需要提交的其他材料.docx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详见附件：1.实施方案.docx</w:t>
      </w:r>
    </w:p>
    <w:p>
      <w:pPr>
        <w:pStyle w:val="null3"/>
        <w:ind w:firstLine="960"/>
      </w:pPr>
      <w:r>
        <w:rPr>
          <w:rFonts w:ascii="仿宋_GB2312" w:hAnsi="仿宋_GB2312" w:cs="仿宋_GB2312" w:eastAsia="仿宋_GB2312"/>
        </w:rPr>
        <w:t>详见附件：2.作业前培训.docx</w:t>
      </w:r>
    </w:p>
    <w:p>
      <w:pPr>
        <w:pStyle w:val="null3"/>
        <w:ind w:firstLine="960"/>
      </w:pPr>
      <w:r>
        <w:rPr>
          <w:rFonts w:ascii="仿宋_GB2312" w:hAnsi="仿宋_GB2312" w:cs="仿宋_GB2312" w:eastAsia="仿宋_GB2312"/>
        </w:rPr>
        <w:t>详见附件：3.服务质量保证措施.docx</w:t>
      </w:r>
    </w:p>
    <w:p>
      <w:pPr>
        <w:pStyle w:val="null3"/>
        <w:ind w:firstLine="960"/>
      </w:pPr>
      <w:r>
        <w:rPr>
          <w:rFonts w:ascii="仿宋_GB2312" w:hAnsi="仿宋_GB2312" w:cs="仿宋_GB2312" w:eastAsia="仿宋_GB2312"/>
        </w:rPr>
        <w:t>详见附件：4.进度保障措施.docx</w:t>
      </w:r>
    </w:p>
    <w:p>
      <w:pPr>
        <w:pStyle w:val="null3"/>
        <w:ind w:firstLine="960"/>
      </w:pPr>
      <w:r>
        <w:rPr>
          <w:rFonts w:ascii="仿宋_GB2312" w:hAnsi="仿宋_GB2312" w:cs="仿宋_GB2312" w:eastAsia="仿宋_GB2312"/>
        </w:rPr>
        <w:t>详见附件：5.安全保障措施.docx</w:t>
      </w:r>
    </w:p>
    <w:p>
      <w:pPr>
        <w:pStyle w:val="null3"/>
        <w:ind w:firstLine="960"/>
      </w:pPr>
      <w:r>
        <w:rPr>
          <w:rFonts w:ascii="仿宋_GB2312" w:hAnsi="仿宋_GB2312" w:cs="仿宋_GB2312" w:eastAsia="仿宋_GB2312"/>
        </w:rPr>
        <w:t>详见附件：6.应急措施.docx</w:t>
      </w:r>
    </w:p>
    <w:p>
      <w:pPr>
        <w:pStyle w:val="null3"/>
        <w:ind w:firstLine="960"/>
      </w:pPr>
      <w:r>
        <w:rPr>
          <w:rFonts w:ascii="仿宋_GB2312" w:hAnsi="仿宋_GB2312" w:cs="仿宋_GB2312" w:eastAsia="仿宋_GB2312"/>
        </w:rPr>
        <w:t>详见附件：7.内部管理制度.docx</w:t>
      </w:r>
    </w:p>
    <w:p>
      <w:pPr>
        <w:pStyle w:val="null3"/>
        <w:ind w:firstLine="960"/>
      </w:pPr>
      <w:r>
        <w:rPr>
          <w:rFonts w:ascii="仿宋_GB2312" w:hAnsi="仿宋_GB2312" w:cs="仿宋_GB2312" w:eastAsia="仿宋_GB2312"/>
        </w:rPr>
        <w:t>详见附件：8.服务承诺.docx</w:t>
      </w:r>
    </w:p>
    <w:p>
      <w:pPr>
        <w:pStyle w:val="null3"/>
        <w:ind w:firstLine="960"/>
      </w:pPr>
      <w:r>
        <w:rPr>
          <w:rFonts w:ascii="仿宋_GB2312" w:hAnsi="仿宋_GB2312" w:cs="仿宋_GB2312" w:eastAsia="仿宋_GB2312"/>
        </w:rPr>
        <w:t>详见附件：9.拟投入的专业设备.docx</w:t>
      </w:r>
    </w:p>
    <w:p>
      <w:pPr>
        <w:pStyle w:val="null3"/>
        <w:ind w:firstLine="960"/>
      </w:pPr>
      <w:r>
        <w:rPr>
          <w:rFonts w:ascii="仿宋_GB2312" w:hAnsi="仿宋_GB2312" w:cs="仿宋_GB2312" w:eastAsia="仿宋_GB2312"/>
        </w:rPr>
        <w:t>详见附件：10.主要人员配备.docx</w:t>
      </w:r>
    </w:p>
    <w:p>
      <w:pPr>
        <w:pStyle w:val="null3"/>
        <w:ind w:firstLine="960"/>
      </w:pPr>
      <w:r>
        <w:rPr>
          <w:rFonts w:ascii="仿宋_GB2312" w:hAnsi="仿宋_GB2312" w:cs="仿宋_GB2312" w:eastAsia="仿宋_GB2312"/>
        </w:rPr>
        <w:t>详见附件：11.类似业绩.docx</w:t>
      </w:r>
    </w:p>
    <w:p>
      <w:pPr>
        <w:pStyle w:val="null3"/>
        <w:ind w:firstLine="960"/>
      </w:pPr>
      <w:r>
        <w:rPr>
          <w:rFonts w:ascii="仿宋_GB2312" w:hAnsi="仿宋_GB2312" w:cs="仿宋_GB2312" w:eastAsia="仿宋_GB2312"/>
        </w:rPr>
        <w:t>详见附件：12.其他承诺.docx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详见附件：投标人认为需要提交的其他材料.docx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详见附件：1.实施方案.docx</w:t>
      </w:r>
    </w:p>
    <w:p>
      <w:pPr>
        <w:pStyle w:val="null3"/>
        <w:ind w:firstLine="960"/>
      </w:pPr>
      <w:r>
        <w:rPr>
          <w:rFonts w:ascii="仿宋_GB2312" w:hAnsi="仿宋_GB2312" w:cs="仿宋_GB2312" w:eastAsia="仿宋_GB2312"/>
        </w:rPr>
        <w:t>详见附件：2.作业前培训.docx</w:t>
      </w:r>
    </w:p>
    <w:p>
      <w:pPr>
        <w:pStyle w:val="null3"/>
        <w:ind w:firstLine="960"/>
      </w:pPr>
      <w:r>
        <w:rPr>
          <w:rFonts w:ascii="仿宋_GB2312" w:hAnsi="仿宋_GB2312" w:cs="仿宋_GB2312" w:eastAsia="仿宋_GB2312"/>
        </w:rPr>
        <w:t>详见附件：3.服务质量保证措施.docx</w:t>
      </w:r>
    </w:p>
    <w:p>
      <w:pPr>
        <w:pStyle w:val="null3"/>
        <w:ind w:firstLine="960"/>
      </w:pPr>
      <w:r>
        <w:rPr>
          <w:rFonts w:ascii="仿宋_GB2312" w:hAnsi="仿宋_GB2312" w:cs="仿宋_GB2312" w:eastAsia="仿宋_GB2312"/>
        </w:rPr>
        <w:t>详见附件：4.进度保障措施.docx</w:t>
      </w:r>
    </w:p>
    <w:p>
      <w:pPr>
        <w:pStyle w:val="null3"/>
        <w:ind w:firstLine="960"/>
      </w:pPr>
      <w:r>
        <w:rPr>
          <w:rFonts w:ascii="仿宋_GB2312" w:hAnsi="仿宋_GB2312" w:cs="仿宋_GB2312" w:eastAsia="仿宋_GB2312"/>
        </w:rPr>
        <w:t>详见附件：5.安全保障措施.docx</w:t>
      </w:r>
    </w:p>
    <w:p>
      <w:pPr>
        <w:pStyle w:val="null3"/>
        <w:ind w:firstLine="960"/>
      </w:pPr>
      <w:r>
        <w:rPr>
          <w:rFonts w:ascii="仿宋_GB2312" w:hAnsi="仿宋_GB2312" w:cs="仿宋_GB2312" w:eastAsia="仿宋_GB2312"/>
        </w:rPr>
        <w:t>详见附件：6.应急措施.docx</w:t>
      </w:r>
    </w:p>
    <w:p>
      <w:pPr>
        <w:pStyle w:val="null3"/>
        <w:ind w:firstLine="960"/>
      </w:pPr>
      <w:r>
        <w:rPr>
          <w:rFonts w:ascii="仿宋_GB2312" w:hAnsi="仿宋_GB2312" w:cs="仿宋_GB2312" w:eastAsia="仿宋_GB2312"/>
        </w:rPr>
        <w:t>详见附件：7.内部管理制度.docx</w:t>
      </w:r>
    </w:p>
    <w:p>
      <w:pPr>
        <w:pStyle w:val="null3"/>
        <w:ind w:firstLine="960"/>
      </w:pPr>
      <w:r>
        <w:rPr>
          <w:rFonts w:ascii="仿宋_GB2312" w:hAnsi="仿宋_GB2312" w:cs="仿宋_GB2312" w:eastAsia="仿宋_GB2312"/>
        </w:rPr>
        <w:t>详见附件：8.服务承诺.docx</w:t>
      </w:r>
    </w:p>
    <w:p>
      <w:pPr>
        <w:pStyle w:val="null3"/>
        <w:ind w:firstLine="960"/>
      </w:pPr>
      <w:r>
        <w:rPr>
          <w:rFonts w:ascii="仿宋_GB2312" w:hAnsi="仿宋_GB2312" w:cs="仿宋_GB2312" w:eastAsia="仿宋_GB2312"/>
        </w:rPr>
        <w:t>详见附件：9.拟投入的专业设备.docx</w:t>
      </w:r>
    </w:p>
    <w:p>
      <w:pPr>
        <w:pStyle w:val="null3"/>
        <w:ind w:firstLine="960"/>
      </w:pPr>
      <w:r>
        <w:rPr>
          <w:rFonts w:ascii="仿宋_GB2312" w:hAnsi="仿宋_GB2312" w:cs="仿宋_GB2312" w:eastAsia="仿宋_GB2312"/>
        </w:rPr>
        <w:t>详见附件：10.主要人员配备.docx</w:t>
      </w:r>
    </w:p>
    <w:p>
      <w:pPr>
        <w:pStyle w:val="null3"/>
        <w:ind w:firstLine="960"/>
      </w:pPr>
      <w:r>
        <w:rPr>
          <w:rFonts w:ascii="仿宋_GB2312" w:hAnsi="仿宋_GB2312" w:cs="仿宋_GB2312" w:eastAsia="仿宋_GB2312"/>
        </w:rPr>
        <w:t>详见附件：11.类似业绩.docx</w:t>
      </w:r>
    </w:p>
    <w:p>
      <w:pPr>
        <w:pStyle w:val="null3"/>
        <w:ind w:firstLine="960"/>
      </w:pPr>
      <w:r>
        <w:rPr>
          <w:rFonts w:ascii="仿宋_GB2312" w:hAnsi="仿宋_GB2312" w:cs="仿宋_GB2312" w:eastAsia="仿宋_GB2312"/>
        </w:rPr>
        <w:t>详见附件：12.其他承诺.docx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