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9546C8">
      <w:pPr>
        <w:pStyle w:val="5"/>
        <w:adjustRightInd w:val="0"/>
        <w:snapToGrid w:val="0"/>
        <w:spacing w:line="360" w:lineRule="auto"/>
        <w:ind w:firstLine="562" w:firstLineChars="200"/>
        <w:jc w:val="both"/>
        <w:outlineLvl w:val="2"/>
        <w:rPr>
          <w:rFonts w:hint="default"/>
          <w:sz w:val="28"/>
          <w:szCs w:val="28"/>
        </w:rPr>
      </w:pPr>
      <w:r>
        <w:rPr>
          <w:b/>
          <w:sz w:val="28"/>
          <w:szCs w:val="28"/>
        </w:rPr>
        <w:t>3.5其他要求</w:t>
      </w:r>
    </w:p>
    <w:p w14:paraId="1B9AE704">
      <w:pPr>
        <w:pStyle w:val="2"/>
        <w:widowControl/>
        <w:adjustRightInd w:val="0"/>
        <w:snapToGrid w:val="0"/>
        <w:spacing w:beforeAutospacing="0" w:afterAutospacing="0" w:line="360" w:lineRule="auto"/>
        <w:ind w:firstLine="560" w:firstLineChars="200"/>
        <w:jc w:val="both"/>
        <w:rPr>
          <w:rFonts w:ascii="宋体" w:hAnsi="宋体" w:eastAsia="宋体" w:cs="宋体"/>
          <w:color w:val="000000" w:themeColor="text1"/>
          <w:sz w:val="28"/>
          <w:szCs w:val="28"/>
          <w:shd w:val="clear" w:color="auto" w:fill="FFFFFF"/>
          <w:lang w:bidi="ar"/>
          <w14:textFill>
            <w14:solidFill>
              <w14:schemeClr w14:val="tx1"/>
            </w14:solidFill>
          </w14:textFill>
        </w:rPr>
      </w:pPr>
      <w:bookmarkStart w:id="0" w:name="_GoBack"/>
      <w:r>
        <w:rPr>
          <w:rFonts w:hint="eastAsia" w:ascii="宋体" w:hAnsi="宋体" w:eastAsia="宋体" w:cs="宋体"/>
          <w:color w:val="000000" w:themeColor="text1"/>
          <w:sz w:val="28"/>
          <w:szCs w:val="28"/>
          <w:shd w:val="clear" w:color="auto" w:fill="FFFFFF"/>
          <w:lang w:bidi="ar"/>
          <w14:textFill>
            <w14:solidFill>
              <w14:schemeClr w14:val="tx1"/>
            </w14:solidFill>
          </w14:textFill>
        </w:rPr>
        <w:t>（一）安装服务</w:t>
      </w:r>
    </w:p>
    <w:p w14:paraId="7317B987">
      <w:pPr>
        <w:pStyle w:val="2"/>
        <w:widowControl/>
        <w:adjustRightInd w:val="0"/>
        <w:snapToGrid w:val="0"/>
        <w:spacing w:beforeAutospacing="0" w:afterAutospacing="0" w:line="360" w:lineRule="auto"/>
        <w:ind w:firstLine="560" w:firstLineChars="200"/>
        <w:jc w:val="both"/>
        <w:rPr>
          <w:rFonts w:ascii="宋体" w:hAnsi="宋体" w:eastAsia="宋体" w:cs="宋体"/>
          <w:color w:val="000000" w:themeColor="text1"/>
          <w:sz w:val="28"/>
          <w:szCs w:val="28"/>
          <w:shd w:val="clear" w:color="auto" w:fill="FFFFFF"/>
          <w:lang w:bidi="ar"/>
          <w14:textFill>
            <w14:solidFill>
              <w14:schemeClr w14:val="tx1"/>
            </w14:solidFill>
          </w14:textFill>
        </w:rPr>
      </w:pPr>
      <w:r>
        <w:rPr>
          <w:rFonts w:hint="eastAsia" w:ascii="宋体" w:hAnsi="宋体" w:eastAsia="宋体" w:cs="宋体"/>
          <w:color w:val="000000" w:themeColor="text1"/>
          <w:sz w:val="28"/>
          <w:szCs w:val="28"/>
          <w:shd w:val="clear" w:color="auto" w:fill="FFFFFF"/>
          <w:lang w:bidi="ar"/>
          <w14:textFill>
            <w14:solidFill>
              <w14:schemeClr w14:val="tx1"/>
            </w14:solidFill>
          </w14:textFill>
        </w:rPr>
        <w:t>1.项目启动后，中标人应允许采购人相关的工作人员参与项目开发及系统整合必须的需求分析、初步设计、单元测试等相关工作，并按照采购人实际需求，配合完成中台功能定制直至采购人直至达到采购人要求。</w:t>
      </w:r>
    </w:p>
    <w:p w14:paraId="59480830">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2.中标人对整个项目应具有完整的项目实施计划、详细的工作内容安排及过程控制和验收方案，项目计划经采购人确认后严格按计划执行，如需变更必须提出书面的项目变更手续。</w:t>
      </w:r>
    </w:p>
    <w:p w14:paraId="065D20A0">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ascii="宋体" w:hAnsi="宋体" w:eastAsia="宋体" w:cs="宋体"/>
          <w:color w:val="000000" w:themeColor="text1"/>
          <w:shd w:val="clear" w:color="auto" w:fill="FFFFFF"/>
          <w:lang w:bidi="ar"/>
          <w14:textFill>
            <w14:solidFill>
              <w14:schemeClr w14:val="tx1"/>
            </w14:solidFill>
          </w14:textFill>
        </w:rPr>
        <w:t>3</w:t>
      </w:r>
      <w:r>
        <w:rPr>
          <w:rFonts w:hint="eastAsia" w:ascii="宋体" w:hAnsi="宋体" w:eastAsia="宋体" w:cs="宋体"/>
          <w:color w:val="000000" w:themeColor="text1"/>
          <w:shd w:val="clear" w:color="auto" w:fill="FFFFFF"/>
          <w:lang w:bidi="ar"/>
          <w14:textFill>
            <w14:solidFill>
              <w14:schemeClr w14:val="tx1"/>
            </w14:solidFill>
          </w14:textFill>
        </w:rPr>
        <w:t>.安装人员资质</w:t>
      </w:r>
    </w:p>
    <w:p w14:paraId="5750B62B">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中标人应派具备相应技术能力的人员进行安装。如设备属于国家规定的特种设备，安装人员须持有国家规定从业资格（如特种设备作业、电工、焊工等强制性证书）。</w:t>
      </w:r>
    </w:p>
    <w:p w14:paraId="739A3DDB">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安装人员在施工期间应遵守采购人现场管理规定，佩戴工作证件，做到文明施工、安全施工。</w:t>
      </w:r>
    </w:p>
    <w:p w14:paraId="73CA84CD">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ascii="宋体" w:hAnsi="宋体" w:eastAsia="宋体" w:cs="宋体"/>
          <w:color w:val="000000" w:themeColor="text1"/>
          <w:shd w:val="clear" w:color="auto" w:fill="FFFFFF"/>
          <w:lang w:bidi="ar"/>
          <w14:textFill>
            <w14:solidFill>
              <w14:schemeClr w14:val="tx1"/>
            </w14:solidFill>
          </w14:textFill>
        </w:rPr>
        <w:t>4</w:t>
      </w:r>
      <w:r>
        <w:rPr>
          <w:rFonts w:hint="eastAsia" w:ascii="宋体" w:hAnsi="宋体" w:eastAsia="宋体" w:cs="宋体"/>
          <w:color w:val="000000" w:themeColor="text1"/>
          <w:shd w:val="clear" w:color="auto" w:fill="FFFFFF"/>
          <w:lang w:bidi="ar"/>
          <w14:textFill>
            <w14:solidFill>
              <w14:schemeClr w14:val="tx1"/>
            </w14:solidFill>
          </w14:textFill>
        </w:rPr>
        <w:t>.安装标准</w:t>
      </w:r>
    </w:p>
    <w:p w14:paraId="2A800A0D">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安装质量应符合国家现行有效的技术标准、行业规范以及制造商规定的安装要求。安装过程中，中标人应采取必要的安全防护措施，设置警示标志。因中标人原因造成的人员伤亡或财产损失，由中标人承担全部责任。</w:t>
      </w:r>
    </w:p>
    <w:p w14:paraId="0396F511">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ascii="宋体" w:hAnsi="宋体" w:eastAsia="宋体" w:cs="宋体"/>
          <w:color w:val="000000" w:themeColor="text1"/>
          <w:shd w:val="clear" w:color="auto" w:fill="FFFFFF"/>
          <w:lang w:bidi="ar"/>
          <w14:textFill>
            <w14:solidFill>
              <w14:schemeClr w14:val="tx1"/>
            </w14:solidFill>
          </w14:textFill>
        </w:rPr>
        <w:t>5</w:t>
      </w:r>
      <w:r>
        <w:rPr>
          <w:rFonts w:hint="eastAsia" w:ascii="宋体" w:hAnsi="宋体" w:eastAsia="宋体" w:cs="宋体"/>
          <w:color w:val="000000" w:themeColor="text1"/>
          <w:shd w:val="clear" w:color="auto" w:fill="FFFFFF"/>
          <w:lang w:bidi="ar"/>
          <w14:textFill>
            <w14:solidFill>
              <w14:schemeClr w14:val="tx1"/>
            </w14:solidFill>
          </w14:textFill>
        </w:rPr>
        <w:t>.调试与试运行</w:t>
      </w:r>
    </w:p>
    <w:p w14:paraId="7C0C3048">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安装完成后，中标人应进行系统调试，确保各项功能、性能指标符合合同约定及投标承诺。试运行期30日，试运行期间，中标人应派技术人员现场跟班保障，及时处理运行中出现的问题。试运行正常后，方可进入正式验收程序。</w:t>
      </w:r>
    </w:p>
    <w:p w14:paraId="77C73DE7">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（二）培训</w:t>
      </w:r>
    </w:p>
    <w:p w14:paraId="137AD93F">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1.中标单位需提供全方位、定制化专项培训，确保师生熟练掌握所有软硬件使用、更新、维护全流程操作。</w:t>
      </w:r>
    </w:p>
    <w:p w14:paraId="338E3DDF">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2.根据项目功能和工具特点，每季度开展不少于2场的技术培训，中标人须根据用户计算机操作水平的高低、不同部门的业务需求等，有针对性地开展培训，须提供详细的培训计划。中标人还对采购人的系统维护人员进行系统维护培训，提供详细的使用操作手册（纸质或电子版）。</w:t>
      </w:r>
    </w:p>
    <w:p w14:paraId="465198BE">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3.用户培训应贯穿整个项目的实施过程中，包括从项目准备、研发到项目运行的全过程中。提供详细的培训方案、培训内容、培训计划、人员数目、软件使用、后期维护。</w:t>
      </w:r>
    </w:p>
    <w:p w14:paraId="2E6DA5BD">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4.培训分为基础操作、进阶应用、运维管理三大模块。培训内容包括但不限于硬件设备操作、软件工具使用技巧、AIGC创作平台基础功能、超高清视频采集、剪辑、导出、素材管理、设备日常维护、系统参数调试、故障自查、算力资源调配、数据安全管理、录播、虚拟抠像、虚拟场景开发、直播等内容。</w:t>
      </w:r>
    </w:p>
    <w:p w14:paraId="3B2ABBCB">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5.由专业工程师对采购人指定人员进行定制化培训，每学期至少</w:t>
      </w:r>
      <w:r>
        <w:rPr>
          <w:rFonts w:ascii="宋体" w:hAnsi="宋体" w:eastAsia="宋体" w:cs="宋体"/>
          <w:color w:val="000000" w:themeColor="text1"/>
          <w:shd w:val="clear" w:color="auto" w:fill="FFFFFF"/>
          <w:lang w:bidi="ar"/>
          <w14:textFill>
            <w14:solidFill>
              <w14:schemeClr w14:val="tx1"/>
            </w14:solidFill>
          </w14:textFill>
        </w:rPr>
        <w:t>2</w:t>
      </w:r>
      <w:r>
        <w:rPr>
          <w:rFonts w:hint="eastAsia" w:ascii="宋体" w:hAnsi="宋体" w:eastAsia="宋体" w:cs="宋体"/>
          <w:color w:val="000000" w:themeColor="text1"/>
          <w:shd w:val="clear" w:color="auto" w:fill="FFFFFF"/>
          <w:lang w:bidi="ar"/>
          <w14:textFill>
            <w14:solidFill>
              <w14:schemeClr w14:val="tx1"/>
            </w14:solidFill>
          </w14:textFill>
        </w:rPr>
        <w:t>次，保证所有人员能够熟练驾驭设备。培训内容包括但不限于开关机培训、软硬件应用培训、虚拟场景制作、数字化模块制作、常见故障处理、网络管理培训、应急流程培训等，具体根据项目设备情况制定培训计划。</w:t>
      </w:r>
    </w:p>
    <w:p w14:paraId="4B499B3C">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6.培训采用理论讲解+实操演练+现场答疑的模式，配套提供专属软硬件培训课件、操作手册，培训结束后开展考核测评，确保参训人员熟练掌握相关技能。同时提供终身免费复训、线上线下答疑指导服务，适配系统升级后的功能教学需求。</w:t>
      </w:r>
    </w:p>
    <w:p w14:paraId="734A8047">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（三）售后服务标准要求：</w:t>
      </w:r>
    </w:p>
    <w:p w14:paraId="7E161076">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1.质保期内，任何由制造商选材和制造不当引起的质量问题，中标人负责维修或更换配件，采购人不负担任何维修费用（含人工费）。质保期内，项目责任工程师每年提供不小于2次上门保养服务，提供保养用的全部零部件。质保期满前1个月，中标人提供一次全面的检查、维护，并出具正式检查报告，如发现潜在问题，应负责完全排除。</w:t>
      </w:r>
    </w:p>
    <w:p w14:paraId="1E2CF4CC">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2.中标人应在试运行5天内向采购人提供详细的软硬件使用说明并提供免费技术咨询。设备、系统安装调试完成后，中标人应按照采购人指定时间、指定地点、指定频次开展培训。培训内容包括设备的技术原理、操作方法、数据处理、基本维护等。</w:t>
      </w:r>
    </w:p>
    <w:p w14:paraId="522D1CA7">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3.与使用设备相配套的软件终身由中标人负责更新升级，费用包含在本次报价中。</w:t>
      </w:r>
    </w:p>
    <w:p w14:paraId="7AE24BDA">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4.项目软件除特殊技术条款外整体提供</w:t>
      </w:r>
      <w:r>
        <w:rPr>
          <w:rFonts w:ascii="宋体" w:hAnsi="宋体" w:eastAsia="宋体" w:cs="宋体"/>
          <w:color w:val="000000" w:themeColor="text1"/>
          <w:shd w:val="clear" w:color="auto" w:fill="FFFFFF"/>
          <w:lang w:bidi="ar"/>
          <w14:textFill>
            <w14:solidFill>
              <w14:schemeClr w14:val="tx1"/>
            </w14:solidFill>
          </w14:textFill>
        </w:rPr>
        <w:t>3</w:t>
      </w:r>
      <w:r>
        <w:rPr>
          <w:rFonts w:hint="eastAsia" w:ascii="宋体" w:hAnsi="宋体" w:eastAsia="宋体" w:cs="宋体"/>
          <w:color w:val="000000" w:themeColor="text1"/>
          <w:shd w:val="clear" w:color="auto" w:fill="FFFFFF"/>
          <w:lang w:bidi="ar"/>
          <w14:textFill>
            <w14:solidFill>
              <w14:schemeClr w14:val="tx1"/>
            </w14:solidFill>
          </w14:textFill>
        </w:rPr>
        <w:t>年质保，质保期内提供维护服务。</w:t>
      </w:r>
    </w:p>
    <w:p w14:paraId="63831B41">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5.提供AIGC工具升级服务，根据采购人的需求进行系统的功能完善、数据库维护等。若有升级版本须1</w:t>
      </w:r>
      <w:r>
        <w:rPr>
          <w:rFonts w:ascii="宋体" w:hAnsi="宋体" w:eastAsia="宋体" w:cs="宋体"/>
          <w:color w:val="000000" w:themeColor="text1"/>
          <w:shd w:val="clear" w:color="auto" w:fill="FFFFFF"/>
          <w:lang w:bidi="ar"/>
          <w14:textFill>
            <w14:solidFill>
              <w14:schemeClr w14:val="tx1"/>
            </w14:solidFill>
          </w14:textFill>
        </w:rPr>
        <w:t>0</w:t>
      </w:r>
      <w:r>
        <w:rPr>
          <w:rFonts w:hint="eastAsia" w:ascii="宋体" w:hAnsi="宋体" w:eastAsia="宋体" w:cs="宋体"/>
          <w:color w:val="000000" w:themeColor="text1"/>
          <w:shd w:val="clear" w:color="auto" w:fill="FFFFFF"/>
          <w:lang w:bidi="ar"/>
          <w14:textFill>
            <w14:solidFill>
              <w14:schemeClr w14:val="tx1"/>
            </w14:solidFill>
          </w14:textFill>
        </w:rPr>
        <w:t>日内通知采购人，并根据采购人意愿对系统进行版本升级。</w:t>
      </w:r>
    </w:p>
    <w:p w14:paraId="6CC12967">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6.在质保期内，在需要与其他系统实现对接或者数据交互时，中标人应免费提供相应的技术支持和数据接口，配合第三方做好技术衔接工作，不得以任何借口推倭并收取费用。</w:t>
      </w:r>
    </w:p>
    <w:p w14:paraId="3911D276">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7.本项目整体服务质量保证期自系统终验交付合格之日起计算，整体维保服务及全部配套设备质保期限均为3年（除特殊技术条款外），保障搭载软件具有终身更新与使用权限。</w:t>
      </w:r>
    </w:p>
    <w:p w14:paraId="2E8F2143">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8.质保期内，所有设备若非人为因素引发故障，供应商需提供免费上门维修、免费更换故障配件的全流程服务；若设备及硬件因人为因素造成损坏，供应商可针对损坏硬件提供有偿更换服务。</w:t>
      </w:r>
    </w:p>
    <w:p w14:paraId="72E24D8C">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9.针对实验室AI算力设备、超高清视频硬件、创作系统软件、存储网络设备提供终身技术咨询服务。</w:t>
      </w:r>
    </w:p>
    <w:p w14:paraId="7B2C5A45">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10.严格落实质保服务，质保期内免费提供设备维修、软件漏洞修复、系统基础升级、故障排查服务，无偿更换非人为损坏的零部件。</w:t>
      </w:r>
    </w:p>
    <w:p w14:paraId="379C524F">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11.每季度开展一次季度巡检服务，对算力服务器、超高清设备、软件系统、网络存储进行全面检测、优化调试，清理系统隐患。同时建立售后运维档案，记录故障问题、处理方案、巡检记录，持续优化系统运行状态，保障实验室AIGC视频创作、超高清渲染、批量生产等业务稳定运行。</w:t>
      </w:r>
    </w:p>
    <w:p w14:paraId="38E0962C">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hint="eastAsia" w:ascii="宋体" w:hAnsi="宋体" w:eastAsia="宋体" w:cs="宋体"/>
          <w:color w:val="000000" w:themeColor="text1"/>
          <w:shd w:val="clear" w:color="auto" w:fill="FFFFFF"/>
          <w:lang w:bidi="ar"/>
          <w14:textFill>
            <w14:solidFill>
              <w14:schemeClr w14:val="tx1"/>
            </w14:solidFill>
          </w14:textFill>
        </w:rPr>
        <w:t>（五）信息安全保障</w:t>
      </w:r>
    </w:p>
    <w:p w14:paraId="62BADA5C">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ascii="宋体" w:hAnsi="宋体" w:eastAsia="宋体" w:cs="宋体"/>
          <w:color w:val="000000" w:themeColor="text1"/>
          <w:shd w:val="clear" w:color="auto" w:fill="FFFFFF"/>
          <w:lang w:bidi="ar"/>
          <w14:textFill>
            <w14:solidFill>
              <w14:schemeClr w14:val="tx1"/>
            </w14:solidFill>
          </w14:textFill>
        </w:rPr>
        <w:t>1</w:t>
      </w:r>
      <w:r>
        <w:rPr>
          <w:rFonts w:hint="eastAsia" w:ascii="宋体" w:hAnsi="宋体" w:eastAsia="宋体" w:cs="宋体"/>
          <w:color w:val="000000" w:themeColor="text1"/>
          <w:shd w:val="clear" w:color="auto" w:fill="FFFFFF"/>
          <w:lang w:bidi="ar"/>
          <w14:textFill>
            <w14:solidFill>
              <w14:schemeClr w14:val="tx1"/>
            </w14:solidFill>
          </w14:textFill>
        </w:rPr>
        <w:t>.</w:t>
      </w:r>
      <w:r>
        <w:rPr>
          <w:rFonts w:ascii="宋体" w:hAnsi="宋体" w:eastAsia="宋体" w:cs="宋体"/>
          <w:color w:val="000000" w:themeColor="text1"/>
          <w:shd w:val="clear" w:color="auto" w:fill="FFFFFF"/>
          <w:lang w:bidi="ar"/>
          <w14:textFill>
            <w14:solidFill>
              <w14:schemeClr w14:val="tx1"/>
            </w14:solidFill>
          </w14:textFill>
        </w:rPr>
        <w:t>系统建设过程中应参照《信息安全等级保护管理办法》等级保护测评第二级进行规划、设计和建设，承建单位须积极配合并对平台进行整体安全设计，包括但不限于信息系统安全策略、安全技术框架和详细安全设计方案等。</w:t>
      </w:r>
    </w:p>
    <w:p w14:paraId="5AEE4381">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ascii="宋体" w:hAnsi="宋体" w:eastAsia="宋体" w:cs="宋体"/>
          <w:color w:val="000000" w:themeColor="text1"/>
          <w:shd w:val="clear" w:color="auto" w:fill="FFFFFF"/>
          <w:lang w:bidi="ar"/>
          <w14:textFill>
            <w14:solidFill>
              <w14:schemeClr w14:val="tx1"/>
            </w14:solidFill>
          </w14:textFill>
        </w:rPr>
        <w:t>2</w:t>
      </w:r>
      <w:r>
        <w:rPr>
          <w:rFonts w:hint="eastAsia" w:ascii="宋体" w:hAnsi="宋体" w:eastAsia="宋体" w:cs="宋体"/>
          <w:color w:val="000000" w:themeColor="text1"/>
          <w:shd w:val="clear" w:color="auto" w:fill="FFFFFF"/>
          <w:lang w:bidi="ar"/>
          <w14:textFill>
            <w14:solidFill>
              <w14:schemeClr w14:val="tx1"/>
            </w14:solidFill>
          </w14:textFill>
        </w:rPr>
        <w:t>.</w:t>
      </w:r>
      <w:r>
        <w:rPr>
          <w:rFonts w:ascii="宋体" w:hAnsi="宋体" w:eastAsia="宋体" w:cs="宋体"/>
          <w:color w:val="000000" w:themeColor="text1"/>
          <w:shd w:val="clear" w:color="auto" w:fill="FFFFFF"/>
          <w:lang w:bidi="ar"/>
          <w14:textFill>
            <w14:solidFill>
              <w14:schemeClr w14:val="tx1"/>
            </w14:solidFill>
          </w14:textFill>
        </w:rPr>
        <w:t>在访问控制方面，系统应提供访问控制功能，依据安全策略控制用户对文件、数据库表等客体的访问；应由授权主体配置访问控制策略，并严格限制默认用户的访问权限；应授予不同用户为完成其各自承担任务所需的最小权限，并在它们之间形成相互制约的关系</w:t>
      </w:r>
      <w:r>
        <w:rPr>
          <w:rFonts w:hint="eastAsia" w:ascii="宋体" w:hAnsi="宋体" w:eastAsia="宋体" w:cs="宋体"/>
          <w:color w:val="000000" w:themeColor="text1"/>
          <w:shd w:val="clear" w:color="auto" w:fill="FFFFFF"/>
          <w:lang w:bidi="ar"/>
          <w14:textFill>
            <w14:solidFill>
              <w14:schemeClr w14:val="tx1"/>
            </w14:solidFill>
          </w14:textFill>
        </w:rPr>
        <w:t>；</w:t>
      </w:r>
      <w:r>
        <w:rPr>
          <w:rFonts w:ascii="宋体" w:hAnsi="宋体" w:eastAsia="宋体" w:cs="宋体"/>
          <w:color w:val="000000" w:themeColor="text1"/>
          <w:shd w:val="clear" w:color="auto" w:fill="FFFFFF"/>
          <w:lang w:bidi="ar"/>
          <w14:textFill>
            <w14:solidFill>
              <w14:schemeClr w14:val="tx1"/>
            </w14:solidFill>
          </w14:textFill>
        </w:rPr>
        <w:t>应能够根据业务特性及权限互斥的原则，保证用户、权限的合理对应关系，避免任何可能产生安全问题的权限分配方式或结果；应具有对重要信息资源设置敏感标记的功能，应依据安全策略严格控制用户对有敏感标记重要信息资源的操作；防火墙配置及网络端口策略采用最小化开放原则，只开放需要访问的端口。</w:t>
      </w:r>
    </w:p>
    <w:p w14:paraId="3BFDF66F">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ascii="宋体" w:hAnsi="宋体" w:eastAsia="宋体" w:cs="宋体"/>
          <w:color w:val="000000" w:themeColor="text1"/>
          <w:shd w:val="clear" w:color="auto" w:fill="FFFFFF"/>
          <w:lang w:bidi="ar"/>
          <w14:textFill>
            <w14:solidFill>
              <w14:schemeClr w14:val="tx1"/>
            </w14:solidFill>
          </w14:textFill>
        </w:rPr>
        <w:t>3</w:t>
      </w:r>
      <w:r>
        <w:rPr>
          <w:rFonts w:hint="eastAsia" w:ascii="宋体" w:hAnsi="宋体" w:eastAsia="宋体" w:cs="宋体"/>
          <w:color w:val="000000" w:themeColor="text1"/>
          <w:shd w:val="clear" w:color="auto" w:fill="FFFFFF"/>
          <w:lang w:bidi="ar"/>
          <w14:textFill>
            <w14:solidFill>
              <w14:schemeClr w14:val="tx1"/>
            </w14:solidFill>
          </w14:textFill>
        </w:rPr>
        <w:t>.</w:t>
      </w:r>
      <w:r>
        <w:rPr>
          <w:rFonts w:ascii="宋体" w:hAnsi="宋体" w:eastAsia="宋体" w:cs="宋体"/>
          <w:color w:val="000000" w:themeColor="text1"/>
          <w:shd w:val="clear" w:color="auto" w:fill="FFFFFF"/>
          <w:lang w:bidi="ar"/>
          <w14:textFill>
            <w14:solidFill>
              <w14:schemeClr w14:val="tx1"/>
            </w14:solidFill>
          </w14:textFill>
        </w:rPr>
        <w:t>在安全审计方面，应提供覆盖到每个用户的安全审计功能；审计事件的类型至少应包括系统事件、业务事件、成功事件、失败事件以及对审计功能的操作；审计记录的内容至少应包括事件的日期、时间、发起者信息、类型、描述和结果等；应分级定义系统异常事件类型，并根据异常的严重程度分别采用日志记录、警告提示等方式进行通知；应保证无法单独中断审计进程，无法删除、修改或覆盖审计记录；应提供对审计数据手动或自动备份的功能等；</w:t>
      </w:r>
    </w:p>
    <w:p w14:paraId="6328DBF4">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ascii="宋体" w:hAnsi="宋体" w:eastAsia="宋体" w:cs="宋体"/>
          <w:color w:val="000000" w:themeColor="text1"/>
          <w:shd w:val="clear" w:color="auto" w:fill="FFFFFF"/>
          <w:lang w:bidi="ar"/>
          <w14:textFill>
            <w14:solidFill>
              <w14:schemeClr w14:val="tx1"/>
            </w14:solidFill>
          </w14:textFill>
        </w:rPr>
        <w:t>4</w:t>
      </w:r>
      <w:r>
        <w:rPr>
          <w:rFonts w:hint="eastAsia" w:ascii="宋体" w:hAnsi="宋体" w:eastAsia="宋体" w:cs="宋体"/>
          <w:color w:val="000000" w:themeColor="text1"/>
          <w:shd w:val="clear" w:color="auto" w:fill="FFFFFF"/>
          <w:lang w:bidi="ar"/>
          <w14:textFill>
            <w14:solidFill>
              <w14:schemeClr w14:val="tx1"/>
            </w14:solidFill>
          </w14:textFill>
        </w:rPr>
        <w:t>.</w:t>
      </w:r>
      <w:r>
        <w:rPr>
          <w:rFonts w:ascii="宋体" w:hAnsi="宋体" w:eastAsia="宋体" w:cs="宋体"/>
          <w:color w:val="000000" w:themeColor="text1"/>
          <w:shd w:val="clear" w:color="auto" w:fill="FFFFFF"/>
          <w:lang w:bidi="ar"/>
          <w14:textFill>
            <w14:solidFill>
              <w14:schemeClr w14:val="tx1"/>
            </w14:solidFill>
          </w14:textFill>
        </w:rPr>
        <w:t>在主机安全方面，禁止安装生命周期已结束的操作系统，同时要选用最新版本的操作系统，并及时更新补丁；所有对主机的远程操作，需要得到校方授权。</w:t>
      </w:r>
    </w:p>
    <w:p w14:paraId="253776E0">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ascii="宋体" w:hAnsi="宋体" w:eastAsia="宋体" w:cs="宋体"/>
          <w:color w:val="000000" w:themeColor="text1"/>
          <w:shd w:val="clear" w:color="auto" w:fill="FFFFFF"/>
          <w:lang w:bidi="ar"/>
          <w14:textFill>
            <w14:solidFill>
              <w14:schemeClr w14:val="tx1"/>
            </w14:solidFill>
          </w14:textFill>
        </w:rPr>
        <w:t>在数据库安全方面，要选用主流新版本数据库，并且要及时打补丁，禁止安装生命周期已结束的数据库；数据库服务器不提供外网访问功能，禁止root等最高权限的数据库远程访问功能，应用访问应使用最小权限开放访问</w:t>
      </w:r>
      <w:r>
        <w:rPr>
          <w:rFonts w:hint="eastAsia" w:ascii="宋体" w:hAnsi="宋体" w:eastAsia="宋体" w:cs="宋体"/>
          <w:color w:val="000000" w:themeColor="text1"/>
          <w:shd w:val="clear" w:color="auto" w:fill="FFFFFF"/>
          <w:lang w:bidi="ar"/>
          <w14:textFill>
            <w14:solidFill>
              <w14:schemeClr w14:val="tx1"/>
            </w14:solidFill>
          </w14:textFill>
        </w:rPr>
        <w:t>；</w:t>
      </w:r>
      <w:r>
        <w:rPr>
          <w:rFonts w:ascii="宋体" w:hAnsi="宋体" w:eastAsia="宋体" w:cs="宋体"/>
          <w:color w:val="000000" w:themeColor="text1"/>
          <w:shd w:val="clear" w:color="auto" w:fill="FFFFFF"/>
          <w:lang w:bidi="ar"/>
          <w14:textFill>
            <w14:solidFill>
              <w14:schemeClr w14:val="tx1"/>
            </w14:solidFill>
          </w14:textFill>
        </w:rPr>
        <w:t>；</w:t>
      </w:r>
    </w:p>
    <w:p w14:paraId="43C06552">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ascii="宋体" w:hAnsi="宋体" w:eastAsia="宋体" w:cs="宋体"/>
          <w:color w:val="000000" w:themeColor="text1"/>
          <w:shd w:val="clear" w:color="auto" w:fill="FFFFFF"/>
          <w:lang w:bidi="ar"/>
          <w14:textFill>
            <w14:solidFill>
              <w14:schemeClr w14:val="tx1"/>
            </w14:solidFill>
          </w14:textFill>
        </w:rPr>
        <w:t>5</w:t>
      </w:r>
      <w:r>
        <w:rPr>
          <w:rFonts w:hint="eastAsia" w:ascii="宋体" w:hAnsi="宋体" w:eastAsia="宋体" w:cs="宋体"/>
          <w:color w:val="000000" w:themeColor="text1"/>
          <w:shd w:val="clear" w:color="auto" w:fill="FFFFFF"/>
          <w:lang w:bidi="ar"/>
          <w14:textFill>
            <w14:solidFill>
              <w14:schemeClr w14:val="tx1"/>
            </w14:solidFill>
          </w14:textFill>
        </w:rPr>
        <w:t>.</w:t>
      </w:r>
      <w:r>
        <w:rPr>
          <w:rFonts w:ascii="宋体" w:hAnsi="宋体" w:eastAsia="宋体" w:cs="宋体"/>
          <w:color w:val="000000" w:themeColor="text1"/>
          <w:shd w:val="clear" w:color="auto" w:fill="FFFFFF"/>
          <w:lang w:bidi="ar"/>
          <w14:textFill>
            <w14:solidFill>
              <w14:schemeClr w14:val="tx1"/>
            </w14:solidFill>
          </w14:textFill>
        </w:rPr>
        <w:t>在中间件安全方面，要选用主流新版本中间件（如nginx、IIS、tomcat、apache等），并及时更新补丁，禁止安装生命周期已结束得中间件；禁止使用flash、java web applet、silverlight等过时的插件；</w:t>
      </w:r>
    </w:p>
    <w:p w14:paraId="1CCADE23">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ascii="宋体" w:hAnsi="宋体" w:eastAsia="宋体" w:cs="宋体"/>
          <w:color w:val="000000" w:themeColor="text1"/>
          <w:shd w:val="clear" w:color="auto" w:fill="FFFFFF"/>
          <w:lang w:bidi="ar"/>
          <w14:textFill>
            <w14:solidFill>
              <w14:schemeClr w14:val="tx1"/>
            </w14:solidFill>
          </w14:textFill>
        </w:rPr>
        <w:t>在应用层安全方面，不能有SQL、html、xss注入等安全漏洞；不能用低版本的Jquery的插件；不能用低版本的log4j插件；不能用低版本的struts插件；不能用有安全漏洞的spring组件；在应用部署时，要实施Https；任何应用系统、数据库等密码必须符合强密码规范，至少8位同时含大小写字母、数字、特殊字符，且不得使用常见的弱密码；</w:t>
      </w:r>
    </w:p>
    <w:p w14:paraId="68C158DE">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ascii="宋体" w:hAnsi="宋体" w:eastAsia="宋体" w:cs="宋体"/>
          <w:color w:val="000000" w:themeColor="text1"/>
          <w:shd w:val="clear" w:color="auto" w:fill="FFFFFF"/>
          <w:lang w:bidi="ar"/>
          <w14:textFill>
            <w14:solidFill>
              <w14:schemeClr w14:val="tx1"/>
            </w14:solidFill>
          </w14:textFill>
        </w:rPr>
        <w:t>6</w:t>
      </w:r>
      <w:r>
        <w:rPr>
          <w:rFonts w:hint="eastAsia" w:ascii="宋体" w:hAnsi="宋体" w:eastAsia="宋体" w:cs="宋体"/>
          <w:color w:val="000000" w:themeColor="text1"/>
          <w:shd w:val="clear" w:color="auto" w:fill="FFFFFF"/>
          <w:lang w:bidi="ar"/>
          <w14:textFill>
            <w14:solidFill>
              <w14:schemeClr w14:val="tx1"/>
            </w14:solidFill>
          </w14:textFill>
        </w:rPr>
        <w:t>.</w:t>
      </w:r>
      <w:r>
        <w:rPr>
          <w:rFonts w:ascii="宋体" w:hAnsi="宋体" w:eastAsia="宋体" w:cs="宋体"/>
          <w:color w:val="000000" w:themeColor="text1"/>
          <w:shd w:val="clear" w:color="auto" w:fill="FFFFFF"/>
          <w:lang w:bidi="ar"/>
          <w14:textFill>
            <w14:solidFill>
              <w14:schemeClr w14:val="tx1"/>
            </w14:solidFill>
          </w14:textFill>
        </w:rPr>
        <w:t>承建单位实施人员必须对其开发内容保密并签署保密协议，实施人员不得私自将开发相关信息泄漏出去，且实施人员有责任将开发相关信息告诉学校项目负责人员或开发小组的负责人员，一旦离职或调动岗位应立即回收或调整其相应的权限。要建立严格的系统工程管理体系，确保系统开发过程各阶段中相关文档和代码完整性等；</w:t>
      </w:r>
    </w:p>
    <w:p w14:paraId="7683D1FA">
      <w:pPr>
        <w:pStyle w:val="2"/>
        <w:widowControl/>
        <w:adjustRightInd w:val="0"/>
        <w:snapToGrid w:val="0"/>
        <w:spacing w:beforeAutospacing="0" w:afterAutospacing="0" w:line="360" w:lineRule="auto"/>
        <w:ind w:firstLine="480" w:firstLineChars="200"/>
        <w:jc w:val="both"/>
        <w:rPr>
          <w:rFonts w:ascii="宋体" w:hAnsi="宋体" w:eastAsia="宋体" w:cs="宋体"/>
          <w:color w:val="000000" w:themeColor="text1"/>
          <w:shd w:val="clear" w:color="auto" w:fill="FFFFFF"/>
          <w:lang w:bidi="ar"/>
          <w14:textFill>
            <w14:solidFill>
              <w14:schemeClr w14:val="tx1"/>
            </w14:solidFill>
          </w14:textFill>
        </w:rPr>
      </w:pPr>
      <w:r>
        <w:rPr>
          <w:rFonts w:ascii="宋体" w:hAnsi="宋体" w:eastAsia="宋体" w:cs="宋体"/>
          <w:color w:val="000000" w:themeColor="text1"/>
          <w:shd w:val="clear" w:color="auto" w:fill="FFFFFF"/>
          <w:lang w:bidi="ar"/>
          <w14:textFill>
            <w14:solidFill>
              <w14:schemeClr w14:val="tx1"/>
            </w14:solidFill>
          </w14:textFill>
        </w:rPr>
        <w:t>7</w:t>
      </w:r>
      <w:r>
        <w:rPr>
          <w:rFonts w:hint="eastAsia" w:ascii="宋体" w:hAnsi="宋体" w:eastAsia="宋体" w:cs="宋体"/>
          <w:color w:val="000000" w:themeColor="text1"/>
          <w:shd w:val="clear" w:color="auto" w:fill="FFFFFF"/>
          <w:lang w:bidi="ar"/>
          <w14:textFill>
            <w14:solidFill>
              <w14:schemeClr w14:val="tx1"/>
            </w14:solidFill>
          </w14:textFill>
        </w:rPr>
        <w:t>.</w:t>
      </w:r>
      <w:r>
        <w:rPr>
          <w:rFonts w:ascii="宋体" w:hAnsi="宋体" w:eastAsia="宋体" w:cs="宋体"/>
          <w:color w:val="000000" w:themeColor="text1"/>
          <w:shd w:val="clear" w:color="auto" w:fill="FFFFFF"/>
          <w:lang w:bidi="ar"/>
          <w14:textFill>
            <w14:solidFill>
              <w14:schemeClr w14:val="tx1"/>
            </w14:solidFill>
          </w14:textFill>
        </w:rPr>
        <w:t>信息系统上线前必须配合校方通过安全检测，包括但不限于主机安全测试、性能测试、防渗透测试、应用安全测试、数据库安全测试等；承建单位交付系统时，风险级别需满足：高危、中危漏洞不能存在，低危漏洞不能超过5个</w:t>
      </w:r>
      <w:r>
        <w:rPr>
          <w:rFonts w:hint="eastAsia" w:ascii="宋体" w:hAnsi="宋体" w:eastAsia="宋体" w:cs="宋体"/>
          <w:color w:val="000000" w:themeColor="text1"/>
          <w:shd w:val="clear" w:color="auto" w:fill="FFFFFF"/>
          <w:lang w:bidi="ar"/>
          <w14:textFill>
            <w14:solidFill>
              <w14:schemeClr w14:val="tx1"/>
            </w14:solidFill>
          </w14:textFill>
        </w:rPr>
        <w:t>；</w:t>
      </w:r>
    </w:p>
    <w:p w14:paraId="3A21333B">
      <w:pPr>
        <w:pStyle w:val="2"/>
        <w:widowControl/>
        <w:adjustRightInd w:val="0"/>
        <w:snapToGrid w:val="0"/>
        <w:spacing w:beforeAutospacing="0" w:afterAutospacing="0" w:line="360" w:lineRule="auto"/>
        <w:ind w:firstLine="480" w:firstLineChars="200"/>
        <w:jc w:val="both"/>
        <w:rPr>
          <w:rFonts w:ascii="宋体" w:hAnsi="宋体" w:eastAsia="宋体" w:cs="宋体"/>
          <w:color w:val="0000FF"/>
          <w:shd w:val="clear" w:color="auto" w:fill="FFFFFF"/>
          <w:lang w:bidi="ar"/>
        </w:rPr>
      </w:pPr>
      <w:r>
        <w:rPr>
          <w:rFonts w:hint="eastAsia" w:ascii="宋体" w:hAnsi="宋体" w:eastAsia="宋体" w:cs="宋体"/>
          <w:color w:val="000000" w:themeColor="text1"/>
          <w:shd w:val="clear" w:color="auto" w:fill="FFFFFF"/>
          <w:lang w:bidi="ar"/>
          <w14:textFill>
            <w14:solidFill>
              <w14:schemeClr w14:val="tx1"/>
            </w14:solidFill>
          </w14:textFill>
        </w:rPr>
        <w:t>8</w:t>
      </w:r>
      <w:r>
        <w:rPr>
          <w:rFonts w:ascii="宋体" w:hAnsi="宋体" w:eastAsia="宋体" w:cs="宋体"/>
          <w:color w:val="000000" w:themeColor="text1"/>
          <w:shd w:val="clear" w:color="auto" w:fill="FFFFFF"/>
          <w:lang w:bidi="ar"/>
          <w14:textFill>
            <w14:solidFill>
              <w14:schemeClr w14:val="tx1"/>
            </w14:solidFill>
          </w14:textFill>
        </w:rPr>
        <w:t>.</w:t>
      </w:r>
      <w:r>
        <w:rPr>
          <w:rFonts w:hint="eastAsia" w:ascii="宋体" w:hAnsi="宋体" w:eastAsia="宋体" w:cs="宋体"/>
          <w:color w:val="000000" w:themeColor="text1"/>
          <w:shd w:val="clear" w:color="auto" w:fill="FFFFFF"/>
          <w:lang w:bidi="ar"/>
          <w14:textFill>
            <w14:solidFill>
              <w14:schemeClr w14:val="tx1"/>
            </w14:solidFill>
          </w14:textFill>
        </w:rPr>
        <w:t>项目终验结束后，承建单位需完全移交与该项目相关的所有软件及硬件使用、监控、远程操作权限。</w:t>
      </w:r>
      <w:bookmarkEnd w:id="0"/>
    </w:p>
    <w:p w14:paraId="1327856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EB2F55"/>
    <w:rsid w:val="4AE37B46"/>
    <w:rsid w:val="50315123"/>
    <w:rsid w:val="7FEB2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3239</Words>
  <Characters>3358</Characters>
  <Lines>0</Lines>
  <Paragraphs>0</Paragraphs>
  <TotalTime>0</TotalTime>
  <ScaleCrop>false</ScaleCrop>
  <LinksUpToDate>false</LinksUpToDate>
  <CharactersWithSpaces>3360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2026-07-14T11:30:00Z</dcterms:created>
  <dc:creator>xi</dc:creator>
  <cp:lastModifiedBy>xi</cp:lastModifiedBy>
  <dcterms:modified xsi:type="dcterms:W3CDTF">2026-07-17T01:26:18Z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0F111F7B9198428280BCCF95D7A35917_11</vt:lpwstr>
  </property>
  <property fmtid="{D5CDD505-2E9C-101B-9397-08002B2CF9AE}" pid="4" name="KSOTemplateDocerSaveRecord">
    <vt:lpwstr>eyJoZGlkIjoiNTdjYjE2NWFkNDJlMDAwOTYwNTcxNjgwNGJkYTkyZWEiLCJ1c2VySWQiOiIzMzE0MzU5ODcifQ==</vt:lpwstr>
  </property>
</Properties>
</file>