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7C62A">
      <w:pPr>
        <w:adjustRightInd w:val="0"/>
        <w:snapToGrid w:val="0"/>
        <w:spacing w:line="360" w:lineRule="auto"/>
        <w:jc w:val="center"/>
        <w:rPr>
          <w:rFonts w:hint="eastAsia" w:ascii="宋体" w:hAnsi="宋体" w:eastAsia="宋体" w:cs="宋体"/>
          <w:color w:val="0000FF"/>
          <w:sz w:val="24"/>
          <w:szCs w:val="22"/>
        </w:rPr>
      </w:pPr>
      <w:bookmarkStart w:id="0" w:name="_GoBack"/>
      <w:bookmarkEnd w:id="0"/>
      <w:r>
        <w:rPr>
          <w:rFonts w:hint="eastAsia" w:ascii="宋体" w:hAnsi="宋体" w:eastAsia="宋体" w:cs="宋体"/>
          <w:color w:val="0000FF"/>
          <w:sz w:val="24"/>
          <w:szCs w:val="22"/>
        </w:rPr>
        <w:t>功</w:t>
      </w:r>
      <w:r>
        <w:rPr>
          <w:rFonts w:hint="eastAsia" w:ascii="宋体" w:hAnsi="宋体" w:eastAsia="宋体" w:cs="宋体"/>
          <w:color w:val="0000FF"/>
          <w:sz w:val="24"/>
          <w:szCs w:val="22"/>
          <w:lang w:val="en-US" w:eastAsia="zh-CN"/>
        </w:rPr>
        <w:t xml:space="preserve"> </w:t>
      </w:r>
      <w:r>
        <w:rPr>
          <w:rFonts w:hint="eastAsia" w:ascii="宋体" w:hAnsi="宋体" w:eastAsia="宋体" w:cs="宋体"/>
          <w:color w:val="0000FF"/>
          <w:sz w:val="24"/>
          <w:szCs w:val="22"/>
        </w:rPr>
        <w:t>能</w:t>
      </w:r>
      <w:r>
        <w:rPr>
          <w:rFonts w:hint="eastAsia" w:ascii="宋体" w:hAnsi="宋体" w:eastAsia="宋体" w:cs="宋体"/>
          <w:color w:val="0000FF"/>
          <w:sz w:val="24"/>
          <w:szCs w:val="22"/>
          <w:lang w:val="en-US" w:eastAsia="zh-CN"/>
        </w:rPr>
        <w:t xml:space="preserve"> </w:t>
      </w:r>
      <w:r>
        <w:rPr>
          <w:rFonts w:hint="eastAsia" w:ascii="宋体" w:hAnsi="宋体" w:eastAsia="宋体" w:cs="宋体"/>
          <w:color w:val="0000FF"/>
          <w:sz w:val="24"/>
          <w:szCs w:val="22"/>
        </w:rPr>
        <w:t>演</w:t>
      </w:r>
      <w:r>
        <w:rPr>
          <w:rFonts w:hint="eastAsia" w:ascii="宋体" w:hAnsi="宋体" w:eastAsia="宋体" w:cs="宋体"/>
          <w:color w:val="0000FF"/>
          <w:sz w:val="24"/>
          <w:szCs w:val="22"/>
          <w:lang w:val="en-US" w:eastAsia="zh-CN"/>
        </w:rPr>
        <w:t xml:space="preserve"> </w:t>
      </w:r>
      <w:r>
        <w:rPr>
          <w:rFonts w:hint="eastAsia" w:ascii="宋体" w:hAnsi="宋体" w:eastAsia="宋体" w:cs="宋体"/>
          <w:color w:val="0000FF"/>
          <w:sz w:val="24"/>
          <w:szCs w:val="22"/>
        </w:rPr>
        <w:t>示</w:t>
      </w:r>
    </w:p>
    <w:p w14:paraId="490063AA">
      <w:pPr>
        <w:adjustRightInd w:val="0"/>
        <w:snapToGrid w:val="0"/>
        <w:spacing w:line="360" w:lineRule="auto"/>
        <w:rPr>
          <w:rFonts w:hint="eastAsia" w:ascii="宋体" w:hAnsi="宋体" w:eastAsia="宋体" w:cs="宋体"/>
          <w:color w:val="0000FF"/>
          <w:sz w:val="24"/>
          <w:szCs w:val="22"/>
        </w:rPr>
      </w:pPr>
      <w:r>
        <w:rPr>
          <w:rFonts w:hint="eastAsia" w:ascii="宋体" w:hAnsi="宋体" w:eastAsia="宋体" w:cs="宋体"/>
          <w:color w:val="0000FF"/>
          <w:sz w:val="24"/>
          <w:szCs w:val="22"/>
        </w:rPr>
        <w:t>备注：1.本项目采用线上开标方式，各投标人须委派现场演示人员，于</w:t>
      </w:r>
      <w:r>
        <w:rPr>
          <w:rFonts w:hint="eastAsia" w:ascii="宋体" w:hAnsi="宋体" w:eastAsia="宋体" w:cs="宋体"/>
          <w:color w:val="0000FF"/>
          <w:sz w:val="24"/>
          <w:szCs w:val="22"/>
          <w:lang w:val="en-US" w:eastAsia="zh-CN"/>
        </w:rPr>
        <w:t>投标文件递交截止时间</w:t>
      </w:r>
      <w:r>
        <w:rPr>
          <w:rFonts w:hint="eastAsia" w:ascii="宋体" w:hAnsi="宋体" w:eastAsia="宋体" w:cs="宋体"/>
          <w:color w:val="0000FF"/>
          <w:sz w:val="24"/>
          <w:szCs w:val="22"/>
        </w:rPr>
        <w:t>前往现场等待完成功能演示；演示到场人员须携带法定代表人授权委托书原件。演示地点：陕西省西安市莲湖区高新二路1号招商银行大厦19层。</w:t>
      </w:r>
    </w:p>
    <w:p w14:paraId="79189AE3">
      <w:pPr>
        <w:adjustRightInd w:val="0"/>
        <w:snapToGrid w:val="0"/>
        <w:spacing w:line="360" w:lineRule="auto"/>
        <w:rPr>
          <w:rFonts w:hint="eastAsia" w:ascii="宋体" w:hAnsi="宋体" w:eastAsia="宋体" w:cs="宋体"/>
          <w:color w:val="0000FF"/>
          <w:sz w:val="24"/>
          <w:szCs w:val="22"/>
        </w:rPr>
      </w:pPr>
      <w:r>
        <w:rPr>
          <w:rFonts w:hint="eastAsia" w:ascii="宋体" w:hAnsi="宋体" w:eastAsia="宋体" w:cs="宋体"/>
          <w:color w:val="0000FF"/>
          <w:sz w:val="24"/>
          <w:szCs w:val="22"/>
        </w:rPr>
        <w:t>2.本项目中要求现场演示的内容由投标人自行搭建演示环境进行以上系统功能，投标人未提供现场功能演示按0分计算；</w:t>
      </w:r>
    </w:p>
    <w:p w14:paraId="22E6DC22">
      <w:pPr>
        <w:adjustRightInd w:val="0"/>
        <w:snapToGrid w:val="0"/>
        <w:spacing w:line="360" w:lineRule="auto"/>
        <w:rPr>
          <w:rFonts w:hint="eastAsia" w:ascii="宋体" w:hAnsi="宋体" w:eastAsia="宋体" w:cs="宋体"/>
          <w:color w:val="0000FF"/>
          <w:sz w:val="24"/>
          <w:szCs w:val="22"/>
        </w:rPr>
      </w:pPr>
      <w:r>
        <w:rPr>
          <w:rFonts w:hint="eastAsia" w:ascii="宋体" w:hAnsi="宋体" w:eastAsia="宋体" w:cs="宋体"/>
          <w:color w:val="0000FF"/>
          <w:sz w:val="24"/>
          <w:szCs w:val="22"/>
        </w:rPr>
        <w:t>3.演示时间不超过20分钟。自评标委员会要求开始之时起计算时间。各投标人应在上述规定时间内完成演示部分的全部内容，如因时间问题未能演示完成或中断演示的，由投标人自行承担相关不利风险。</w:t>
      </w:r>
    </w:p>
    <w:p w14:paraId="4F2C44ED">
      <w:pPr>
        <w:adjustRightInd w:val="0"/>
        <w:snapToGrid w:val="0"/>
        <w:spacing w:line="360" w:lineRule="auto"/>
        <w:rPr>
          <w:rFonts w:hint="eastAsia" w:ascii="宋体" w:hAnsi="宋体" w:eastAsia="宋体" w:cs="宋体"/>
          <w:color w:val="0000FF"/>
          <w:sz w:val="24"/>
          <w:szCs w:val="22"/>
        </w:rPr>
      </w:pPr>
      <w:r>
        <w:rPr>
          <w:rFonts w:hint="eastAsia" w:ascii="宋体" w:hAnsi="宋体" w:eastAsia="宋体" w:cs="宋体"/>
          <w:color w:val="0000FF"/>
          <w:sz w:val="24"/>
          <w:szCs w:val="22"/>
        </w:rPr>
        <w:t>4.各投标人应在开标前提前做好相关演示准备。演示内容按照上述功能演示顺序依次进行演示，且各投标人需自行准备相关演示所用的设施设备，并且自行考虑相关外部网络链接等问题，如在开标现场因投标人自身问题而造成的演示停滞、无法演示等情况，由投标人自行承担相关不利风险。未提供演示或开标现场因投标人自身原因无法演示的不得分。</w:t>
      </w:r>
    </w:p>
    <w:p w14:paraId="781DB0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D731F2"/>
    <w:rsid w:val="401075FB"/>
    <w:rsid w:val="5F8F57CA"/>
    <w:rsid w:val="751E2FEB"/>
    <w:rsid w:val="7AD73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412</Characters>
  <Lines>0</Lines>
  <Paragraphs>0</Paragraphs>
  <TotalTime>0</TotalTime>
  <ScaleCrop>false</ScaleCrop>
  <LinksUpToDate>false</LinksUpToDate>
  <CharactersWithSpaces>415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2026-07-14T11:01:00Z</dcterms:created>
  <dc:creator>M</dc:creator>
  <cp:lastModifiedBy>xi</cp:lastModifiedBy>
  <dcterms:modified xsi:type="dcterms:W3CDTF">2026-07-14T11:19:39Z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082D838E0BDE43D5823912F95A968C47_13</vt:lpwstr>
  </property>
  <property fmtid="{D5CDD505-2E9C-101B-9397-08002B2CF9AE}" pid="4" name="KSOTemplateDocerSaveRecord">
    <vt:lpwstr>eyJoZGlkIjoiNDZjZTQ5NDI0YmIxNmY2MzBjNzU2NGY5OTg0YjE5YmIiLCJ1c2VySWQiOiIzMzE0MzU5ODcifQ==</vt:lpwstr>
  </property>
</Properties>
</file>