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C8D51">
      <w:pPr>
        <w:rPr>
          <w:rFonts w:ascii="黑体" w:eastAsia="黑体"/>
          <w:b/>
          <w:sz w:val="32"/>
          <w:szCs w:val="32"/>
        </w:rPr>
      </w:pPr>
      <w:r>
        <w:rPr>
          <w:rFonts w:hint="eastAsia" w:ascii="宋体" w:hAnsi="宋体" w:cs="宋体"/>
          <w:bCs/>
          <w:szCs w:val="21"/>
        </w:rPr>
        <w:t>合同编号：</w:t>
      </w:r>
    </w:p>
    <w:p w14:paraId="58B0B999">
      <w:pPr>
        <w:rPr>
          <w:rFonts w:ascii="黑体" w:eastAsia="黑体"/>
          <w:sz w:val="52"/>
          <w:szCs w:val="52"/>
        </w:rPr>
      </w:pPr>
    </w:p>
    <w:p w14:paraId="23C8C0CB">
      <w:pPr>
        <w:tabs>
          <w:tab w:val="left" w:pos="5670"/>
        </w:tabs>
        <w:autoSpaceDE w:val="0"/>
        <w:autoSpaceDN w:val="0"/>
        <w:adjustRightInd w:val="0"/>
        <w:snapToGrid w:val="0"/>
        <w:spacing w:line="360" w:lineRule="auto"/>
        <w:jc w:val="center"/>
        <w:rPr>
          <w:rFonts w:ascii="宋体" w:hAnsi="宋体"/>
          <w:b/>
          <w:spacing w:val="-20"/>
          <w:sz w:val="40"/>
          <w:szCs w:val="40"/>
        </w:rPr>
      </w:pPr>
      <w:r>
        <w:rPr>
          <w:rFonts w:hint="eastAsia" w:ascii="宋体" w:hAnsi="宋体"/>
          <w:b/>
          <w:spacing w:val="-20"/>
          <w:sz w:val="40"/>
          <w:szCs w:val="40"/>
        </w:rPr>
        <w:t>西安外国语大学</w:t>
      </w:r>
      <w:bookmarkStart w:id="0" w:name="_Toc21471"/>
      <w:bookmarkStart w:id="1" w:name="_Toc21010"/>
      <w:bookmarkStart w:id="2" w:name="_Toc4800"/>
      <w:bookmarkStart w:id="3" w:name="_Toc6447"/>
      <w:bookmarkStart w:id="4" w:name="_Toc28338"/>
      <w:bookmarkStart w:id="5" w:name="_Toc23726"/>
      <w:bookmarkStart w:id="6" w:name="_Toc9247"/>
      <w:bookmarkStart w:id="7" w:name="_Toc12015"/>
      <w:bookmarkStart w:id="8" w:name="_Toc4766"/>
      <w:bookmarkStart w:id="9" w:name="_Toc27654"/>
      <w:bookmarkStart w:id="10" w:name="_Toc15229"/>
      <w:bookmarkStart w:id="11" w:name="_Toc2063"/>
      <w:bookmarkStart w:id="12" w:name="_Toc7449"/>
      <w:bookmarkStart w:id="13" w:name="_Toc1453"/>
      <w:r>
        <w:rPr>
          <w:rFonts w:hint="eastAsia" w:ascii="宋体" w:hAnsi="宋体"/>
          <w:b/>
          <w:spacing w:val="-20"/>
          <w:sz w:val="40"/>
          <w:szCs w:val="40"/>
        </w:rPr>
        <w:t>AIGC超高清视频内容创作实验室、MR沉浸式虚拟直播创新中台、融合媒体业务全流程的教学实践中台、AI智能体与全方位AIGC工具集成中台项目</w:t>
      </w:r>
    </w:p>
    <w:p w14:paraId="45940F3A">
      <w:pPr>
        <w:tabs>
          <w:tab w:val="left" w:pos="5670"/>
        </w:tabs>
        <w:autoSpaceDE w:val="0"/>
        <w:autoSpaceDN w:val="0"/>
        <w:adjustRightInd w:val="0"/>
        <w:snapToGrid w:val="0"/>
        <w:spacing w:line="360" w:lineRule="auto"/>
        <w:rPr>
          <w:rFonts w:ascii="宋体" w:hAnsi="宋体"/>
          <w:b/>
          <w:spacing w:val="-20"/>
          <w:sz w:val="52"/>
          <w:szCs w:val="52"/>
        </w:rPr>
      </w:pPr>
    </w:p>
    <w:p w14:paraId="24E08D8C">
      <w:pPr>
        <w:tabs>
          <w:tab w:val="left" w:pos="5670"/>
        </w:tabs>
        <w:autoSpaceDE w:val="0"/>
        <w:autoSpaceDN w:val="0"/>
        <w:adjustRightInd w:val="0"/>
        <w:snapToGrid w:val="0"/>
        <w:spacing w:line="360" w:lineRule="auto"/>
        <w:jc w:val="center"/>
      </w:pP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7E3CACE1">
      <w:pPr>
        <w:pStyle w:val="3"/>
      </w:pPr>
    </w:p>
    <w:p w14:paraId="76C01218">
      <w:pPr>
        <w:pStyle w:val="3"/>
      </w:pPr>
    </w:p>
    <w:p w14:paraId="655350B5">
      <w:pPr>
        <w:pStyle w:val="3"/>
      </w:pPr>
    </w:p>
    <w:p w14:paraId="26A8719A">
      <w:pPr>
        <w:pStyle w:val="3"/>
      </w:pPr>
    </w:p>
    <w:p w14:paraId="3D7ACC4E">
      <w:pPr>
        <w:rPr>
          <w:rFonts w:ascii="黑体" w:eastAsia="黑体"/>
          <w:sz w:val="30"/>
          <w:szCs w:val="30"/>
        </w:rPr>
      </w:pPr>
    </w:p>
    <w:p w14:paraId="626A518D">
      <w:pPr>
        <w:ind w:firstLine="2080" w:firstLineChars="650"/>
        <w:rPr>
          <w:rFonts w:ascii="宋体"/>
          <w:b/>
          <w:bCs/>
          <w:sz w:val="32"/>
          <w:szCs w:val="32"/>
        </w:rPr>
      </w:pPr>
      <w:r>
        <w:rPr>
          <w:rFonts w:hint="eastAsia" w:ascii="宋体" w:hAnsi="宋体"/>
          <w:b/>
          <w:bCs/>
          <w:sz w:val="32"/>
          <w:szCs w:val="32"/>
        </w:rPr>
        <w:t>甲方：西安外国语大学</w:t>
      </w:r>
    </w:p>
    <w:p w14:paraId="205EEC55">
      <w:pPr>
        <w:tabs>
          <w:tab w:val="left" w:pos="480"/>
        </w:tabs>
        <w:ind w:firstLine="2080" w:firstLineChars="650"/>
        <w:rPr>
          <w:rFonts w:ascii="宋体"/>
          <w:b/>
          <w:bCs/>
          <w:sz w:val="32"/>
          <w:szCs w:val="32"/>
        </w:rPr>
      </w:pPr>
      <w:r>
        <w:rPr>
          <w:rFonts w:hint="eastAsia" w:ascii="宋体" w:hAnsi="宋体"/>
          <w:b/>
          <w:bCs/>
          <w:sz w:val="32"/>
          <w:szCs w:val="32"/>
        </w:rPr>
        <w:t>乙方：</w:t>
      </w:r>
    </w:p>
    <w:p w14:paraId="5323F3F3">
      <w:pPr>
        <w:pStyle w:val="7"/>
        <w:ind w:firstLine="653"/>
        <w:rPr>
          <w:b/>
          <w:bCs/>
          <w:sz w:val="32"/>
          <w:szCs w:val="32"/>
        </w:rPr>
      </w:pPr>
      <w:r>
        <w:rPr>
          <w:rFonts w:hint="eastAsia" w:hAnsi="宋体"/>
          <w:b/>
          <w:bCs/>
          <w:kern w:val="2"/>
          <w:sz w:val="32"/>
          <w:szCs w:val="32"/>
        </w:rPr>
        <w:t xml:space="preserve">   </w:t>
      </w:r>
      <w:r>
        <w:rPr>
          <w:rFonts w:hAnsi="宋体"/>
          <w:b/>
          <w:bCs/>
          <w:kern w:val="2"/>
          <w:sz w:val="32"/>
          <w:szCs w:val="32"/>
        </w:rPr>
        <w:t xml:space="preserve">      </w:t>
      </w:r>
      <w:r>
        <w:rPr>
          <w:rFonts w:hint="eastAsia" w:hAnsi="宋体"/>
          <w:b/>
          <w:bCs/>
          <w:kern w:val="2"/>
          <w:sz w:val="32"/>
          <w:szCs w:val="32"/>
        </w:rPr>
        <w:t>鉴证方：</w:t>
      </w:r>
    </w:p>
    <w:p w14:paraId="64AD5F09">
      <w:pPr>
        <w:rPr>
          <w:rFonts w:ascii="黑体" w:eastAsia="黑体"/>
          <w:sz w:val="30"/>
          <w:szCs w:val="30"/>
        </w:rPr>
      </w:pPr>
    </w:p>
    <w:p w14:paraId="5D63C053">
      <w:pPr>
        <w:pStyle w:val="3"/>
      </w:pPr>
    </w:p>
    <w:p w14:paraId="182BD8DA">
      <w:pPr>
        <w:pStyle w:val="3"/>
      </w:pPr>
    </w:p>
    <w:p w14:paraId="0BC1E510">
      <w:pPr>
        <w:jc w:val="center"/>
        <w:outlineLvl w:val="0"/>
        <w:rPr>
          <w:rFonts w:ascii="黑体" w:eastAsia="黑体"/>
          <w:sz w:val="32"/>
          <w:szCs w:val="32"/>
        </w:rPr>
      </w:pPr>
      <w:bookmarkStart w:id="14" w:name="_Toc25053"/>
      <w:bookmarkStart w:id="15" w:name="_Toc27214"/>
      <w:bookmarkStart w:id="16" w:name="_Toc30907"/>
      <w:bookmarkStart w:id="17" w:name="_Toc21875"/>
      <w:bookmarkStart w:id="18" w:name="_Toc13740"/>
      <w:bookmarkStart w:id="19" w:name="_Toc22798"/>
      <w:bookmarkStart w:id="20" w:name="_Toc7714"/>
      <w:bookmarkStart w:id="21" w:name="_Toc4189"/>
      <w:bookmarkStart w:id="22" w:name="_Toc21769"/>
      <w:bookmarkStart w:id="23" w:name="_Toc29335"/>
      <w:bookmarkStart w:id="24" w:name="_Toc1075"/>
      <w:bookmarkStart w:id="25" w:name="_Toc15790"/>
      <w:bookmarkStart w:id="26" w:name="_Toc16696"/>
      <w:bookmarkStart w:id="27" w:name="_Toc14444"/>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5E5992F">
      <w:pPr>
        <w:jc w:val="center"/>
        <w:rPr>
          <w:rFonts w:ascii="黑体" w:eastAsia="黑体"/>
          <w:sz w:val="32"/>
          <w:szCs w:val="32"/>
        </w:rPr>
      </w:pPr>
      <w:r>
        <w:rPr>
          <w:rFonts w:hint="eastAsia" w:ascii="黑体" w:eastAsia="黑体"/>
          <w:sz w:val="32"/>
          <w:szCs w:val="32"/>
        </w:rPr>
        <w:t>中国西安</w:t>
      </w:r>
    </w:p>
    <w:p w14:paraId="2666B6AC">
      <w:pPr>
        <w:spacing w:line="520" w:lineRule="exact"/>
        <w:jc w:val="center"/>
        <w:rPr>
          <w:rFonts w:ascii="宋体"/>
          <w:b/>
          <w:sz w:val="44"/>
          <w:szCs w:val="44"/>
        </w:rPr>
      </w:pPr>
      <w:r>
        <w:rPr>
          <w:rFonts w:ascii="黑体" w:eastAsia="黑体"/>
          <w:sz w:val="32"/>
          <w:szCs w:val="32"/>
        </w:rPr>
        <w:br w:type="page"/>
      </w:r>
      <w:r>
        <w:rPr>
          <w:rFonts w:hint="eastAsia" w:ascii="宋体" w:hAnsi="宋体"/>
          <w:b/>
          <w:sz w:val="44"/>
          <w:szCs w:val="44"/>
        </w:rPr>
        <w:t>供货合同</w:t>
      </w:r>
    </w:p>
    <w:p w14:paraId="7F90858F">
      <w:pPr>
        <w:tabs>
          <w:tab w:val="left" w:pos="5670"/>
        </w:tabs>
        <w:autoSpaceDE w:val="0"/>
        <w:autoSpaceDN w:val="0"/>
        <w:adjustRightInd w:val="0"/>
        <w:snapToGrid w:val="0"/>
        <w:spacing w:line="520" w:lineRule="exact"/>
        <w:ind w:firstLine="140" w:firstLineChars="50"/>
        <w:rPr>
          <w:rFonts w:ascii="宋体"/>
          <w:sz w:val="28"/>
          <w:szCs w:val="28"/>
        </w:rPr>
      </w:pPr>
    </w:p>
    <w:p w14:paraId="4BE30B89">
      <w:pPr>
        <w:spacing w:line="520" w:lineRule="exact"/>
        <w:ind w:firstLine="560"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41C8A2AB">
      <w:pPr>
        <w:spacing w:line="520" w:lineRule="exact"/>
        <w:ind w:firstLine="560" w:firstLineChars="200"/>
        <w:rPr>
          <w:rFonts w:ascii="宋体"/>
          <w:sz w:val="28"/>
          <w:szCs w:val="28"/>
        </w:rPr>
      </w:pPr>
      <w:r>
        <w:rPr>
          <w:rFonts w:hint="eastAsia" w:ascii="宋体" w:hAnsi="宋体"/>
          <w:b/>
          <w:sz w:val="28"/>
          <w:szCs w:val="28"/>
        </w:rPr>
        <w:t>乙方：</w:t>
      </w:r>
    </w:p>
    <w:p w14:paraId="7598EDA3">
      <w:pPr>
        <w:spacing w:line="520" w:lineRule="exact"/>
        <w:ind w:firstLine="560" w:firstLineChars="200"/>
        <w:rPr>
          <w:rFonts w:ascii="宋体"/>
          <w:sz w:val="28"/>
          <w:szCs w:val="28"/>
        </w:rPr>
      </w:pPr>
      <w:r>
        <w:rPr>
          <w:rFonts w:hint="eastAsia" w:ascii="宋体" w:hAnsi="宋体"/>
          <w:b/>
          <w:sz w:val="28"/>
          <w:szCs w:val="28"/>
        </w:rPr>
        <w:t>鉴证方：</w:t>
      </w:r>
    </w:p>
    <w:p w14:paraId="36F7E5B2">
      <w:pPr>
        <w:tabs>
          <w:tab w:val="left" w:pos="5670"/>
        </w:tabs>
        <w:autoSpaceDE w:val="0"/>
        <w:autoSpaceDN w:val="0"/>
        <w:adjustRightInd w:val="0"/>
        <w:snapToGrid w:val="0"/>
        <w:spacing w:line="520" w:lineRule="exact"/>
        <w:ind w:firstLine="280" w:firstLineChars="100"/>
        <w:rPr>
          <w:rFonts w:ascii="宋体"/>
          <w:sz w:val="28"/>
          <w:szCs w:val="28"/>
        </w:rPr>
      </w:pPr>
    </w:p>
    <w:p w14:paraId="35DB48CB">
      <w:pPr>
        <w:tabs>
          <w:tab w:val="left" w:pos="5670"/>
        </w:tabs>
        <w:autoSpaceDE w:val="0"/>
        <w:autoSpaceDN w:val="0"/>
        <w:adjustRightInd w:val="0"/>
        <w:snapToGrid w:val="0"/>
        <w:spacing w:line="520" w:lineRule="exact"/>
        <w:ind w:firstLine="560" w:firstLineChars="200"/>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u w:val="single"/>
        </w:rPr>
        <w:t>AIGC超高清视频内容创作实验室、MR沉浸式虚拟直播创新中台、融合媒体业务全流程的教学实践中台、AI智能体与全方位AIGC工具集成中台项目</w:t>
      </w:r>
      <w:r>
        <w:rPr>
          <w:rFonts w:hint="eastAsia" w:ascii="宋体" w:hAnsi="宋体"/>
          <w:sz w:val="28"/>
          <w:szCs w:val="28"/>
        </w:rPr>
        <w:t>招标文件，由</w:t>
      </w:r>
      <w:r>
        <w:rPr>
          <w:rFonts w:hint="eastAsia" w:ascii="宋体" w:hAnsi="宋体"/>
          <w:sz w:val="28"/>
          <w:szCs w:val="28"/>
          <w:u w:val="single"/>
        </w:rPr>
        <w:t>开瑞项目管理有限公司</w:t>
      </w:r>
      <w:r>
        <w:rPr>
          <w:rFonts w:hint="eastAsia" w:ascii="宋体" w:hAnsi="宋体"/>
          <w:sz w:val="28"/>
          <w:szCs w:val="28"/>
        </w:rPr>
        <w:t>组织         (公开招标)，经甲方确认，选定乙方为</w:t>
      </w:r>
      <w:r>
        <w:rPr>
          <w:rFonts w:hint="eastAsia" w:ascii="宋体" w:hAnsi="宋体"/>
          <w:sz w:val="28"/>
          <w:szCs w:val="28"/>
          <w:u w:val="single"/>
        </w:rPr>
        <w:t xml:space="preserve">                   </w:t>
      </w:r>
      <w:r>
        <w:rPr>
          <w:rFonts w:hint="eastAsia" w:ascii="宋体" w:hAnsi="宋体"/>
          <w:sz w:val="28"/>
          <w:szCs w:val="28"/>
        </w:rPr>
        <w:t>项目的成交单位。甲、乙双方经平等协商，自愿达成如下合同条款。</w:t>
      </w:r>
    </w:p>
    <w:p w14:paraId="6CCB2DB7">
      <w:pPr>
        <w:numPr>
          <w:ilvl w:val="0"/>
          <w:numId w:val="0"/>
        </w:numPr>
        <w:tabs>
          <w:tab w:val="left" w:pos="320"/>
          <w:tab w:val="left" w:pos="480"/>
          <w:tab w:val="left" w:pos="846"/>
        </w:tabs>
        <w:spacing w:line="520" w:lineRule="exact"/>
        <w:ind w:firstLine="560" w:firstLineChars="200"/>
        <w:rPr>
          <w:rStyle w:val="8"/>
          <w:rFonts w:hint="default"/>
          <w:sz w:val="28"/>
          <w:szCs w:val="28"/>
        </w:rPr>
      </w:pPr>
      <w:bookmarkStart w:id="28" w:name="_Toc20980"/>
      <w:bookmarkStart w:id="29" w:name="_Toc4508"/>
      <w:bookmarkStart w:id="30" w:name="_Toc22380"/>
      <w:bookmarkStart w:id="31" w:name="_Toc3969"/>
      <w:bookmarkStart w:id="32" w:name="_Toc12808"/>
      <w:bookmarkStart w:id="33" w:name="_Toc19329"/>
      <w:bookmarkStart w:id="34" w:name="_Toc6404"/>
      <w:r>
        <w:rPr>
          <w:rFonts w:hint="eastAsia" w:ascii="宋体" w:hAnsi="宋体" w:eastAsia="宋体" w:cs="Times New Roman"/>
          <w:b/>
          <w:bCs/>
          <w:kern w:val="0"/>
          <w:sz w:val="28"/>
          <w:szCs w:val="28"/>
          <w:lang w:val="en-US" w:eastAsia="zh-CN" w:bidi="ar"/>
        </w:rPr>
        <w:t>一、</w:t>
      </w:r>
      <w:r>
        <w:rPr>
          <w:rStyle w:val="8"/>
          <w:rFonts w:hint="default"/>
          <w:sz w:val="28"/>
          <w:szCs w:val="28"/>
        </w:rPr>
        <w:t>合同标的物内容及数量（详见附件1）</w:t>
      </w:r>
      <w:bookmarkEnd w:id="28"/>
      <w:bookmarkEnd w:id="29"/>
      <w:bookmarkEnd w:id="30"/>
      <w:bookmarkEnd w:id="31"/>
      <w:bookmarkEnd w:id="32"/>
    </w:p>
    <w:bookmarkEnd w:id="33"/>
    <w:bookmarkEnd w:id="34"/>
    <w:p w14:paraId="6B7E6BE1">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2FE4273F">
      <w:pPr>
        <w:numPr>
          <w:ilvl w:val="0"/>
          <w:numId w:val="0"/>
        </w:numPr>
        <w:tabs>
          <w:tab w:val="left" w:pos="320"/>
          <w:tab w:val="left" w:pos="480"/>
          <w:tab w:val="left" w:pos="846"/>
        </w:tabs>
        <w:spacing w:line="520" w:lineRule="exact"/>
        <w:ind w:firstLine="560" w:firstLineChars="200"/>
        <w:rPr>
          <w:rStyle w:val="8"/>
          <w:rFonts w:hint="default" w:hAnsi="Calibri"/>
          <w:sz w:val="28"/>
          <w:szCs w:val="28"/>
        </w:rPr>
      </w:pPr>
      <w:bookmarkStart w:id="35" w:name="_Toc2435"/>
      <w:bookmarkStart w:id="36" w:name="_Toc4336"/>
      <w:bookmarkStart w:id="37" w:name="_Toc31945"/>
      <w:bookmarkStart w:id="38" w:name="_Toc5897"/>
      <w:bookmarkStart w:id="39" w:name="_Toc11184"/>
      <w:bookmarkStart w:id="40" w:name="_Toc12848"/>
      <w:bookmarkStart w:id="41" w:name="_Toc29232"/>
      <w:r>
        <w:rPr>
          <w:rFonts w:hint="eastAsia" w:ascii="宋体" w:hAnsi="Calibri" w:eastAsia="宋体" w:cs="Times New Roman"/>
          <w:b/>
          <w:bCs/>
          <w:kern w:val="0"/>
          <w:sz w:val="28"/>
          <w:szCs w:val="28"/>
          <w:lang w:val="en-US" w:eastAsia="zh-CN" w:bidi="ar"/>
        </w:rPr>
        <w:t>二、</w:t>
      </w:r>
      <w:r>
        <w:rPr>
          <w:rStyle w:val="8"/>
          <w:rFonts w:hint="default"/>
          <w:sz w:val="28"/>
          <w:szCs w:val="28"/>
        </w:rPr>
        <w:t>合同价款</w:t>
      </w:r>
      <w:bookmarkEnd w:id="35"/>
      <w:bookmarkEnd w:id="36"/>
      <w:bookmarkEnd w:id="37"/>
      <w:bookmarkEnd w:id="38"/>
      <w:bookmarkEnd w:id="39"/>
    </w:p>
    <w:bookmarkEnd w:id="40"/>
    <w:bookmarkEnd w:id="41"/>
    <w:p w14:paraId="491C60BA">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37D2E7C3">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56890D2E">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0C54E627">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(四)乙方在签合同前须向甲方支付合同总价的5%作为履约保证金。</w:t>
      </w:r>
    </w:p>
    <w:p w14:paraId="57FEF20C">
      <w:pPr>
        <w:numPr>
          <w:ilvl w:val="0"/>
          <w:numId w:val="0"/>
        </w:numPr>
        <w:tabs>
          <w:tab w:val="left" w:pos="320"/>
          <w:tab w:val="left" w:pos="480"/>
          <w:tab w:val="left" w:pos="846"/>
        </w:tabs>
        <w:spacing w:line="520" w:lineRule="exact"/>
        <w:ind w:firstLine="560" w:firstLineChars="200"/>
        <w:rPr>
          <w:rStyle w:val="8"/>
          <w:rFonts w:hint="default" w:hAnsi="Calibri"/>
          <w:sz w:val="28"/>
          <w:szCs w:val="28"/>
        </w:rPr>
      </w:pPr>
      <w:bookmarkStart w:id="42" w:name="_Toc32210"/>
      <w:bookmarkStart w:id="43" w:name="_Toc2457"/>
      <w:bookmarkStart w:id="44" w:name="_Toc15256"/>
      <w:bookmarkStart w:id="45" w:name="_Toc22027"/>
      <w:bookmarkStart w:id="46" w:name="_Toc23736"/>
      <w:r>
        <w:rPr>
          <w:rFonts w:hint="eastAsia" w:ascii="宋体" w:hAnsi="Calibri" w:eastAsia="宋体" w:cs="Times New Roman"/>
          <w:b/>
          <w:bCs/>
          <w:kern w:val="0"/>
          <w:sz w:val="28"/>
          <w:szCs w:val="28"/>
          <w:lang w:val="en-US" w:eastAsia="zh-CN" w:bidi="ar"/>
        </w:rPr>
        <w:t>三、</w:t>
      </w:r>
      <w:r>
        <w:rPr>
          <w:rStyle w:val="8"/>
          <w:rFonts w:hint="default"/>
          <w:sz w:val="28"/>
          <w:szCs w:val="28"/>
        </w:rPr>
        <w:t>款项结算</w:t>
      </w:r>
    </w:p>
    <w:bookmarkEnd w:id="42"/>
    <w:bookmarkEnd w:id="43"/>
    <w:bookmarkEnd w:id="44"/>
    <w:bookmarkEnd w:id="45"/>
    <w:bookmarkEnd w:id="46"/>
    <w:p w14:paraId="596657CB">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宋体" w:hAnsi="宋体"/>
          <w:sz w:val="28"/>
          <w:szCs w:val="28"/>
        </w:rPr>
        <w:t>所有货物安装集成调试完毕且经甲方初验合格后，甲方支付合同总价的</w:t>
      </w:r>
      <w:r>
        <w:rPr>
          <w:rFonts w:hint="eastAsia" w:ascii="宋体" w:hAnsi="宋体"/>
          <w:b/>
          <w:bCs/>
          <w:sz w:val="28"/>
          <w:szCs w:val="28"/>
          <w:u w:val="single"/>
        </w:rPr>
        <w:t>XX</w:t>
      </w:r>
      <w:r>
        <w:rPr>
          <w:rFonts w:ascii="宋体" w:hAnsi="宋体"/>
          <w:b/>
          <w:bCs/>
          <w:sz w:val="28"/>
          <w:szCs w:val="28"/>
          <w:u w:val="single"/>
        </w:rPr>
        <w:t xml:space="preserve"> %</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389248F7">
      <w:pPr>
        <w:spacing w:line="520" w:lineRule="exact"/>
        <w:ind w:firstLine="490" w:firstLineChars="175"/>
        <w:rPr>
          <w:rFonts w:ascii="宋体"/>
          <w:sz w:val="28"/>
          <w:szCs w:val="28"/>
        </w:rPr>
      </w:pPr>
      <w:r>
        <w:rPr>
          <w:rFonts w:hint="eastAsia" w:ascii="宋体" w:hAnsi="宋体"/>
          <w:sz w:val="28"/>
          <w:szCs w:val="28"/>
        </w:rPr>
        <w:t>（二）项目经甲方终验合格后，甲方支付合同总价的</w:t>
      </w:r>
      <w:r>
        <w:rPr>
          <w:rFonts w:hint="eastAsia" w:ascii="宋体" w:hAnsi="宋体"/>
          <w:sz w:val="28"/>
          <w:szCs w:val="28"/>
          <w:u w:val="single"/>
        </w:rPr>
        <w:t>XX</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37D4592D">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666C412E">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5B75591C">
      <w:pPr>
        <w:pStyle w:val="4"/>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460EB700">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2E202C9D">
      <w:pPr>
        <w:pStyle w:val="7"/>
        <w:spacing w:line="520" w:lineRule="exact"/>
        <w:ind w:firstLine="560"/>
        <w:rPr>
          <w:rFonts w:hAnsi="宋体"/>
          <w:kern w:val="2"/>
          <w:sz w:val="28"/>
          <w:szCs w:val="28"/>
        </w:rPr>
      </w:pPr>
      <w:r>
        <w:rPr>
          <w:rFonts w:hint="eastAsia" w:hAnsi="宋体"/>
          <w:kern w:val="2"/>
          <w:sz w:val="28"/>
          <w:szCs w:val="28"/>
        </w:rPr>
        <w:t>乙方收款信息如下：</w:t>
      </w:r>
    </w:p>
    <w:p w14:paraId="30535A46">
      <w:pPr>
        <w:spacing w:line="520" w:lineRule="exact"/>
        <w:ind w:firstLine="560" w:firstLineChars="200"/>
        <w:rPr>
          <w:rFonts w:hAnsi="宋体"/>
          <w:sz w:val="28"/>
          <w:szCs w:val="28"/>
        </w:rPr>
      </w:pPr>
      <w:r>
        <w:rPr>
          <w:rFonts w:hint="eastAsia" w:hAnsi="宋体"/>
          <w:sz w:val="28"/>
          <w:szCs w:val="28"/>
        </w:rPr>
        <w:t>单位名称：</w:t>
      </w:r>
    </w:p>
    <w:p w14:paraId="1508D5A7">
      <w:pPr>
        <w:spacing w:line="520" w:lineRule="exact"/>
        <w:ind w:firstLine="560" w:firstLineChars="200"/>
        <w:rPr>
          <w:rFonts w:ascii="宋体" w:hAnsi="宋体"/>
          <w:sz w:val="28"/>
          <w:szCs w:val="28"/>
        </w:rPr>
      </w:pPr>
      <w:r>
        <w:rPr>
          <w:rFonts w:hint="eastAsia" w:ascii="宋体" w:hAnsi="宋体"/>
          <w:sz w:val="28"/>
          <w:szCs w:val="28"/>
        </w:rPr>
        <w:t>开户行：</w:t>
      </w:r>
    </w:p>
    <w:p w14:paraId="2E031C4C">
      <w:pPr>
        <w:spacing w:line="520" w:lineRule="exact"/>
        <w:ind w:firstLine="560" w:firstLineChars="200"/>
        <w:rPr>
          <w:rFonts w:ascii="宋体" w:hAnsi="宋体"/>
          <w:sz w:val="28"/>
          <w:szCs w:val="28"/>
        </w:rPr>
      </w:pPr>
      <w:r>
        <w:rPr>
          <w:rFonts w:hint="eastAsia" w:ascii="宋体" w:hAnsi="宋体"/>
          <w:sz w:val="28"/>
          <w:szCs w:val="28"/>
        </w:rPr>
        <w:t>银行账号：</w:t>
      </w:r>
    </w:p>
    <w:p w14:paraId="12B52114">
      <w:pPr>
        <w:numPr>
          <w:ilvl w:val="0"/>
          <w:numId w:val="0"/>
        </w:numPr>
        <w:tabs>
          <w:tab w:val="left" w:pos="320"/>
          <w:tab w:val="left" w:pos="480"/>
          <w:tab w:val="left" w:pos="846"/>
        </w:tabs>
        <w:spacing w:line="520" w:lineRule="exact"/>
        <w:ind w:firstLine="560" w:firstLineChars="200"/>
        <w:rPr>
          <w:rStyle w:val="8"/>
          <w:rFonts w:hint="default" w:hAnsi="Calibri"/>
          <w:sz w:val="28"/>
          <w:szCs w:val="28"/>
        </w:rPr>
      </w:pPr>
      <w:bookmarkStart w:id="47" w:name="_Toc13373"/>
      <w:bookmarkStart w:id="48" w:name="_Toc14402"/>
      <w:bookmarkStart w:id="49" w:name="_Toc2489"/>
      <w:bookmarkStart w:id="50" w:name="_Toc21065"/>
      <w:bookmarkStart w:id="51" w:name="_Toc12099"/>
      <w:r>
        <w:rPr>
          <w:rFonts w:hint="eastAsia" w:ascii="宋体" w:hAnsi="Calibri" w:eastAsia="宋体" w:cs="Times New Roman"/>
          <w:b/>
          <w:bCs/>
          <w:kern w:val="0"/>
          <w:sz w:val="28"/>
          <w:szCs w:val="28"/>
          <w:lang w:val="en-US" w:eastAsia="zh-CN" w:bidi="ar"/>
        </w:rPr>
        <w:t>四、</w:t>
      </w:r>
      <w:r>
        <w:rPr>
          <w:rStyle w:val="8"/>
          <w:rFonts w:hint="default"/>
          <w:sz w:val="28"/>
          <w:szCs w:val="28"/>
        </w:rPr>
        <w:t>交货</w:t>
      </w:r>
    </w:p>
    <w:bookmarkEnd w:id="47"/>
    <w:bookmarkEnd w:id="48"/>
    <w:bookmarkEnd w:id="49"/>
    <w:bookmarkEnd w:id="50"/>
    <w:bookmarkEnd w:id="51"/>
    <w:p w14:paraId="2CCC0CA3">
      <w:pPr>
        <w:spacing w:line="520" w:lineRule="exact"/>
        <w:ind w:firstLine="490" w:firstLineChars="175"/>
        <w:rPr>
          <w:rFonts w:ascii="宋体"/>
          <w:sz w:val="28"/>
          <w:szCs w:val="28"/>
        </w:rPr>
      </w:pPr>
      <w:r>
        <w:rPr>
          <w:rFonts w:hint="eastAsia" w:ascii="宋体" w:hAnsi="宋体"/>
          <w:sz w:val="28"/>
          <w:szCs w:val="28"/>
        </w:rPr>
        <w:t>（一）交货地点：西安外国语大学指定地点。</w:t>
      </w:r>
    </w:p>
    <w:p w14:paraId="69B374BF">
      <w:pPr>
        <w:spacing w:line="520" w:lineRule="exact"/>
        <w:ind w:firstLine="490" w:firstLineChars="175"/>
        <w:rPr>
          <w:rFonts w:ascii="宋体"/>
          <w:sz w:val="28"/>
          <w:szCs w:val="28"/>
        </w:rPr>
      </w:pPr>
      <w:r>
        <w:rPr>
          <w:rFonts w:hint="eastAsia" w:ascii="宋体" w:hAnsi="宋体"/>
          <w:sz w:val="28"/>
          <w:szCs w:val="28"/>
        </w:rPr>
        <w:t>（二）交货期：自合同签订之日起 45日历天内完成交付、安装及调试。</w:t>
      </w:r>
    </w:p>
    <w:p w14:paraId="5DBF962C">
      <w:pPr>
        <w:numPr>
          <w:ilvl w:val="0"/>
          <w:numId w:val="0"/>
        </w:numPr>
        <w:tabs>
          <w:tab w:val="left" w:pos="320"/>
          <w:tab w:val="left" w:pos="480"/>
          <w:tab w:val="left" w:pos="846"/>
        </w:tabs>
        <w:spacing w:line="520" w:lineRule="exact"/>
        <w:ind w:firstLine="560" w:firstLineChars="200"/>
        <w:rPr>
          <w:rStyle w:val="8"/>
          <w:rFonts w:hint="default" w:hAnsi="Calibri"/>
          <w:sz w:val="28"/>
          <w:szCs w:val="28"/>
        </w:rPr>
      </w:pPr>
      <w:bookmarkStart w:id="52" w:name="_Toc26987"/>
      <w:bookmarkStart w:id="53" w:name="_Toc10224"/>
      <w:bookmarkStart w:id="54" w:name="_Toc17205"/>
      <w:bookmarkStart w:id="55" w:name="_Toc4533"/>
      <w:bookmarkStart w:id="56" w:name="_Toc3727"/>
      <w:r>
        <w:rPr>
          <w:rFonts w:hint="eastAsia" w:ascii="宋体" w:hAnsi="Calibri" w:eastAsia="宋体" w:cs="Times New Roman"/>
          <w:b/>
          <w:bCs/>
          <w:kern w:val="0"/>
          <w:sz w:val="28"/>
          <w:szCs w:val="28"/>
          <w:lang w:val="en-US" w:eastAsia="zh-CN" w:bidi="ar"/>
        </w:rPr>
        <w:t>五、</w:t>
      </w:r>
      <w:r>
        <w:rPr>
          <w:rStyle w:val="8"/>
          <w:rFonts w:hint="default"/>
          <w:sz w:val="28"/>
          <w:szCs w:val="28"/>
        </w:rPr>
        <w:t>包装和运输</w:t>
      </w:r>
    </w:p>
    <w:bookmarkEnd w:id="52"/>
    <w:bookmarkEnd w:id="53"/>
    <w:bookmarkEnd w:id="54"/>
    <w:bookmarkEnd w:id="55"/>
    <w:bookmarkEnd w:id="56"/>
    <w:p w14:paraId="5E089107">
      <w:pPr>
        <w:spacing w:line="520" w:lineRule="exact"/>
        <w:ind w:firstLine="490" w:firstLineChars="175"/>
        <w:rPr>
          <w:rFonts w:ascii="宋体"/>
          <w:sz w:val="28"/>
          <w:szCs w:val="28"/>
        </w:rPr>
      </w:pPr>
      <w:r>
        <w:rPr>
          <w:rFonts w:hint="eastAsia" w:ascii="宋体"/>
          <w:sz w:val="28"/>
          <w:szCs w:val="28"/>
        </w:rPr>
        <w:t>（一）运输由乙方负责，运杂费已包含在合同总价内。</w:t>
      </w:r>
    </w:p>
    <w:p w14:paraId="72B2D860">
      <w:pPr>
        <w:spacing w:line="520" w:lineRule="exact"/>
        <w:ind w:firstLine="490" w:firstLineChars="175"/>
        <w:rPr>
          <w:rFonts w:ascii="宋体"/>
          <w:sz w:val="28"/>
          <w:szCs w:val="28"/>
        </w:rPr>
      </w:pPr>
      <w:r>
        <w:rPr>
          <w:rFonts w:hint="eastAsia" w:ascii="宋体"/>
          <w:sz w:val="28"/>
          <w:szCs w:val="28"/>
        </w:rPr>
        <w:t>（二）运输方式由乙方自行选择，包装必须符合国家标准行业标准，满足航空、铁路或公路运输以及货物装卸要求，保证采购人收到的是无任何损伤的货物，否则，因此造成的损失由乙方自行承担。同时，乙方必须保证如期交付，不得断货，否则，因断货造成的损失由乙方负责赔偿。</w:t>
      </w:r>
    </w:p>
    <w:p w14:paraId="778A2843">
      <w:pPr>
        <w:spacing w:line="520" w:lineRule="exact"/>
        <w:ind w:firstLine="490" w:firstLineChars="175"/>
        <w:rPr>
          <w:rFonts w:ascii="宋体"/>
          <w:sz w:val="28"/>
          <w:szCs w:val="28"/>
        </w:rPr>
      </w:pPr>
      <w:r>
        <w:rPr>
          <w:rFonts w:hint="eastAsia" w:ascii="宋体"/>
          <w:sz w:val="28"/>
          <w:szCs w:val="28"/>
        </w:rPr>
        <w:t>（三）除合同另有规定外，乙方提供的全部货物，均应按标准保护措施进行包装。包装应适应于远距离运输、防潮、防震、防锈和防野蛮装卸，以确保货物安全无损运抵项目现场。</w:t>
      </w:r>
    </w:p>
    <w:p w14:paraId="53890A83">
      <w:pPr>
        <w:spacing w:line="520" w:lineRule="exact"/>
        <w:ind w:firstLine="490" w:firstLineChars="175"/>
        <w:rPr>
          <w:rFonts w:ascii="宋体"/>
          <w:sz w:val="28"/>
          <w:szCs w:val="28"/>
        </w:rPr>
      </w:pPr>
      <w:r>
        <w:rPr>
          <w:rFonts w:hint="eastAsia" w:ascii="宋体"/>
          <w:sz w:val="28"/>
          <w:szCs w:val="28"/>
        </w:rPr>
        <w:t>（四）乙方提供的产品及相关快递服务的包装要求，按照《商品包装政府采购需求标准（试行）》《快递包装政府采购需求标准（试行）》执行。</w:t>
      </w:r>
    </w:p>
    <w:p w14:paraId="73BE249A">
      <w:pPr>
        <w:numPr>
          <w:ilvl w:val="0"/>
          <w:numId w:val="0"/>
        </w:numPr>
        <w:tabs>
          <w:tab w:val="left" w:pos="320"/>
          <w:tab w:val="left" w:pos="480"/>
          <w:tab w:val="left" w:pos="846"/>
        </w:tabs>
        <w:spacing w:line="520" w:lineRule="exact"/>
        <w:ind w:firstLine="560" w:firstLineChars="200"/>
        <w:rPr>
          <w:rStyle w:val="8"/>
          <w:rFonts w:hint="default" w:hAnsi="Calibri"/>
          <w:sz w:val="28"/>
          <w:szCs w:val="28"/>
        </w:rPr>
      </w:pPr>
      <w:bookmarkStart w:id="57" w:name="_Toc4898"/>
      <w:bookmarkStart w:id="58" w:name="_Toc19125"/>
      <w:bookmarkStart w:id="59" w:name="_Toc7496"/>
      <w:bookmarkStart w:id="60" w:name="_Toc1417"/>
      <w:bookmarkStart w:id="61" w:name="_Toc6336"/>
      <w:r>
        <w:rPr>
          <w:rFonts w:hint="eastAsia" w:ascii="宋体" w:hAnsi="Calibri" w:eastAsia="宋体" w:cs="Times New Roman"/>
          <w:b/>
          <w:bCs/>
          <w:kern w:val="0"/>
          <w:sz w:val="28"/>
          <w:szCs w:val="28"/>
          <w:lang w:val="en-US" w:eastAsia="zh-CN" w:bidi="ar"/>
        </w:rPr>
        <w:t>六、</w:t>
      </w:r>
      <w:r>
        <w:rPr>
          <w:rStyle w:val="8"/>
          <w:rFonts w:hint="default"/>
          <w:sz w:val="28"/>
          <w:szCs w:val="28"/>
        </w:rPr>
        <w:t>质量保证</w:t>
      </w:r>
    </w:p>
    <w:bookmarkEnd w:id="57"/>
    <w:bookmarkEnd w:id="58"/>
    <w:bookmarkEnd w:id="59"/>
    <w:bookmarkEnd w:id="60"/>
    <w:bookmarkEnd w:id="61"/>
    <w:p w14:paraId="0D1DC377">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18038D2B">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111D176B">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743A80FC">
      <w:pPr>
        <w:spacing w:line="520" w:lineRule="exact"/>
        <w:ind w:firstLine="560" w:firstLineChars="200"/>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041BA27C">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3552"/>
      <w:bookmarkStart w:id="63" w:name="_Toc9757"/>
      <w:bookmarkStart w:id="64" w:name="_Toc27865"/>
      <w:bookmarkStart w:id="65" w:name="_Toc15780"/>
      <w:bookmarkStart w:id="66" w:name="_Toc8526"/>
    </w:p>
    <w:p w14:paraId="4EDC6202">
      <w:pPr>
        <w:tabs>
          <w:tab w:val="left" w:pos="320"/>
          <w:tab w:val="left" w:pos="480"/>
          <w:tab w:val="left" w:pos="846"/>
        </w:tabs>
        <w:spacing w:line="520" w:lineRule="exact"/>
        <w:rPr>
          <w:rStyle w:val="8"/>
          <w:rFonts w:hint="default"/>
          <w:sz w:val="28"/>
          <w:szCs w:val="28"/>
        </w:rPr>
      </w:pPr>
      <w:r>
        <w:rPr>
          <w:rStyle w:val="8"/>
          <w:rFonts w:hint="default"/>
          <w:sz w:val="28"/>
          <w:szCs w:val="28"/>
        </w:rPr>
        <w:t>七、质保期及售后服务</w:t>
      </w:r>
      <w:bookmarkEnd w:id="62"/>
      <w:bookmarkEnd w:id="63"/>
      <w:bookmarkEnd w:id="64"/>
      <w:bookmarkEnd w:id="65"/>
      <w:bookmarkEnd w:id="66"/>
    </w:p>
    <w:p w14:paraId="051439C0">
      <w:pPr>
        <w:tabs>
          <w:tab w:val="left" w:pos="320"/>
          <w:tab w:val="left" w:pos="480"/>
          <w:tab w:val="left" w:pos="846"/>
        </w:tabs>
        <w:spacing w:line="520" w:lineRule="exact"/>
        <w:ind w:firstLine="560" w:firstLineChars="200"/>
        <w:rPr>
          <w:rFonts w:ascii="宋体"/>
          <w:sz w:val="28"/>
          <w:szCs w:val="28"/>
        </w:rPr>
      </w:pPr>
      <w:r>
        <w:rPr>
          <w:rFonts w:hint="eastAsia" w:ascii="宋体" w:hAnsi="宋体"/>
          <w:sz w:val="28"/>
          <w:szCs w:val="28"/>
        </w:rPr>
        <w:t>（一）乙方提供的货物质保期为产品最终验收合格之日起</w:t>
      </w:r>
      <w:r>
        <w:rPr>
          <w:rFonts w:ascii="宋体" w:hAnsi="宋体"/>
          <w:sz w:val="28"/>
          <w:szCs w:val="28"/>
        </w:rPr>
        <w:t>3</w:t>
      </w:r>
      <w:r>
        <w:rPr>
          <w:rFonts w:hint="eastAsia" w:ascii="宋体" w:hAnsi="宋体"/>
          <w:sz w:val="28"/>
          <w:szCs w:val="28"/>
        </w:rPr>
        <w:t>年。</w:t>
      </w:r>
    </w:p>
    <w:p w14:paraId="178EA121">
      <w:pPr>
        <w:spacing w:line="520" w:lineRule="exact"/>
        <w:ind w:firstLine="560" w:firstLineChars="200"/>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714CD686">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为7*24即时响应（包括电话响应）；电话响应无法解决时，24小时内到达现场。甲方反映的问题应在48小时内解决，如在48小时内无法解决或修复，则由乙方提供部件冗余服务或采取应急措施，提供相同产品或不低于故障产品规格档次的备用产品供甲方使用，以确保货物的正常使用。48小时后，未解决之问题每超过24小时，乙方应按合同价的千分之一支付违约金。</w:t>
      </w:r>
    </w:p>
    <w:p w14:paraId="6B78A46B">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15B2E80A">
      <w:pPr>
        <w:pStyle w:val="3"/>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76430FB9">
      <w:pPr>
        <w:tabs>
          <w:tab w:val="left" w:pos="320"/>
          <w:tab w:val="left" w:pos="480"/>
          <w:tab w:val="left" w:pos="846"/>
        </w:tabs>
        <w:spacing w:line="520" w:lineRule="exact"/>
        <w:rPr>
          <w:rStyle w:val="8"/>
          <w:rFonts w:hint="default" w:hAnsi="Calibri"/>
          <w:sz w:val="28"/>
          <w:szCs w:val="28"/>
        </w:rPr>
      </w:pPr>
      <w:bookmarkStart w:id="67" w:name="_Toc28619"/>
      <w:bookmarkStart w:id="68" w:name="_Toc628"/>
      <w:bookmarkStart w:id="69" w:name="_Toc31591"/>
      <w:bookmarkStart w:id="70" w:name="_Toc22298"/>
      <w:bookmarkStart w:id="71" w:name="_Toc7405"/>
      <w:r>
        <w:rPr>
          <w:rStyle w:val="8"/>
          <w:rFonts w:hint="default"/>
          <w:sz w:val="28"/>
          <w:szCs w:val="28"/>
        </w:rPr>
        <w:t>八、技术与服务</w:t>
      </w:r>
    </w:p>
    <w:bookmarkEnd w:id="67"/>
    <w:bookmarkEnd w:id="68"/>
    <w:bookmarkEnd w:id="69"/>
    <w:bookmarkEnd w:id="70"/>
    <w:bookmarkEnd w:id="71"/>
    <w:p w14:paraId="16C538C8">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61EAB62C">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6B231948">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1E898A4">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39CB2139">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6496FFE6">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6AC7DB07">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7C42C3CE">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64079EB3">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44E3359A">
      <w:pPr>
        <w:spacing w:line="520" w:lineRule="exact"/>
        <w:ind w:firstLine="490" w:firstLineChars="175"/>
        <w:rPr>
          <w:rFonts w:asci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2B4FC37B">
      <w:pPr>
        <w:pStyle w:val="3"/>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2800260D">
      <w:pPr>
        <w:tabs>
          <w:tab w:val="left" w:pos="320"/>
          <w:tab w:val="left" w:pos="480"/>
          <w:tab w:val="left" w:pos="846"/>
        </w:tabs>
        <w:spacing w:line="520" w:lineRule="exact"/>
        <w:rPr>
          <w:rStyle w:val="8"/>
          <w:rFonts w:hint="default" w:hAnsi="Calibri"/>
          <w:sz w:val="28"/>
          <w:szCs w:val="28"/>
        </w:rPr>
      </w:pPr>
      <w:bookmarkStart w:id="72" w:name="_Toc13467"/>
      <w:bookmarkStart w:id="73" w:name="_Toc27484"/>
      <w:bookmarkStart w:id="74" w:name="_Toc3128"/>
      <w:bookmarkStart w:id="75" w:name="_Toc25817"/>
      <w:bookmarkStart w:id="76" w:name="_Toc14495"/>
      <w:r>
        <w:rPr>
          <w:rStyle w:val="8"/>
          <w:rFonts w:hint="default"/>
          <w:sz w:val="28"/>
          <w:szCs w:val="28"/>
        </w:rPr>
        <w:t>九、验收</w:t>
      </w:r>
      <w:bookmarkEnd w:id="72"/>
      <w:bookmarkEnd w:id="73"/>
      <w:bookmarkEnd w:id="74"/>
    </w:p>
    <w:bookmarkEnd w:id="75"/>
    <w:bookmarkEnd w:id="76"/>
    <w:p w14:paraId="7860317C">
      <w:pPr>
        <w:tabs>
          <w:tab w:val="left" w:pos="320"/>
          <w:tab w:val="left" w:pos="480"/>
          <w:tab w:val="left" w:pos="846"/>
        </w:tabs>
        <w:spacing w:line="520" w:lineRule="exact"/>
        <w:rPr>
          <w:rStyle w:val="8"/>
          <w:rFonts w:hint="default"/>
          <w:b w:val="0"/>
          <w:bCs w:val="0"/>
          <w:sz w:val="28"/>
          <w:szCs w:val="28"/>
        </w:rPr>
      </w:pPr>
      <w:bookmarkStart w:id="77" w:name="_Toc5522"/>
      <w:bookmarkStart w:id="78" w:name="_Toc6380"/>
      <w:bookmarkStart w:id="79" w:name="_Toc1430"/>
      <w:bookmarkStart w:id="80" w:name="_Toc27411"/>
      <w:bookmarkStart w:id="81" w:name="_Toc9050"/>
      <w:r>
        <w:rPr>
          <w:rStyle w:val="8"/>
          <w:rFonts w:hint="default"/>
          <w:b w:val="0"/>
          <w:bCs w:val="0"/>
          <w:sz w:val="28"/>
          <w:szCs w:val="28"/>
        </w:rPr>
        <w:t>系统经甲方审核确认通过,达到上线试运行要求后,系统完成切换进入试运行阶段。上线试运行阶段为业务人员实际使用系统开展正式业务工作，是全面检验系统建设质量的阶段。在上线试运行阶段，乙方帮助系统用户尽快熟悉使用系统开展工作，同时收集甲方的合理建议，对系统进行优化完善。完成基础软件部署，完成历史资料割接，乙方方可提出初验申请。</w:t>
      </w:r>
    </w:p>
    <w:p w14:paraId="420007E3">
      <w:pPr>
        <w:tabs>
          <w:tab w:val="left" w:pos="320"/>
          <w:tab w:val="left" w:pos="480"/>
          <w:tab w:val="left" w:pos="846"/>
        </w:tabs>
        <w:spacing w:line="520" w:lineRule="exact"/>
        <w:rPr>
          <w:rStyle w:val="8"/>
          <w:rFonts w:hint="default"/>
          <w:b w:val="0"/>
          <w:bCs w:val="0"/>
          <w:sz w:val="28"/>
          <w:szCs w:val="28"/>
        </w:rPr>
      </w:pPr>
      <w:r>
        <w:rPr>
          <w:rStyle w:val="8"/>
          <w:rFonts w:hint="default"/>
          <w:b w:val="0"/>
          <w:bCs w:val="0"/>
          <w:sz w:val="28"/>
          <w:szCs w:val="28"/>
        </w:rPr>
        <w:t>初验要求:基本完成招标要求以及主要相关系统集成对接工作、完成系统培训及上线后，试运行期间发现的各种问题得到有效解决，并根据用户意见进行了合理的调整与完善，提交初验要求有关材料(主要包括前期的需求分析、设计方案、初验报告、项目实施记录、系统功能测试或调试记录、项目例会纪要、培训文档、操作手册等)。</w:t>
      </w:r>
    </w:p>
    <w:p w14:paraId="50644D90">
      <w:pPr>
        <w:tabs>
          <w:tab w:val="left" w:pos="320"/>
          <w:tab w:val="left" w:pos="480"/>
          <w:tab w:val="left" w:pos="846"/>
        </w:tabs>
        <w:spacing w:line="520" w:lineRule="exact"/>
        <w:rPr>
          <w:rStyle w:val="8"/>
          <w:rFonts w:hint="default"/>
          <w:b w:val="0"/>
          <w:bCs w:val="0"/>
          <w:sz w:val="28"/>
          <w:szCs w:val="28"/>
        </w:rPr>
      </w:pPr>
      <w:r>
        <w:rPr>
          <w:rStyle w:val="8"/>
          <w:rFonts w:hint="default"/>
          <w:b w:val="0"/>
          <w:bCs w:val="0"/>
          <w:sz w:val="28"/>
          <w:szCs w:val="28"/>
        </w:rPr>
        <w:t>终验要求:项目完全满足招标方要求，系统通过初验并正式运行6个月后系统各项功能均满足用户实际业务需求，且运行稳定。系统终验时，乙方须对项目实施中的各种资料进行整理，包括各类实施方案、实施记录、测试记录、产品说明书、培训文档、初验文档等，并对整个系统的运行情况进行总结形成书面终验报告，将系统的全部有关技术文件（至少包括信息标准集、需求说明书、数据库结构、系统详细部署文档、后期应用系统相关接口等）、资料及测试、验收报告和系统测试使用的测试数据等文档汇集成册提交给采购人，并提供电子文档，经甲方审批后予以终验。</w:t>
      </w:r>
    </w:p>
    <w:p w14:paraId="2607764F">
      <w:pPr>
        <w:tabs>
          <w:tab w:val="left" w:pos="320"/>
          <w:tab w:val="left" w:pos="480"/>
          <w:tab w:val="left" w:pos="846"/>
        </w:tabs>
        <w:spacing w:line="520" w:lineRule="exact"/>
        <w:rPr>
          <w:rStyle w:val="8"/>
          <w:rFonts w:hint="default" w:hAnsi="Calibri"/>
          <w:sz w:val="28"/>
          <w:szCs w:val="28"/>
        </w:rPr>
      </w:pPr>
      <w:r>
        <w:rPr>
          <w:rStyle w:val="8"/>
          <w:rFonts w:hint="default"/>
          <w:sz w:val="28"/>
          <w:szCs w:val="28"/>
        </w:rPr>
        <w:t>十、违约责任</w:t>
      </w:r>
    </w:p>
    <w:bookmarkEnd w:id="77"/>
    <w:bookmarkEnd w:id="78"/>
    <w:bookmarkEnd w:id="79"/>
    <w:bookmarkEnd w:id="80"/>
    <w:bookmarkEnd w:id="81"/>
    <w:p w14:paraId="7FF2EC12">
      <w:pPr>
        <w:spacing w:line="520" w:lineRule="exact"/>
        <w:ind w:firstLine="490" w:firstLineChars="175"/>
        <w:rPr>
          <w:rStyle w:val="8"/>
          <w:rFonts w:hint="default"/>
          <w:b w:val="0"/>
          <w:bCs w:val="0"/>
          <w:sz w:val="28"/>
        </w:rPr>
      </w:pPr>
      <w:bookmarkStart w:id="82" w:name="_Toc9462"/>
      <w:bookmarkStart w:id="83" w:name="_Toc4469"/>
      <w:bookmarkStart w:id="84" w:name="_Toc28511"/>
      <w:bookmarkStart w:id="85" w:name="_Toc3011"/>
      <w:bookmarkStart w:id="86" w:name="_Toc25987"/>
      <w:r>
        <w:rPr>
          <w:rStyle w:val="8"/>
          <w:rFonts w:hint="default"/>
          <w:b w:val="0"/>
          <w:bCs w:val="0"/>
          <w:sz w:val="28"/>
        </w:rPr>
        <w:t>（一）执行合同中产生纠纷，由采购人与中标人双方协商解决；协商不成，向有管辖权的人民法院提起诉讼。</w:t>
      </w:r>
    </w:p>
    <w:p w14:paraId="19203D45">
      <w:pPr>
        <w:spacing w:line="520" w:lineRule="exact"/>
        <w:ind w:firstLine="490" w:firstLineChars="175"/>
        <w:rPr>
          <w:rStyle w:val="8"/>
          <w:rFonts w:hint="default"/>
          <w:b w:val="0"/>
          <w:bCs w:val="0"/>
          <w:sz w:val="28"/>
        </w:rPr>
      </w:pPr>
      <w:r>
        <w:rPr>
          <w:rStyle w:val="8"/>
          <w:rFonts w:hint="default"/>
          <w:b w:val="0"/>
          <w:bCs w:val="0"/>
          <w:sz w:val="28"/>
        </w:rPr>
        <w:t>（二）中标人应保证设备（系统）使用不侵犯第三方知识产权，若产生纠纷，由中标人承担全部责任及损失。</w:t>
      </w:r>
    </w:p>
    <w:p w14:paraId="1C7C07D4">
      <w:pPr>
        <w:spacing w:line="520" w:lineRule="exact"/>
        <w:ind w:firstLine="490" w:firstLineChars="175"/>
        <w:rPr>
          <w:rStyle w:val="8"/>
          <w:rFonts w:hint="default"/>
          <w:b w:val="0"/>
          <w:bCs w:val="0"/>
          <w:sz w:val="28"/>
        </w:rPr>
      </w:pPr>
      <w:r>
        <w:rPr>
          <w:rStyle w:val="8"/>
          <w:rFonts w:hint="default"/>
          <w:b w:val="0"/>
          <w:bCs w:val="0"/>
          <w:sz w:val="28"/>
        </w:rPr>
        <w:t>（三）采购人及中标人的权利和义务（甲方：采购人 乙方：中标人）</w:t>
      </w:r>
    </w:p>
    <w:p w14:paraId="70CF3D24">
      <w:pPr>
        <w:spacing w:line="520" w:lineRule="exact"/>
        <w:ind w:firstLine="490" w:firstLineChars="175"/>
        <w:rPr>
          <w:rStyle w:val="8"/>
          <w:rFonts w:hint="default"/>
          <w:b w:val="0"/>
          <w:bCs w:val="0"/>
          <w:sz w:val="28"/>
        </w:rPr>
      </w:pPr>
      <w:r>
        <w:rPr>
          <w:rStyle w:val="8"/>
          <w:rFonts w:hint="default"/>
          <w:b w:val="0"/>
          <w:bCs w:val="0"/>
          <w:sz w:val="28"/>
        </w:rPr>
        <w:t>1.除合同约定的违约责任之外，双方按《政府采购法》《中华人民共和国民法典》中的相关条款执行。</w:t>
      </w:r>
    </w:p>
    <w:p w14:paraId="38BD46E4">
      <w:pPr>
        <w:spacing w:line="520" w:lineRule="exact"/>
        <w:ind w:firstLine="490" w:firstLineChars="175"/>
        <w:rPr>
          <w:rStyle w:val="8"/>
          <w:rFonts w:hint="default"/>
          <w:b w:val="0"/>
          <w:bCs w:val="0"/>
          <w:sz w:val="28"/>
        </w:rPr>
      </w:pPr>
      <w:r>
        <w:rPr>
          <w:rStyle w:val="8"/>
          <w:rFonts w:hint="default"/>
          <w:b w:val="0"/>
          <w:bCs w:val="0"/>
          <w:sz w:val="28"/>
        </w:rPr>
        <w:t>2.提供的货物不符合合同要求，或者不能满足招标文件技术要求，乙方必须无条件退换直到合格。否则，甲方有权终止合同，并对乙方的违约行为报监管机构进行相应的处罚。</w:t>
      </w:r>
    </w:p>
    <w:p w14:paraId="3539CE80">
      <w:pPr>
        <w:spacing w:line="520" w:lineRule="exact"/>
        <w:ind w:firstLine="490" w:firstLineChars="175"/>
        <w:rPr>
          <w:rStyle w:val="8"/>
          <w:rFonts w:hint="default"/>
          <w:b w:val="0"/>
          <w:bCs w:val="0"/>
          <w:sz w:val="28"/>
        </w:rPr>
      </w:pPr>
      <w:r>
        <w:rPr>
          <w:rStyle w:val="8"/>
          <w:rFonts w:hint="default"/>
          <w:b w:val="0"/>
          <w:bCs w:val="0"/>
          <w:sz w:val="28"/>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4851E112">
      <w:pPr>
        <w:spacing w:line="520" w:lineRule="exact"/>
        <w:ind w:firstLine="490" w:firstLineChars="175"/>
        <w:rPr>
          <w:rStyle w:val="8"/>
          <w:rFonts w:hint="default"/>
          <w:b w:val="0"/>
          <w:bCs w:val="0"/>
          <w:sz w:val="28"/>
        </w:rPr>
      </w:pPr>
      <w:r>
        <w:rPr>
          <w:rStyle w:val="8"/>
          <w:rFonts w:hint="default"/>
          <w:b w:val="0"/>
          <w:bCs w:val="0"/>
          <w:sz w:val="28"/>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2B2E6899">
      <w:pPr>
        <w:spacing w:line="520" w:lineRule="exact"/>
        <w:ind w:firstLine="490" w:firstLineChars="175"/>
        <w:rPr>
          <w:rStyle w:val="8"/>
          <w:rFonts w:hint="default"/>
          <w:b w:val="0"/>
          <w:bCs w:val="0"/>
          <w:sz w:val="28"/>
        </w:rPr>
      </w:pPr>
      <w:r>
        <w:rPr>
          <w:rStyle w:val="8"/>
          <w:rFonts w:hint="default"/>
          <w:b w:val="0"/>
          <w:bCs w:val="0"/>
          <w:sz w:val="28"/>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2BA432D9">
      <w:pPr>
        <w:spacing w:line="520" w:lineRule="exact"/>
        <w:ind w:firstLine="490" w:firstLineChars="175"/>
        <w:rPr>
          <w:rStyle w:val="8"/>
          <w:rFonts w:hint="default"/>
          <w:b w:val="0"/>
          <w:sz w:val="28"/>
          <w:szCs w:val="28"/>
        </w:rPr>
      </w:pPr>
      <w:r>
        <w:rPr>
          <w:rStyle w:val="8"/>
          <w:rFonts w:hint="default"/>
          <w:sz w:val="28"/>
        </w:rPr>
        <w:t>十一、</w:t>
      </w:r>
      <w:r>
        <w:rPr>
          <w:rStyle w:val="8"/>
          <w:rFonts w:hint="default"/>
          <w:sz w:val="28"/>
          <w:szCs w:val="28"/>
        </w:rPr>
        <w:t>保密条款</w:t>
      </w:r>
    </w:p>
    <w:p w14:paraId="0956A0B5">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1F8E806">
      <w:pPr>
        <w:tabs>
          <w:tab w:val="left" w:pos="320"/>
          <w:tab w:val="left" w:pos="480"/>
          <w:tab w:val="left" w:pos="846"/>
        </w:tabs>
        <w:spacing w:line="520" w:lineRule="exact"/>
        <w:ind w:left="562"/>
        <w:rPr>
          <w:rStyle w:val="8"/>
          <w:rFonts w:hint="default" w:hAnsi="Calibri"/>
          <w:sz w:val="28"/>
          <w:szCs w:val="28"/>
        </w:rPr>
      </w:pPr>
      <w:r>
        <w:rPr>
          <w:rStyle w:val="8"/>
          <w:rFonts w:hint="default"/>
          <w:sz w:val="28"/>
          <w:szCs w:val="28"/>
        </w:rPr>
        <w:t>十二、合同争议解决的方式</w:t>
      </w:r>
    </w:p>
    <w:bookmarkEnd w:id="82"/>
    <w:bookmarkEnd w:id="83"/>
    <w:bookmarkEnd w:id="84"/>
    <w:bookmarkEnd w:id="85"/>
    <w:bookmarkEnd w:id="86"/>
    <w:p w14:paraId="70727D0C">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5409BC34">
      <w:pPr>
        <w:tabs>
          <w:tab w:val="left" w:pos="320"/>
          <w:tab w:val="left" w:pos="480"/>
          <w:tab w:val="left" w:pos="846"/>
        </w:tabs>
        <w:spacing w:line="520" w:lineRule="exact"/>
        <w:ind w:left="562"/>
        <w:rPr>
          <w:rStyle w:val="8"/>
          <w:rFonts w:hint="default" w:hAnsi="Calibri"/>
          <w:sz w:val="28"/>
          <w:szCs w:val="28"/>
        </w:rPr>
      </w:pPr>
      <w:bookmarkStart w:id="87" w:name="_Toc31037"/>
      <w:bookmarkStart w:id="88" w:name="_Toc10769"/>
      <w:bookmarkStart w:id="89" w:name="_Toc27709"/>
      <w:bookmarkStart w:id="90" w:name="_Toc7322"/>
      <w:bookmarkStart w:id="91" w:name="_Toc31635"/>
      <w:r>
        <w:rPr>
          <w:rStyle w:val="8"/>
          <w:rFonts w:hint="default"/>
          <w:sz w:val="28"/>
          <w:szCs w:val="28"/>
        </w:rPr>
        <w:t>十三、其他事项</w:t>
      </w:r>
    </w:p>
    <w:bookmarkEnd w:id="87"/>
    <w:bookmarkEnd w:id="88"/>
    <w:bookmarkEnd w:id="89"/>
    <w:bookmarkEnd w:id="90"/>
    <w:bookmarkEnd w:id="91"/>
    <w:p w14:paraId="3565E832">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3F68A391">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4B768763">
      <w:pPr>
        <w:tabs>
          <w:tab w:val="left" w:pos="320"/>
          <w:tab w:val="left" w:pos="480"/>
          <w:tab w:val="left" w:pos="846"/>
        </w:tabs>
        <w:spacing w:line="520" w:lineRule="exact"/>
        <w:ind w:left="562"/>
        <w:rPr>
          <w:rStyle w:val="8"/>
          <w:rFonts w:hint="default" w:hAnsi="Calibri"/>
          <w:sz w:val="28"/>
          <w:szCs w:val="28"/>
        </w:rPr>
      </w:pPr>
      <w:bookmarkStart w:id="92" w:name="_Toc2128"/>
      <w:bookmarkStart w:id="93" w:name="_Toc29072"/>
      <w:bookmarkStart w:id="94" w:name="_Toc26525"/>
      <w:bookmarkStart w:id="95" w:name="_Toc26214"/>
      <w:bookmarkStart w:id="96" w:name="_Toc24532"/>
      <w:r>
        <w:rPr>
          <w:rStyle w:val="8"/>
          <w:rFonts w:hint="default"/>
          <w:sz w:val="28"/>
          <w:szCs w:val="28"/>
        </w:rPr>
        <w:t>十四、合同生效</w:t>
      </w:r>
    </w:p>
    <w:bookmarkEnd w:id="92"/>
    <w:bookmarkEnd w:id="93"/>
    <w:bookmarkEnd w:id="94"/>
    <w:bookmarkEnd w:id="95"/>
    <w:bookmarkEnd w:id="96"/>
    <w:p w14:paraId="1489711D">
      <w:pPr>
        <w:pStyle w:val="3"/>
        <w:spacing w:line="520" w:lineRule="exact"/>
        <w:rPr>
          <w:rFonts w:ascii="宋体" w:hAnsi="宋体"/>
          <w:sz w:val="28"/>
          <w:szCs w:val="28"/>
        </w:rPr>
        <w:sectPr>
          <w:pgSz w:w="11906" w:h="16838"/>
          <w:pgMar w:top="1270" w:right="1701" w:bottom="850" w:left="1701" w:header="851" w:footer="992" w:gutter="0"/>
          <w:cols w:space="720" w:num="1"/>
          <w:titlePg/>
          <w:docGrid w:type="linesAndChars" w:linePitch="498" w:charSpace="0"/>
        </w:sectPr>
      </w:pPr>
      <w:r>
        <w:rPr>
          <w:rFonts w:hint="eastAsia" w:ascii="宋体" w:hAnsi="宋体"/>
          <w:sz w:val="28"/>
          <w:szCs w:val="28"/>
        </w:rPr>
        <w:t>本合同一式玖份，甲方陆份，乙方贰份、鉴证方壹份，甲、乙双方签字盖章后生效。（合同的服务承诺则长期有效）。</w:t>
      </w:r>
    </w:p>
    <w:p w14:paraId="6E5FF9F3">
      <w:pPr>
        <w:pStyle w:val="3"/>
        <w:spacing w:line="520" w:lineRule="exact"/>
        <w:rPr>
          <w:rFonts w:ascii="宋体" w:hAnsi="宋体"/>
          <w:sz w:val="28"/>
          <w:szCs w:val="28"/>
        </w:rPr>
      </w:pPr>
    </w:p>
    <w:p w14:paraId="67C150C5">
      <w:pPr>
        <w:spacing w:line="520" w:lineRule="exact"/>
        <w:ind w:firstLine="490" w:firstLineChars="175"/>
        <w:rPr>
          <w:rFonts w:ascii="宋体"/>
          <w:sz w:val="28"/>
          <w:szCs w:val="28"/>
        </w:rPr>
      </w:pPr>
    </w:p>
    <w:tbl>
      <w:tblPr>
        <w:tblStyle w:val="5"/>
        <w:tblW w:w="9363" w:type="dxa"/>
        <w:jc w:val="center"/>
        <w:tblLayout w:type="fixed"/>
        <w:tblCellMar>
          <w:top w:w="0" w:type="dxa"/>
          <w:left w:w="108" w:type="dxa"/>
          <w:bottom w:w="0" w:type="dxa"/>
          <w:right w:w="108" w:type="dxa"/>
        </w:tblCellMar>
      </w:tblPr>
      <w:tblGrid>
        <w:gridCol w:w="3780"/>
        <w:gridCol w:w="2837"/>
        <w:gridCol w:w="2746"/>
      </w:tblGrid>
      <w:tr w14:paraId="3ABF3284">
        <w:tblPrEx>
          <w:tblCellMar>
            <w:top w:w="0" w:type="dxa"/>
            <w:left w:w="108" w:type="dxa"/>
            <w:bottom w:w="0" w:type="dxa"/>
            <w:right w:w="108" w:type="dxa"/>
          </w:tblCellMar>
        </w:tblPrEx>
        <w:trPr>
          <w:jc w:val="center"/>
        </w:trPr>
        <w:tc>
          <w:tcPr>
            <w:tcW w:w="3780" w:type="dxa"/>
            <w:vAlign w:val="center"/>
          </w:tcPr>
          <w:p w14:paraId="21356CAB">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6EB3CA7F">
            <w:pPr>
              <w:spacing w:line="520" w:lineRule="exact"/>
              <w:rPr>
                <w:rFonts w:ascii="宋体"/>
                <w:sz w:val="24"/>
              </w:rPr>
            </w:pPr>
            <w:r>
              <w:rPr>
                <w:rFonts w:hint="eastAsia" w:ascii="宋体" w:hAnsi="宋体"/>
                <w:b/>
                <w:bCs/>
                <w:sz w:val="24"/>
              </w:rPr>
              <w:t>乙方：XXXXXXXX（盖章）</w:t>
            </w:r>
          </w:p>
        </w:tc>
        <w:tc>
          <w:tcPr>
            <w:tcW w:w="2746" w:type="dxa"/>
            <w:vMerge w:val="restart"/>
          </w:tcPr>
          <w:p w14:paraId="553B8F5C">
            <w:pPr>
              <w:spacing w:line="520" w:lineRule="exact"/>
              <w:rPr>
                <w:rFonts w:ascii="宋体"/>
                <w:sz w:val="24"/>
              </w:rPr>
            </w:pPr>
            <w:r>
              <w:rPr>
                <w:rFonts w:hint="eastAsia" w:ascii="宋体" w:hAnsi="宋体"/>
                <w:b/>
                <w:bCs/>
                <w:sz w:val="24"/>
              </w:rPr>
              <w:t>鉴证方：XXXXXXXX（盖章）</w:t>
            </w:r>
          </w:p>
        </w:tc>
      </w:tr>
      <w:tr w14:paraId="422C196E">
        <w:tblPrEx>
          <w:tblCellMar>
            <w:top w:w="0" w:type="dxa"/>
            <w:left w:w="108" w:type="dxa"/>
            <w:bottom w:w="0" w:type="dxa"/>
            <w:right w:w="108" w:type="dxa"/>
          </w:tblCellMar>
        </w:tblPrEx>
        <w:trPr>
          <w:jc w:val="center"/>
        </w:trPr>
        <w:tc>
          <w:tcPr>
            <w:tcW w:w="3780" w:type="dxa"/>
            <w:vAlign w:val="center"/>
          </w:tcPr>
          <w:p w14:paraId="1AFA3437">
            <w:pPr>
              <w:spacing w:line="520" w:lineRule="exact"/>
              <w:rPr>
                <w:rFonts w:ascii="宋体"/>
                <w:sz w:val="24"/>
              </w:rPr>
            </w:pPr>
            <w:r>
              <w:rPr>
                <w:rFonts w:hint="eastAsia" w:ascii="宋体" w:hAnsi="宋体"/>
                <w:b/>
                <w:bCs/>
                <w:sz w:val="24"/>
              </w:rPr>
              <w:t>法人或委托代理人：</w:t>
            </w:r>
          </w:p>
        </w:tc>
        <w:tc>
          <w:tcPr>
            <w:tcW w:w="2837" w:type="dxa"/>
            <w:vAlign w:val="center"/>
          </w:tcPr>
          <w:p w14:paraId="3E0A868A">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69413938">
            <w:pPr>
              <w:spacing w:line="520" w:lineRule="exact"/>
              <w:rPr>
                <w:rFonts w:ascii="宋体"/>
                <w:sz w:val="24"/>
              </w:rPr>
            </w:pPr>
          </w:p>
        </w:tc>
      </w:tr>
      <w:tr w14:paraId="6BC0DE7A">
        <w:tblPrEx>
          <w:tblCellMar>
            <w:top w:w="0" w:type="dxa"/>
            <w:left w:w="108" w:type="dxa"/>
            <w:bottom w:w="0" w:type="dxa"/>
            <w:right w:w="108" w:type="dxa"/>
          </w:tblCellMar>
        </w:tblPrEx>
        <w:trPr>
          <w:jc w:val="center"/>
        </w:trPr>
        <w:tc>
          <w:tcPr>
            <w:tcW w:w="3780" w:type="dxa"/>
            <w:vAlign w:val="center"/>
          </w:tcPr>
          <w:p w14:paraId="7D23BA47">
            <w:pPr>
              <w:spacing w:line="520" w:lineRule="exact"/>
              <w:rPr>
                <w:rFonts w:ascii="宋体"/>
                <w:sz w:val="24"/>
              </w:rPr>
            </w:pPr>
            <w:r>
              <w:rPr>
                <w:rFonts w:hint="eastAsia" w:ascii="宋体" w:hAnsi="宋体"/>
                <w:b/>
                <w:bCs/>
                <w:sz w:val="24"/>
              </w:rPr>
              <w:t>户名：西安外国语大学</w:t>
            </w:r>
          </w:p>
        </w:tc>
        <w:tc>
          <w:tcPr>
            <w:tcW w:w="2837" w:type="dxa"/>
            <w:vAlign w:val="center"/>
          </w:tcPr>
          <w:p w14:paraId="1111A5D9">
            <w:pPr>
              <w:spacing w:line="520" w:lineRule="exact"/>
              <w:rPr>
                <w:rFonts w:ascii="宋体"/>
                <w:sz w:val="24"/>
              </w:rPr>
            </w:pPr>
            <w:r>
              <w:rPr>
                <w:rFonts w:hint="eastAsia" w:ascii="宋体" w:hAnsi="宋体"/>
                <w:b/>
                <w:bCs/>
                <w:sz w:val="24"/>
              </w:rPr>
              <w:t>户名：</w:t>
            </w:r>
          </w:p>
        </w:tc>
        <w:tc>
          <w:tcPr>
            <w:tcW w:w="2746" w:type="dxa"/>
            <w:vMerge w:val="continue"/>
            <w:vAlign w:val="center"/>
          </w:tcPr>
          <w:p w14:paraId="759103DF">
            <w:pPr>
              <w:spacing w:line="520" w:lineRule="exact"/>
              <w:rPr>
                <w:rFonts w:ascii="宋体"/>
                <w:sz w:val="24"/>
              </w:rPr>
            </w:pPr>
          </w:p>
        </w:tc>
      </w:tr>
      <w:tr w14:paraId="191FE9AF">
        <w:tblPrEx>
          <w:tblCellMar>
            <w:top w:w="0" w:type="dxa"/>
            <w:left w:w="108" w:type="dxa"/>
            <w:bottom w:w="0" w:type="dxa"/>
            <w:right w:w="108" w:type="dxa"/>
          </w:tblCellMar>
        </w:tblPrEx>
        <w:trPr>
          <w:jc w:val="center"/>
        </w:trPr>
        <w:tc>
          <w:tcPr>
            <w:tcW w:w="3780" w:type="dxa"/>
            <w:vAlign w:val="center"/>
          </w:tcPr>
          <w:p w14:paraId="0F3B1565">
            <w:pPr>
              <w:spacing w:line="520" w:lineRule="exact"/>
              <w:rPr>
                <w:rFonts w:ascii="宋体" w:hAnsi="宋体"/>
                <w:sz w:val="24"/>
              </w:rPr>
            </w:pPr>
            <w:r>
              <w:rPr>
                <w:rFonts w:hint="eastAsia" w:ascii="宋体" w:hAnsi="宋体"/>
                <w:b/>
                <w:bCs/>
                <w:sz w:val="24"/>
              </w:rPr>
              <w:t>开户行：</w:t>
            </w:r>
          </w:p>
        </w:tc>
        <w:tc>
          <w:tcPr>
            <w:tcW w:w="2837" w:type="dxa"/>
            <w:vAlign w:val="center"/>
          </w:tcPr>
          <w:p w14:paraId="4DE3EBC6">
            <w:pPr>
              <w:spacing w:line="520" w:lineRule="exact"/>
              <w:rPr>
                <w:rFonts w:ascii="宋体"/>
                <w:sz w:val="24"/>
              </w:rPr>
            </w:pPr>
            <w:r>
              <w:rPr>
                <w:rFonts w:hint="eastAsia" w:ascii="宋体" w:hAnsi="宋体"/>
                <w:b/>
                <w:bCs/>
                <w:sz w:val="24"/>
              </w:rPr>
              <w:t>开户行：</w:t>
            </w:r>
          </w:p>
        </w:tc>
        <w:tc>
          <w:tcPr>
            <w:tcW w:w="2746" w:type="dxa"/>
            <w:vAlign w:val="center"/>
          </w:tcPr>
          <w:p w14:paraId="64E5F400">
            <w:pPr>
              <w:spacing w:line="520" w:lineRule="exact"/>
              <w:rPr>
                <w:rFonts w:ascii="宋体"/>
                <w:sz w:val="24"/>
              </w:rPr>
            </w:pPr>
            <w:r>
              <w:rPr>
                <w:rFonts w:hint="eastAsia" w:ascii="宋体" w:hAnsi="宋体"/>
                <w:b/>
                <w:bCs/>
                <w:sz w:val="24"/>
              </w:rPr>
              <w:t>代表签字：</w:t>
            </w:r>
          </w:p>
        </w:tc>
      </w:tr>
      <w:tr w14:paraId="7B56CFDA">
        <w:tblPrEx>
          <w:tblCellMar>
            <w:top w:w="0" w:type="dxa"/>
            <w:left w:w="108" w:type="dxa"/>
            <w:bottom w:w="0" w:type="dxa"/>
            <w:right w:w="108" w:type="dxa"/>
          </w:tblCellMar>
        </w:tblPrEx>
        <w:trPr>
          <w:jc w:val="center"/>
        </w:trPr>
        <w:tc>
          <w:tcPr>
            <w:tcW w:w="3780" w:type="dxa"/>
            <w:vAlign w:val="center"/>
          </w:tcPr>
          <w:p w14:paraId="628F3237">
            <w:pPr>
              <w:spacing w:line="520" w:lineRule="exact"/>
              <w:rPr>
                <w:rFonts w:ascii="宋体"/>
                <w:sz w:val="24"/>
              </w:rPr>
            </w:pPr>
            <w:r>
              <w:rPr>
                <w:rFonts w:hint="eastAsia" w:ascii="宋体" w:hAnsi="宋体"/>
                <w:b/>
                <w:bCs/>
                <w:sz w:val="24"/>
              </w:rPr>
              <w:t>账号：</w:t>
            </w:r>
          </w:p>
        </w:tc>
        <w:tc>
          <w:tcPr>
            <w:tcW w:w="2837" w:type="dxa"/>
            <w:vAlign w:val="center"/>
          </w:tcPr>
          <w:p w14:paraId="3B1A3F6E">
            <w:pPr>
              <w:spacing w:line="520" w:lineRule="exact"/>
              <w:rPr>
                <w:rFonts w:ascii="宋体"/>
                <w:sz w:val="24"/>
              </w:rPr>
            </w:pPr>
            <w:r>
              <w:rPr>
                <w:rFonts w:hint="eastAsia" w:ascii="宋体" w:hAnsi="宋体"/>
                <w:b/>
                <w:bCs/>
                <w:sz w:val="24"/>
              </w:rPr>
              <w:t>账号：</w:t>
            </w:r>
          </w:p>
        </w:tc>
        <w:tc>
          <w:tcPr>
            <w:tcW w:w="2746" w:type="dxa"/>
            <w:vAlign w:val="center"/>
          </w:tcPr>
          <w:p w14:paraId="3D08E45C">
            <w:pPr>
              <w:spacing w:line="520" w:lineRule="exact"/>
              <w:rPr>
                <w:rFonts w:ascii="宋体"/>
                <w:sz w:val="24"/>
              </w:rPr>
            </w:pPr>
          </w:p>
        </w:tc>
      </w:tr>
      <w:tr w14:paraId="6928424B">
        <w:tblPrEx>
          <w:tblCellMar>
            <w:top w:w="0" w:type="dxa"/>
            <w:left w:w="108" w:type="dxa"/>
            <w:bottom w:w="0" w:type="dxa"/>
            <w:right w:w="108" w:type="dxa"/>
          </w:tblCellMar>
        </w:tblPrEx>
        <w:trPr>
          <w:jc w:val="center"/>
        </w:trPr>
        <w:tc>
          <w:tcPr>
            <w:tcW w:w="3780" w:type="dxa"/>
            <w:vAlign w:val="center"/>
          </w:tcPr>
          <w:p w14:paraId="243B181C">
            <w:pPr>
              <w:spacing w:line="520" w:lineRule="exact"/>
              <w:rPr>
                <w:rFonts w:ascii="宋体"/>
                <w:sz w:val="24"/>
              </w:rPr>
            </w:pPr>
            <w:r>
              <w:rPr>
                <w:rFonts w:hint="eastAsia" w:ascii="宋体" w:hAnsi="宋体"/>
                <w:b/>
                <w:bCs/>
                <w:sz w:val="24"/>
              </w:rPr>
              <w:t>电话：</w:t>
            </w:r>
          </w:p>
        </w:tc>
        <w:tc>
          <w:tcPr>
            <w:tcW w:w="2837" w:type="dxa"/>
            <w:vAlign w:val="center"/>
          </w:tcPr>
          <w:p w14:paraId="37ED3273">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30AFAB00">
            <w:pPr>
              <w:spacing w:line="520" w:lineRule="exact"/>
              <w:rPr>
                <w:rFonts w:ascii="宋体"/>
                <w:sz w:val="24"/>
              </w:rPr>
            </w:pPr>
            <w:r>
              <w:rPr>
                <w:rFonts w:hint="eastAsia" w:ascii="宋体" w:hAnsi="宋体"/>
                <w:b/>
                <w:bCs/>
                <w:sz w:val="24"/>
              </w:rPr>
              <w:t>电话：</w:t>
            </w:r>
          </w:p>
        </w:tc>
      </w:tr>
      <w:tr w14:paraId="065C1C0A">
        <w:tblPrEx>
          <w:tblCellMar>
            <w:top w:w="0" w:type="dxa"/>
            <w:left w:w="108" w:type="dxa"/>
            <w:bottom w:w="0" w:type="dxa"/>
            <w:right w:w="108" w:type="dxa"/>
          </w:tblCellMar>
        </w:tblPrEx>
        <w:trPr>
          <w:jc w:val="center"/>
        </w:trPr>
        <w:tc>
          <w:tcPr>
            <w:tcW w:w="3780" w:type="dxa"/>
            <w:vAlign w:val="center"/>
          </w:tcPr>
          <w:p w14:paraId="7CBCA896">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2B4FDF62">
            <w:pPr>
              <w:spacing w:line="520" w:lineRule="exact"/>
              <w:rPr>
                <w:rFonts w:ascii="宋体"/>
                <w:sz w:val="24"/>
              </w:rPr>
            </w:pPr>
            <w:r>
              <w:rPr>
                <w:rFonts w:hint="eastAsia" w:ascii="宋体" w:hAnsi="宋体"/>
                <w:b/>
                <w:bCs/>
                <w:sz w:val="24"/>
              </w:rPr>
              <w:t>地址：</w:t>
            </w:r>
          </w:p>
        </w:tc>
        <w:tc>
          <w:tcPr>
            <w:tcW w:w="2746" w:type="dxa"/>
            <w:vAlign w:val="center"/>
          </w:tcPr>
          <w:p w14:paraId="2328E955">
            <w:pPr>
              <w:spacing w:line="520" w:lineRule="exact"/>
              <w:rPr>
                <w:rFonts w:ascii="宋体"/>
                <w:sz w:val="24"/>
              </w:rPr>
            </w:pPr>
            <w:r>
              <w:rPr>
                <w:rFonts w:hint="eastAsia" w:ascii="宋体" w:hAnsi="宋体"/>
                <w:b/>
                <w:bCs/>
                <w:sz w:val="24"/>
              </w:rPr>
              <w:t>地址：</w:t>
            </w:r>
          </w:p>
        </w:tc>
      </w:tr>
      <w:tr w14:paraId="428EE887">
        <w:tblPrEx>
          <w:tblCellMar>
            <w:top w:w="0" w:type="dxa"/>
            <w:left w:w="108" w:type="dxa"/>
            <w:bottom w:w="0" w:type="dxa"/>
            <w:right w:w="108" w:type="dxa"/>
          </w:tblCellMar>
        </w:tblPrEx>
        <w:trPr>
          <w:jc w:val="center"/>
        </w:trPr>
        <w:tc>
          <w:tcPr>
            <w:tcW w:w="3780" w:type="dxa"/>
            <w:vAlign w:val="center"/>
          </w:tcPr>
          <w:p w14:paraId="794F2F72">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6E239FDF">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56CBDD64">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4229C5E8">
      <w:pPr>
        <w:spacing w:line="520" w:lineRule="exact"/>
        <w:ind w:firstLine="490" w:firstLineChars="175"/>
        <w:rPr>
          <w:rFonts w:ascii="宋体"/>
          <w:sz w:val="28"/>
          <w:szCs w:val="28"/>
        </w:rPr>
        <w:sectPr>
          <w:pgSz w:w="11906" w:h="16838"/>
          <w:pgMar w:top="1270" w:right="1701" w:bottom="850" w:left="1701" w:header="851" w:footer="992" w:gutter="0"/>
          <w:cols w:space="720" w:num="1"/>
          <w:titlePg/>
          <w:docGrid w:type="linesAndChars" w:linePitch="498" w:charSpace="0"/>
        </w:sectPr>
      </w:pPr>
    </w:p>
    <w:p w14:paraId="3E2D96D9">
      <w:pPr>
        <w:tabs>
          <w:tab w:val="left" w:pos="320"/>
          <w:tab w:val="left" w:pos="480"/>
          <w:tab w:val="left" w:pos="846"/>
        </w:tabs>
        <w:spacing w:line="520" w:lineRule="exact"/>
        <w:ind w:left="420" w:leftChars="200"/>
      </w:pPr>
      <w:bookmarkStart w:id="97" w:name="_Toc30979"/>
      <w:r>
        <w:rPr>
          <w:rStyle w:val="8"/>
          <w:rFonts w:hint="default"/>
          <w:szCs w:val="22"/>
        </w:rPr>
        <w:t>附件：</w:t>
      </w:r>
      <w:bookmarkEnd w:id="97"/>
    </w:p>
    <w:p w14:paraId="12ABF812">
      <w:bookmarkStart w:id="98" w:name="_GoBack"/>
      <w:bookmarkEnd w:id="9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CE3EBD"/>
    <w:rsid w:val="71CE3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Plain Text"/>
    <w:basedOn w:val="1"/>
    <w:qFormat/>
    <w:uiPriority w:val="0"/>
    <w:rPr>
      <w:rFonts w:ascii="宋体" w:hAnsi="Courier New"/>
    </w:rPr>
  </w:style>
  <w:style w:type="paragraph" w:customStyle="1" w:styleId="7">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character" w:customStyle="1" w:styleId="8">
    <w:name w:val="标题 2 字符"/>
    <w:basedOn w:val="6"/>
    <w:link w:val="2"/>
    <w:qFormat/>
    <w:uiPriority w:val="99"/>
    <w:rPr>
      <w:rFonts w:hint="eastAsia" w:ascii="宋体" w:hAnsi="宋体" w:eastAsia="宋体" w:cs="Times New Roman"/>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2026-07-14T11:33:00Z</dcterms:created>
  <dc:creator>xi</dc:creator>
  <cp:lastModifiedBy>xi</cp:lastModifiedBy>
  <dcterms:modified xsi:type="dcterms:W3CDTF">2026-07-14T11:33:21Z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2BA272552375475EA3A87A73648E76CF_11</vt:lpwstr>
  </property>
  <property fmtid="{D5CDD505-2E9C-101B-9397-08002B2CF9AE}" pid="4" name="KSOTemplateDocerSaveRecord">
    <vt:lpwstr>eyJoZGlkIjoiNDZjZTQ5NDI0YmIxNmY2MzBjNzU2NGY5OTg0YjE5YmIiLCJ1c2VySWQiOiIzMzE0MzU5ODcifQ==</vt:lpwstr>
  </property>
</Properties>
</file>