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版本号：SXJTZB-ZC-CS2026062720260729001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2026年度省级不动产登记平台网络安全保障项目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SXJTZB-ZC-CS20260627</w:t>
      </w:r>
      <w:r>
        <w:br/>
      </w:r>
      <w:r>
        <w:br/>
      </w:r>
      <w:r>
        <w:br/>
      </w:r>
    </w:p>
    <w:p>
      <w:pPr>
        <w:pStyle w:val="null3"/>
        <w:jc w:val="center"/>
        <w:outlineLvl w:val="2"/>
      </w:pPr>
      <w:r>
        <w:rPr>
          <w:rFonts w:ascii="仿宋_GB2312" w:hAnsi="仿宋_GB2312" w:cs="仿宋_GB2312" w:eastAsia="仿宋_GB2312"/>
          <w:sz w:val="28"/>
          <w:b/>
        </w:rPr>
        <w:t>陕西省不动产登记服务中心</w:t>
      </w:r>
    </w:p>
    <w:p>
      <w:pPr>
        <w:pStyle w:val="null3"/>
        <w:jc w:val="center"/>
        <w:outlineLvl w:val="2"/>
      </w:pPr>
      <w:r>
        <w:rPr>
          <w:rFonts w:ascii="仿宋_GB2312" w:hAnsi="仿宋_GB2312" w:cs="仿宋_GB2312" w:eastAsia="仿宋_GB2312"/>
          <w:sz w:val="28"/>
          <w:b/>
        </w:rPr>
        <w:t>陕西嘉唐建设项目管理有限公司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陕西嘉唐建设项目管理有限公司</w:t>
      </w:r>
      <w:r>
        <w:rPr>
          <w:rFonts w:ascii="仿宋_GB2312" w:hAnsi="仿宋_GB2312" w:cs="仿宋_GB2312" w:eastAsia="仿宋_GB2312"/>
        </w:rPr>
        <w:t>（以下简称“代理机构”）受</w:t>
      </w:r>
      <w:r>
        <w:rPr>
          <w:rFonts w:ascii="仿宋_GB2312" w:hAnsi="仿宋_GB2312" w:cs="仿宋_GB2312" w:eastAsia="仿宋_GB2312"/>
        </w:rPr>
        <w:t>陕西省不动产登记服务中心</w:t>
      </w:r>
      <w:r>
        <w:rPr>
          <w:rFonts w:ascii="仿宋_GB2312" w:hAnsi="仿宋_GB2312" w:cs="仿宋_GB2312" w:eastAsia="仿宋_GB2312"/>
        </w:rPr>
        <w:t>委托，拟对</w:t>
      </w:r>
      <w:r>
        <w:rPr>
          <w:rFonts w:ascii="仿宋_GB2312" w:hAnsi="仿宋_GB2312" w:cs="仿宋_GB2312" w:eastAsia="仿宋_GB2312"/>
        </w:rPr>
        <w:t>2026年度省级不动产登记平台网络安全保障项目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SXJTZB-ZC-CS20260627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2026年度省级不动产登记平台网络安全保障项目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2026年度省级不动产登记平台网络安全保障项目，通过实施基础设施运维服务、基础设备延保服务、基础软件授权服务，进一步提升网络和信息安全保障能力，确保不动产登记信息平台安全、稳定运行。</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1、主体资格证明文件：具有独立承担民事责任能力的法人或其他组织，提供有效存续的营业执照或事业单位法人证书或非企业专业服务机构执业许可证或民办非企业单位登记证书或自然人的身份证明；</w:t>
      </w:r>
    </w:p>
    <w:p>
      <w:pPr>
        <w:pStyle w:val="null3"/>
      </w:pPr>
      <w:r>
        <w:rPr>
          <w:rFonts w:ascii="仿宋_GB2312" w:hAnsi="仿宋_GB2312" w:cs="仿宋_GB2312" w:eastAsia="仿宋_GB2312"/>
        </w:rPr>
        <w:t>2、财务状况报告：提供经审计的2024年度或2025年度完整有效的财务报告复印件（财务报告是指经会计师事务所审计的上述指定年度整个会计年度财务报表,复印件至少须包括报告正文、资产负债表、现金流量表、利润表、附注和会计师事务所营业执照，报告正文应当有会计师事务所公章和2名注册会计师的签字及盖章。且审计报告应当经过注册会计师行业统一监管平台备案赋码）或在开标日期前六个月内其开户银行出具的资信证明或信用担保机构出具的投标担保函，以上三种形式的资料提供任何一种即可（分支机构如无法提供财务审计报告，须出具包含分支机构的财务数据的总公司财务审计报告）；事业单位零余额账户提供相应证明；</w:t>
      </w:r>
    </w:p>
    <w:p>
      <w:pPr>
        <w:pStyle w:val="null3"/>
      </w:pPr>
      <w:r>
        <w:rPr>
          <w:rFonts w:ascii="仿宋_GB2312" w:hAnsi="仿宋_GB2312" w:cs="仿宋_GB2312" w:eastAsia="仿宋_GB2312"/>
        </w:rPr>
        <w:t>3、税收缴纳证明：提供已缴纳的2025年7月至今任意一个月的纳税证明或完税证明，纳税证明或完税证明上应有代收机构或税务机关的公章或业务专用章。依法免税的供应商应提供相关文件证明；</w:t>
      </w:r>
    </w:p>
    <w:p>
      <w:pPr>
        <w:pStyle w:val="null3"/>
      </w:pPr>
      <w:r>
        <w:rPr>
          <w:rFonts w:ascii="仿宋_GB2312" w:hAnsi="仿宋_GB2312" w:cs="仿宋_GB2312" w:eastAsia="仿宋_GB2312"/>
        </w:rPr>
        <w:t>4、社会保障资金缴纳证明：提供已缴纳的2025年7月至今任意一个月的社会保障资金缴纳单据或社保机构开具的社会保险参保缴费情况证明，单据或证明上应有社保机构或代收机构的公章或业务专用章。依法不需要缴纳社会保障资金的供应商应提供相关文件证明；</w:t>
      </w:r>
    </w:p>
    <w:p>
      <w:pPr>
        <w:pStyle w:val="null3"/>
      </w:pPr>
      <w:r>
        <w:rPr>
          <w:rFonts w:ascii="仿宋_GB2312" w:hAnsi="仿宋_GB2312" w:cs="仿宋_GB2312" w:eastAsia="仿宋_GB2312"/>
        </w:rPr>
        <w:t>5、履约能力：供应商须提供具有履行合同所必需的设备和专业技术能力的承诺；</w:t>
      </w:r>
    </w:p>
    <w:p>
      <w:pPr>
        <w:pStyle w:val="null3"/>
      </w:pPr>
      <w:r>
        <w:rPr>
          <w:rFonts w:ascii="仿宋_GB2312" w:hAnsi="仿宋_GB2312" w:cs="仿宋_GB2312" w:eastAsia="仿宋_GB2312"/>
        </w:rPr>
        <w:t>6、无重大违法记录书面声明：出具参加本次政府采购活动前三年内在经营活动中没有重大违法记录的书面声明；</w:t>
      </w:r>
    </w:p>
    <w:p>
      <w:pPr>
        <w:pStyle w:val="null3"/>
      </w:pPr>
      <w:r>
        <w:rPr>
          <w:rFonts w:ascii="仿宋_GB2312" w:hAnsi="仿宋_GB2312" w:cs="仿宋_GB2312" w:eastAsia="仿宋_GB2312"/>
        </w:rPr>
        <w:t>7、法定代表人授权委托书：法定代表人参加磋商的提供法定代表人身份证明及身份证，委托代理人参加磋商的提供授权委托书及委托代理人身份证；自然人只需提供身份证；备注：分支机构由分支机构负责人授权即可；</w:t>
      </w:r>
    </w:p>
    <w:p>
      <w:pPr>
        <w:pStyle w:val="null3"/>
      </w:pPr>
      <w:r>
        <w:rPr>
          <w:rFonts w:ascii="仿宋_GB2312" w:hAnsi="仿宋_GB2312" w:cs="仿宋_GB2312" w:eastAsia="仿宋_GB2312"/>
        </w:rPr>
        <w:t>8、本项目不接受联合体磋商：本项目不接受联合体磋商（提供书面声明材料）。</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陕西省不动产登记服务中心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西安市高新路52号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陕西省不动产登记服务中心</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029-89197782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陕西嘉唐建设项目管理有限公司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西安市未央区凤城五路与明光路十字天朗经开中心25楼2501室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张荷、廖丽、贾婵、王梦娜、段冬梅、曾小旦、王琳娜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029-89351397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颁发的《招标代理服务收费管理暂行办法》（计价格[2002]1980号）、国家发展和改革委员会办公厅颁发的《关于招标代理服务收费有关问题的通知》（发改办价格[2003]857号）的有关规定执行。 2.招标代理服务费由成交供应商支付，在领取《成交通知书》前，由成交供应商一次性支付给陕西嘉唐建设项目管理有限公司。 银行账户： 公司名称：陕西嘉唐建设项目管理有限公司 账 号：112011580000141313 开 户 行：西安银行股份有限公司含光门支行 公司邮箱：shanxijiatang@163.com</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陕西省不动产登记服务中心</w:t>
      </w:r>
      <w:r>
        <w:rPr>
          <w:rFonts w:ascii="仿宋_GB2312" w:hAnsi="仿宋_GB2312" w:cs="仿宋_GB2312" w:eastAsia="仿宋_GB2312"/>
        </w:rPr>
        <w:t>和</w:t>
      </w:r>
      <w:r>
        <w:rPr>
          <w:rFonts w:ascii="仿宋_GB2312" w:hAnsi="仿宋_GB2312" w:cs="仿宋_GB2312" w:eastAsia="仿宋_GB2312"/>
        </w:rPr>
        <w:t>陕西嘉唐建设项目管理有限公司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陕西省不动产登记服务中心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陕西嘉唐建设项目管理有限公司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陕西省不动产登记服务中心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陕西嘉唐建设项目管理有限公司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陕西嘉唐建设项目管理有限公司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陕西嘉唐建设项目管理有限公司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陕西嘉唐建设项目管理有限公司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联系人：张荷、廖丽</w:t>
      </w:r>
    </w:p>
    <w:p>
      <w:pPr>
        <w:pStyle w:val="null3"/>
      </w:pPr>
      <w:r>
        <w:rPr>
          <w:rFonts w:ascii="仿宋_GB2312" w:hAnsi="仿宋_GB2312" w:cs="仿宋_GB2312" w:eastAsia="仿宋_GB2312"/>
        </w:rPr>
        <w:t>联系电话：029-89351397</w:t>
      </w:r>
    </w:p>
    <w:p>
      <w:pPr>
        <w:pStyle w:val="null3"/>
      </w:pPr>
      <w:r>
        <w:rPr>
          <w:rFonts w:ascii="仿宋_GB2312" w:hAnsi="仿宋_GB2312" w:cs="仿宋_GB2312" w:eastAsia="仿宋_GB2312"/>
        </w:rPr>
        <w:t>地址：西安市未央区凤城五路与明光路十字天朗经开中心25楼2501室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2026年度省级不动产登记平台网络安全保障项目，通过实施基础设施运维服务、基础设备延保服务、基础软件授权服务，进一步提升网络和信息安全保障能力，确保不动产登记信息平台安全、稳定运行。</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省级不动产登记平台网络安全保障</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标的名称：省级不动产登记平台网络安全保障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0"/>
            </w:pPr>
            <w:r>
              <w:rPr>
                <w:rFonts w:ascii="仿宋_GB2312" w:hAnsi="仿宋_GB2312" w:cs="仿宋_GB2312" w:eastAsia="仿宋_GB2312"/>
              </w:rPr>
              <w:t>通过实施基础设施运维服务、基础设备延保服务、基础软件授权服务，进一步提升网络和信息安全保障能力，确保不动产登记信息平台安全、稳定运行。</w:t>
            </w:r>
          </w:p>
          <w:p>
            <w:pPr>
              <w:pStyle w:val="null3"/>
            </w:pPr>
            <w:r>
              <w:rPr>
                <w:rFonts w:ascii="仿宋_GB2312" w:hAnsi="仿宋_GB2312" w:cs="仿宋_GB2312" w:eastAsia="仿宋_GB2312"/>
                <w:b/>
              </w:rPr>
              <w:t>（一）基础设施运维服务</w:t>
            </w:r>
          </w:p>
          <w:p>
            <w:pPr>
              <w:pStyle w:val="null3"/>
              <w:ind w:firstLine="400"/>
            </w:pPr>
            <w:r>
              <w:rPr>
                <w:rFonts w:ascii="仿宋_GB2312" w:hAnsi="仿宋_GB2312" w:cs="仿宋_GB2312" w:eastAsia="仿宋_GB2312"/>
              </w:rPr>
              <w:t>通过实施基础设施运维工作，降低相关系统及设备故障率，提升网络安全防护能力，保障办公区和机房中运行在业务内网环境的各类软硬件设备以及省政务云虚拟服务器的安全稳定运行。</w:t>
            </w:r>
          </w:p>
          <w:p>
            <w:pPr>
              <w:pStyle w:val="null3"/>
            </w:pPr>
            <w:r>
              <w:rPr>
                <w:rFonts w:ascii="仿宋_GB2312" w:hAnsi="仿宋_GB2312" w:cs="仿宋_GB2312" w:eastAsia="仿宋_GB2312"/>
                <w:b/>
              </w:rPr>
              <w:t>1. 服务内容</w:t>
            </w:r>
          </w:p>
          <w:p>
            <w:pPr>
              <w:pStyle w:val="null3"/>
            </w:pPr>
            <w:r>
              <w:rPr>
                <w:rFonts w:ascii="仿宋_GB2312" w:hAnsi="仿宋_GB2312" w:cs="仿宋_GB2312" w:eastAsia="仿宋_GB2312"/>
              </w:rPr>
              <w:t>基础设施运维服务内容包括人员驻场服务、设备维护服务、网络运维服务、安全运维服务、网络安全培训等。</w:t>
            </w:r>
          </w:p>
          <w:p>
            <w:pPr>
              <w:pStyle w:val="null3"/>
            </w:pPr>
            <w:r>
              <w:rPr>
                <w:rFonts w:ascii="仿宋_GB2312" w:hAnsi="仿宋_GB2312" w:cs="仿宋_GB2312" w:eastAsia="仿宋_GB2312"/>
              </w:rPr>
              <w:t>（</w:t>
            </w:r>
            <w:r>
              <w:rPr>
                <w:rFonts w:ascii="仿宋_GB2312" w:hAnsi="仿宋_GB2312" w:cs="仿宋_GB2312" w:eastAsia="仿宋_GB2312"/>
              </w:rPr>
              <w:t>1）人员驻场服务</w:t>
            </w:r>
          </w:p>
          <w:p>
            <w:pPr>
              <w:pStyle w:val="null3"/>
              <w:ind w:firstLine="400"/>
            </w:pPr>
            <w:r>
              <w:rPr>
                <w:rFonts w:ascii="仿宋_GB2312" w:hAnsi="仿宋_GB2312" w:cs="仿宋_GB2312" w:eastAsia="仿宋_GB2312"/>
              </w:rPr>
              <w:t>安排至少</w:t>
            </w:r>
            <w:r>
              <w:rPr>
                <w:rFonts w:ascii="仿宋_GB2312" w:hAnsi="仿宋_GB2312" w:cs="仿宋_GB2312" w:eastAsia="仿宋_GB2312"/>
              </w:rPr>
              <w:t>2名专业技术人员常驻现场办公，提供常态化运维服务。对机房、办公区的服务器、网络、安全等信息化硬件设备以及操作系统、数据库、中间件等业务系统支撑软件开展常态化巡检。实行每日网络远程巡检、每周现场实地巡检、每月专项检查、季度深度检查，及时发现和排除安全隐患，提前解决潜在的安全问题。检查内容包括设备状态指示灯、硬件告警信息、电源风扇、设备温度、网络端口流量、资源使用率、安全和系统日志、补丁更新状态、系统漏洞与风险点、数据备份有效性等。</w:t>
            </w:r>
          </w:p>
          <w:p>
            <w:pPr>
              <w:pStyle w:val="null3"/>
            </w:pPr>
            <w:r>
              <w:rPr>
                <w:rFonts w:ascii="仿宋_GB2312" w:hAnsi="仿宋_GB2312" w:cs="仿宋_GB2312" w:eastAsia="仿宋_GB2312"/>
              </w:rPr>
              <w:t>（</w:t>
            </w:r>
            <w:r>
              <w:rPr>
                <w:rFonts w:ascii="仿宋_GB2312" w:hAnsi="仿宋_GB2312" w:cs="仿宋_GB2312" w:eastAsia="仿宋_GB2312"/>
              </w:rPr>
              <w:t>2）设备维护服务</w:t>
            </w:r>
          </w:p>
          <w:p>
            <w:pPr>
              <w:pStyle w:val="null3"/>
              <w:ind w:firstLine="400"/>
            </w:pPr>
            <w:r>
              <w:rPr>
                <w:rFonts w:ascii="仿宋_GB2312" w:hAnsi="仿宋_GB2312" w:cs="仿宋_GB2312" w:eastAsia="仿宋_GB2312"/>
              </w:rPr>
              <w:t>负责信息化软硬件设备的故障处置、性能优化与生命周期管理，保障设备持续、可靠运行。对设备报错、宕机、损坏等问题进行快速定位与修复，提供备件更换与维修方案。针对核心网络设备、安全设备提供常用备件支持，确保故障发生后可快速更换，缩短停机时间。根据业务需求完成设备配置调整、版本升级、策略优化，做好配置备份与变更记录。定期对各类设备和系统的软件、固件、规则库、特征库等进行升级。定期清理无效的策略或配置，优化设备运行效率。建立各类设备和系统的清单及工作台账，跟踪设备维保状态。</w:t>
            </w:r>
          </w:p>
          <w:p>
            <w:pPr>
              <w:pStyle w:val="null3"/>
            </w:pPr>
            <w:r>
              <w:rPr>
                <w:rFonts w:ascii="仿宋_GB2312" w:hAnsi="仿宋_GB2312" w:cs="仿宋_GB2312" w:eastAsia="仿宋_GB2312"/>
              </w:rPr>
              <w:t>（</w:t>
            </w:r>
            <w:r>
              <w:rPr>
                <w:rFonts w:ascii="仿宋_GB2312" w:hAnsi="仿宋_GB2312" w:cs="仿宋_GB2312" w:eastAsia="仿宋_GB2312"/>
              </w:rPr>
              <w:t>3）网络运维服务</w:t>
            </w:r>
          </w:p>
          <w:p>
            <w:pPr>
              <w:pStyle w:val="null3"/>
              <w:ind w:firstLine="400"/>
            </w:pPr>
            <w:r>
              <w:rPr>
                <w:rFonts w:ascii="仿宋_GB2312" w:hAnsi="仿宋_GB2312" w:cs="仿宋_GB2312" w:eastAsia="仿宋_GB2312"/>
              </w:rPr>
              <w:t>负责保障办公区和机房业务内网的全链路网络畅通，主动监控网络链路通断、带宽使用率与延时、终端设备安全接入等情况，处理终端无法联网、网速异常、</w:t>
            </w:r>
            <w:r>
              <w:rPr>
                <w:rFonts w:ascii="仿宋_GB2312" w:hAnsi="仿宋_GB2312" w:cs="仿宋_GB2312" w:eastAsia="仿宋_GB2312"/>
              </w:rPr>
              <w:t>IP地址冲突等问题。分析网络流量，识别瓶颈节点与异常流量，优化网络访问控制策略管理，提高网络访问效率。负责终端入网流程管理，及时发现和处置非法接入等违规行为，保障网络边界安全。</w:t>
            </w:r>
          </w:p>
          <w:p>
            <w:pPr>
              <w:pStyle w:val="null3"/>
            </w:pPr>
            <w:r>
              <w:rPr>
                <w:rFonts w:ascii="仿宋_GB2312" w:hAnsi="仿宋_GB2312" w:cs="仿宋_GB2312" w:eastAsia="仿宋_GB2312"/>
              </w:rPr>
              <w:t>（</w:t>
            </w:r>
            <w:r>
              <w:rPr>
                <w:rFonts w:ascii="仿宋_GB2312" w:hAnsi="仿宋_GB2312" w:cs="仿宋_GB2312" w:eastAsia="仿宋_GB2312"/>
              </w:rPr>
              <w:t>4）安全运维服务</w:t>
            </w:r>
          </w:p>
          <w:p>
            <w:pPr>
              <w:pStyle w:val="null3"/>
              <w:ind w:firstLine="400"/>
            </w:pPr>
            <w:r>
              <w:rPr>
                <w:rFonts w:ascii="仿宋_GB2312" w:hAnsi="仿宋_GB2312" w:cs="仿宋_GB2312" w:eastAsia="仿宋_GB2312"/>
              </w:rPr>
              <w:t>持续监测网络安全态势，及时通报最新安全漏洞、病毒预警情况，同步给出防护建议。定期开展漏洞扫描，对检查发现的漏洞出具修复方案并协助整改，确保中、高危漏洞修复率达到</w:t>
            </w:r>
            <w:r>
              <w:rPr>
                <w:rFonts w:ascii="仿宋_GB2312" w:hAnsi="仿宋_GB2312" w:cs="仿宋_GB2312" w:eastAsia="仿宋_GB2312"/>
              </w:rPr>
              <w:t>100%，并做好各类安全风险检查、整改记录。提供应急响应服务，对病毒爆发、网络攻击、数据泄露等安全事件进行快速处置、溯源分析。在重大节假日、专项工作期间，安排专人值守，开展专项安全加固，保障期间零重大安全事件。</w:t>
            </w:r>
          </w:p>
          <w:p>
            <w:pPr>
              <w:pStyle w:val="null3"/>
            </w:pPr>
            <w:r>
              <w:rPr>
                <w:rFonts w:ascii="仿宋_GB2312" w:hAnsi="仿宋_GB2312" w:cs="仿宋_GB2312" w:eastAsia="仿宋_GB2312"/>
              </w:rPr>
              <w:t>（</w:t>
            </w:r>
            <w:r>
              <w:rPr>
                <w:rFonts w:ascii="仿宋_GB2312" w:hAnsi="仿宋_GB2312" w:cs="仿宋_GB2312" w:eastAsia="仿宋_GB2312"/>
              </w:rPr>
              <w:t>5）网络安全培训</w:t>
            </w:r>
          </w:p>
          <w:p>
            <w:pPr>
              <w:pStyle w:val="null3"/>
              <w:ind w:firstLine="400"/>
            </w:pPr>
            <w:r>
              <w:rPr>
                <w:rFonts w:ascii="仿宋_GB2312" w:hAnsi="仿宋_GB2312" w:cs="仿宋_GB2312" w:eastAsia="仿宋_GB2312"/>
              </w:rPr>
              <w:t>负责组织</w:t>
            </w:r>
            <w:r>
              <w:rPr>
                <w:rFonts w:ascii="仿宋_GB2312" w:hAnsi="仿宋_GB2312" w:cs="仿宋_GB2312" w:eastAsia="仿宋_GB2312"/>
              </w:rPr>
              <w:t>2次网络安全专题培训，邀请网络安全权威专家进行授课，内容包括但不限于法规政策深度解读、网络安全态势分析、行业热点事件剖析等，培训方式包括现场培训及网络培训。</w:t>
            </w:r>
          </w:p>
          <w:p>
            <w:pPr>
              <w:pStyle w:val="null3"/>
            </w:pPr>
            <w:r>
              <w:rPr>
                <w:rFonts w:ascii="仿宋_GB2312" w:hAnsi="仿宋_GB2312" w:cs="仿宋_GB2312" w:eastAsia="仿宋_GB2312"/>
                <w:b/>
              </w:rPr>
              <w:t>2</w:t>
            </w:r>
            <w:r>
              <w:rPr>
                <w:rFonts w:ascii="仿宋_GB2312" w:hAnsi="仿宋_GB2312" w:cs="仿宋_GB2312" w:eastAsia="仿宋_GB2312"/>
                <w:b/>
              </w:rPr>
              <w:t>. 服务范围</w:t>
            </w:r>
          </w:p>
          <w:p>
            <w:pPr>
              <w:pStyle w:val="null3"/>
              <w:ind w:firstLine="400"/>
            </w:pPr>
            <w:r>
              <w:rPr>
                <w:rFonts w:ascii="仿宋_GB2312" w:hAnsi="仿宋_GB2312" w:cs="仿宋_GB2312" w:eastAsia="仿宋_GB2312"/>
              </w:rPr>
              <w:t>需要运维的设备包括：在办公区、机房中处于业务内网环境的各类软硬件设备，在省政务云平台处于政务外网环境的虚拟服务器设备。运维设备清单如下：</w:t>
            </w:r>
          </w:p>
          <w:p>
            <w:pPr>
              <w:pStyle w:val="null3"/>
            </w:pPr>
            <w:r>
              <w:rPr>
                <w:rFonts w:ascii="仿宋_GB2312" w:hAnsi="仿宋_GB2312" w:cs="仿宋_GB2312" w:eastAsia="仿宋_GB2312"/>
              </w:rPr>
              <w:t>（</w:t>
            </w:r>
            <w:r>
              <w:rPr>
                <w:rFonts w:ascii="仿宋_GB2312" w:hAnsi="仿宋_GB2312" w:cs="仿宋_GB2312" w:eastAsia="仿宋_GB2312"/>
              </w:rPr>
              <w:t>1）机房设备清单</w:t>
            </w:r>
          </w:p>
          <w:tbl>
            <w:tblPr>
              <w:tblBorders>
                <w:top w:val="none" w:color="000000" w:sz="4"/>
                <w:left w:val="none" w:color="000000" w:sz="4"/>
                <w:bottom w:val="none" w:color="000000" w:sz="4"/>
                <w:right w:val="none" w:color="000000" w:sz="4"/>
                <w:insideH w:val="none"/>
                <w:insideV w:val="none"/>
              </w:tblBorders>
            </w:tblPr>
            <w:tblGrid>
              <w:gridCol w:w="341"/>
              <w:gridCol w:w="1008"/>
              <w:gridCol w:w="518"/>
              <w:gridCol w:w="972"/>
              <w:gridCol w:w="336"/>
            </w:tblGrid>
            <w:tr>
              <w:tc>
                <w:tcPr>
                  <w:tcW w:type="dxa" w:w="341"/>
                  <w:tcBorders>
                    <w:top w:val="singl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1008"/>
                  <w:tcBorders>
                    <w:top w:val="single" w:color="000000" w:sz="4"/>
                    <w:left w:val="non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设备名称</w:t>
                  </w:r>
                </w:p>
              </w:tc>
              <w:tc>
                <w:tcPr>
                  <w:tcW w:type="dxa" w:w="518"/>
                  <w:tcBorders>
                    <w:top w:val="single" w:color="000000" w:sz="4"/>
                    <w:left w:val="non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品牌</w:t>
                  </w:r>
                </w:p>
              </w:tc>
              <w:tc>
                <w:tcPr>
                  <w:tcW w:type="dxa" w:w="972"/>
                  <w:tcBorders>
                    <w:top w:val="single" w:color="000000" w:sz="4"/>
                    <w:left w:val="non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型号</w:t>
                  </w:r>
                </w:p>
              </w:tc>
              <w:tc>
                <w:tcPr>
                  <w:tcW w:type="dxa" w:w="336"/>
                  <w:tcBorders>
                    <w:top w:val="single" w:color="000000" w:sz="4"/>
                    <w:left w:val="non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数量</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存储</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华为</w:t>
                  </w:r>
                </w:p>
              </w:tc>
              <w:tc>
                <w:tcPr>
                  <w:tcW w:type="dxa" w:w="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OceanStor 5500 V3</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磁盘阵列设备</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华为</w:t>
                  </w:r>
                </w:p>
              </w:tc>
              <w:tc>
                <w:tcPr>
                  <w:tcW w:type="dxa" w:w="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DAE2252U2</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光纤交换机</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华为</w:t>
                  </w:r>
                </w:p>
              </w:tc>
              <w:tc>
                <w:tcPr>
                  <w:tcW w:type="dxa" w:w="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SNS2224</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交换机</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华为</w:t>
                  </w:r>
                </w:p>
              </w:tc>
              <w:tc>
                <w:tcPr>
                  <w:tcW w:type="dxa" w:w="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S5720-52P-EI-AC</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交换机</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华为</w:t>
                  </w:r>
                </w:p>
              </w:tc>
              <w:tc>
                <w:tcPr>
                  <w:tcW w:type="dxa" w:w="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S5720-52P-EI-AC</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交换机</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华为</w:t>
                  </w:r>
                </w:p>
              </w:tc>
              <w:tc>
                <w:tcPr>
                  <w:tcW w:type="dxa" w:w="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S5720S-52P-SI-AC</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路由器</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华为</w:t>
                  </w:r>
                </w:p>
              </w:tc>
              <w:tc>
                <w:tcPr>
                  <w:tcW w:type="dxa" w:w="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AR2220E-S</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路由器</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华为</w:t>
                  </w:r>
                </w:p>
              </w:tc>
              <w:tc>
                <w:tcPr>
                  <w:tcW w:type="dxa" w:w="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AR2220E-S</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交换机</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华为</w:t>
                  </w:r>
                </w:p>
              </w:tc>
              <w:tc>
                <w:tcPr>
                  <w:tcW w:type="dxa" w:w="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S5720S-52P-SI-AC</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交换机</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华为</w:t>
                  </w:r>
                </w:p>
              </w:tc>
              <w:tc>
                <w:tcPr>
                  <w:tcW w:type="dxa" w:w="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S5720S-28P-SI-AC</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11</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交换机</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华为</w:t>
                  </w:r>
                </w:p>
              </w:tc>
              <w:tc>
                <w:tcPr>
                  <w:tcW w:type="dxa" w:w="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S5720S-52P-LI-AC</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服务器</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华为</w:t>
                  </w:r>
                </w:p>
              </w:tc>
              <w:tc>
                <w:tcPr>
                  <w:tcW w:type="dxa" w:w="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RH2288 V3</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服务器</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华为</w:t>
                  </w:r>
                </w:p>
              </w:tc>
              <w:tc>
                <w:tcPr>
                  <w:tcW w:type="dxa" w:w="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RH5885 V3</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容灾备份一体机</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infocore</w:t>
                  </w:r>
                </w:p>
              </w:tc>
              <w:tc>
                <w:tcPr>
                  <w:tcW w:type="dxa" w:w="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Nextor  2016</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KVM切换器</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麦森特</w:t>
                  </w:r>
                </w:p>
              </w:tc>
              <w:tc>
                <w:tcPr>
                  <w:tcW w:type="dxa" w:w="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AE-1916</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台式工作站</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戴尔</w:t>
                  </w:r>
                </w:p>
              </w:tc>
              <w:tc>
                <w:tcPr>
                  <w:tcW w:type="dxa" w:w="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7920 Tower</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17</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下一代防火墙</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深信服</w:t>
                  </w:r>
                </w:p>
              </w:tc>
              <w:tc>
                <w:tcPr>
                  <w:tcW w:type="dxa" w:w="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AF-1000-FA40</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18</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下一代防火墙</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深信服</w:t>
                  </w:r>
                </w:p>
              </w:tc>
              <w:tc>
                <w:tcPr>
                  <w:tcW w:type="dxa" w:w="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AF-1000-FA40</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19</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运维安全与审计系统</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深信服</w:t>
                  </w:r>
                </w:p>
              </w:tc>
              <w:tc>
                <w:tcPr>
                  <w:tcW w:type="dxa" w:w="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OSM-1000-A600</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入侵防御系统</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深信服</w:t>
                  </w:r>
                </w:p>
              </w:tc>
              <w:tc>
                <w:tcPr>
                  <w:tcW w:type="dxa" w:w="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NIPS-1000-FA40</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21</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日志收集与审计系统</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深信服</w:t>
                  </w:r>
                </w:p>
              </w:tc>
              <w:tc>
                <w:tcPr>
                  <w:tcW w:type="dxa" w:w="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LAS-1000-A600</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22</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漏洞扫描系统</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深信服</w:t>
                  </w:r>
                </w:p>
              </w:tc>
              <w:tc>
                <w:tcPr>
                  <w:tcW w:type="dxa" w:w="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BVT-1000-A620</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23</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数据库审计系统</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深信服</w:t>
                  </w:r>
                </w:p>
              </w:tc>
              <w:tc>
                <w:tcPr>
                  <w:tcW w:type="dxa" w:w="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DAS-1000-A620</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24</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终端安全管理系统</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深信服</w:t>
                  </w:r>
                </w:p>
              </w:tc>
              <w:tc>
                <w:tcPr>
                  <w:tcW w:type="dxa" w:w="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EDR-1000-B600</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下一代防火墙</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深信服</w:t>
                  </w:r>
                </w:p>
              </w:tc>
              <w:tc>
                <w:tcPr>
                  <w:tcW w:type="dxa" w:w="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AF-1000-C600-MH</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26</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防火墙</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天融信</w:t>
                  </w:r>
                </w:p>
              </w:tc>
              <w:tc>
                <w:tcPr>
                  <w:tcW w:type="dxa" w:w="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NGFW4000-UF</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27</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安全隔离与信息单向导入系统</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启明星辰</w:t>
                  </w:r>
                </w:p>
              </w:tc>
              <w:tc>
                <w:tcPr>
                  <w:tcW w:type="dxa" w:w="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GAP-6000-3500UD</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数据安全交换系统</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启明星辰</w:t>
                  </w:r>
                </w:p>
              </w:tc>
              <w:tc>
                <w:tcPr>
                  <w:tcW w:type="dxa" w:w="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DC-6000-2350</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29</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集中监控管理系统</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启明星辰</w:t>
                  </w:r>
                </w:p>
              </w:tc>
              <w:tc>
                <w:tcPr>
                  <w:tcW w:type="dxa" w:w="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CM-6000-3500</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30</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集中监控管理系统</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启明星辰</w:t>
                  </w:r>
                </w:p>
              </w:tc>
              <w:tc>
                <w:tcPr>
                  <w:tcW w:type="dxa" w:w="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CMD-6000-1000</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31</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深信服超融合一体机</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深信服</w:t>
                  </w:r>
                </w:p>
              </w:tc>
              <w:tc>
                <w:tcPr>
                  <w:tcW w:type="dxa" w:w="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aServer-W-2205</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32</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存储交换机</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华三</w:t>
                  </w:r>
                </w:p>
              </w:tc>
              <w:tc>
                <w:tcPr>
                  <w:tcW w:type="dxa" w:w="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H3C S6520-24S-SI</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33</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业务交换机</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华三</w:t>
                  </w:r>
                </w:p>
              </w:tc>
              <w:tc>
                <w:tcPr>
                  <w:tcW w:type="dxa" w:w="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H3C S5130S-28S-SI</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34</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超融合一体机</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华为鲲鹏</w:t>
                  </w:r>
                </w:p>
              </w:tc>
              <w:tc>
                <w:tcPr>
                  <w:tcW w:type="dxa" w:w="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Taishan 200</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bl>
          <w:p>
            <w:pPr>
              <w:pStyle w:val="null3"/>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办公区内网设备清单</w:t>
            </w:r>
          </w:p>
          <w:tbl>
            <w:tblPr>
              <w:tblInd w:type="dxa" w:w="135"/>
              <w:tblBorders>
                <w:top w:val="none" w:color="000000" w:sz="4"/>
                <w:left w:val="none" w:color="000000" w:sz="4"/>
                <w:bottom w:val="none" w:color="000000" w:sz="4"/>
                <w:right w:val="none" w:color="000000" w:sz="4"/>
                <w:insideH w:val="none"/>
                <w:insideV w:val="none"/>
              </w:tblBorders>
            </w:tblPr>
            <w:tblGrid>
              <w:gridCol w:w="306"/>
              <w:gridCol w:w="996"/>
              <w:gridCol w:w="571"/>
              <w:gridCol w:w="1025"/>
              <w:gridCol w:w="283"/>
            </w:tblGrid>
            <w:tr>
              <w:tc>
                <w:tcPr>
                  <w:tcW w:type="dxa" w:w="306"/>
                  <w:tcBorders>
                    <w:top w:val="singl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996"/>
                  <w:tcBorders>
                    <w:top w:val="single" w:color="000000" w:sz="4"/>
                    <w:left w:val="non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设备名称</w:t>
                  </w:r>
                </w:p>
              </w:tc>
              <w:tc>
                <w:tcPr>
                  <w:tcW w:type="dxa" w:w="571"/>
                  <w:tcBorders>
                    <w:top w:val="single" w:color="000000" w:sz="4"/>
                    <w:left w:val="non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品牌</w:t>
                  </w:r>
                </w:p>
              </w:tc>
              <w:tc>
                <w:tcPr>
                  <w:tcW w:type="dxa" w:w="1025"/>
                  <w:tcBorders>
                    <w:top w:val="single" w:color="000000" w:sz="4"/>
                    <w:left w:val="non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型号</w:t>
                  </w:r>
                </w:p>
              </w:tc>
              <w:tc>
                <w:tcPr>
                  <w:tcW w:type="dxa" w:w="283"/>
                  <w:tcBorders>
                    <w:top w:val="single" w:color="000000" w:sz="4"/>
                    <w:left w:val="non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数量</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9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台式工作站</w:t>
                  </w:r>
                </w:p>
              </w:tc>
              <w:tc>
                <w:tcPr>
                  <w:tcW w:type="dxa" w:w="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戴尔</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7920 Tower</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9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台式工作站</w:t>
                  </w:r>
                </w:p>
              </w:tc>
              <w:tc>
                <w:tcPr>
                  <w:tcW w:type="dxa" w:w="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戴尔</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7920 Tower</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9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台式工作站</w:t>
                  </w:r>
                </w:p>
              </w:tc>
              <w:tc>
                <w:tcPr>
                  <w:tcW w:type="dxa" w:w="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戴尔</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7920 Tower</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9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台式机</w:t>
                  </w:r>
                </w:p>
              </w:tc>
              <w:tc>
                <w:tcPr>
                  <w:tcW w:type="dxa" w:w="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联想</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启天</w:t>
                  </w:r>
                  <w:r>
                    <w:rPr>
                      <w:rFonts w:ascii="仿宋_GB2312" w:hAnsi="仿宋_GB2312" w:cs="仿宋_GB2312" w:eastAsia="仿宋_GB2312"/>
                      <w:sz w:val="19"/>
                    </w:rPr>
                    <w:t>M4500-N000</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9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台式机</w:t>
                  </w:r>
                </w:p>
              </w:tc>
              <w:tc>
                <w:tcPr>
                  <w:tcW w:type="dxa" w:w="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联想</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启天</w:t>
                  </w:r>
                  <w:r>
                    <w:rPr>
                      <w:rFonts w:ascii="仿宋_GB2312" w:hAnsi="仿宋_GB2312" w:cs="仿宋_GB2312" w:eastAsia="仿宋_GB2312"/>
                      <w:sz w:val="19"/>
                    </w:rPr>
                    <w:t>M4500-N000</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c>
                <w:tcPr>
                  <w:tcW w:type="dxa" w:w="9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交换机</w:t>
                  </w:r>
                </w:p>
              </w:tc>
              <w:tc>
                <w:tcPr>
                  <w:tcW w:type="dxa" w:w="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华为</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S5720S-28P-SI-AC</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w:t>
                  </w:r>
                </w:p>
              </w:tc>
              <w:tc>
                <w:tcPr>
                  <w:tcW w:type="dxa" w:w="9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交换机</w:t>
                  </w:r>
                </w:p>
              </w:tc>
              <w:tc>
                <w:tcPr>
                  <w:tcW w:type="dxa" w:w="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华为</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S5720S-52P-LI-AC</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c>
                <w:tcPr>
                  <w:tcW w:type="dxa" w:w="9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台式机</w:t>
                  </w:r>
                </w:p>
              </w:tc>
              <w:tc>
                <w:tcPr>
                  <w:tcW w:type="dxa" w:w="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联想</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启天</w:t>
                  </w:r>
                  <w:r>
                    <w:rPr>
                      <w:rFonts w:ascii="仿宋_GB2312" w:hAnsi="仿宋_GB2312" w:cs="仿宋_GB2312" w:eastAsia="仿宋_GB2312"/>
                      <w:sz w:val="19"/>
                    </w:rPr>
                    <w:t>M4500-N000</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c>
                <w:tcPr>
                  <w:tcW w:type="dxa" w:w="9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台式机</w:t>
                  </w:r>
                </w:p>
              </w:tc>
              <w:tc>
                <w:tcPr>
                  <w:tcW w:type="dxa" w:w="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联想</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启天</w:t>
                  </w:r>
                  <w:r>
                    <w:rPr>
                      <w:rFonts w:ascii="仿宋_GB2312" w:hAnsi="仿宋_GB2312" w:cs="仿宋_GB2312" w:eastAsia="仿宋_GB2312"/>
                      <w:sz w:val="19"/>
                    </w:rPr>
                    <w:t>M4500-N000</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c>
                <w:tcPr>
                  <w:tcW w:type="dxa" w:w="9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台式机</w:t>
                  </w:r>
                </w:p>
              </w:tc>
              <w:tc>
                <w:tcPr>
                  <w:tcW w:type="dxa" w:w="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联想</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启天</w:t>
                  </w:r>
                  <w:r>
                    <w:rPr>
                      <w:rFonts w:ascii="仿宋_GB2312" w:hAnsi="仿宋_GB2312" w:cs="仿宋_GB2312" w:eastAsia="仿宋_GB2312"/>
                      <w:sz w:val="19"/>
                    </w:rPr>
                    <w:t>M4500-N000</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11</w:t>
                  </w:r>
                </w:p>
              </w:tc>
              <w:tc>
                <w:tcPr>
                  <w:tcW w:type="dxa" w:w="9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台式机</w:t>
                  </w:r>
                </w:p>
              </w:tc>
              <w:tc>
                <w:tcPr>
                  <w:tcW w:type="dxa" w:w="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长城</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世恒</w:t>
                  </w:r>
                  <w:r>
                    <w:rPr>
                      <w:rFonts w:ascii="仿宋_GB2312" w:hAnsi="仿宋_GB2312" w:cs="仿宋_GB2312" w:eastAsia="仿宋_GB2312"/>
                      <w:sz w:val="19"/>
                    </w:rPr>
                    <w:t>TD120A2</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w:t>
                  </w:r>
                </w:p>
              </w:tc>
              <w:tc>
                <w:tcPr>
                  <w:tcW w:type="dxa" w:w="9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路由器</w:t>
                  </w:r>
                </w:p>
              </w:tc>
              <w:tc>
                <w:tcPr>
                  <w:tcW w:type="dxa" w:w="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华为</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AR2220E-S</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bl>
          <w:p>
            <w:pPr>
              <w:pStyle w:val="null3"/>
            </w:pPr>
            <w:r>
              <w:rPr>
                <w:rFonts w:ascii="仿宋_GB2312" w:hAnsi="仿宋_GB2312" w:cs="仿宋_GB2312" w:eastAsia="仿宋_GB2312"/>
                <w:b/>
              </w:rPr>
              <w:t>3. 服务要求</w:t>
            </w:r>
          </w:p>
          <w:p>
            <w:pPr>
              <w:pStyle w:val="null3"/>
            </w:pPr>
            <w:r>
              <w:rPr>
                <w:rFonts w:ascii="仿宋_GB2312" w:hAnsi="仿宋_GB2312" w:cs="仿宋_GB2312" w:eastAsia="仿宋_GB2312"/>
              </w:rPr>
              <w:t>（</w:t>
            </w:r>
            <w:r>
              <w:rPr>
                <w:rFonts w:ascii="仿宋_GB2312" w:hAnsi="仿宋_GB2312" w:cs="仿宋_GB2312" w:eastAsia="仿宋_GB2312"/>
              </w:rPr>
              <w:t>1）人员配置要求</w:t>
            </w:r>
          </w:p>
          <w:p>
            <w:pPr>
              <w:pStyle w:val="null3"/>
              <w:ind w:firstLine="400"/>
            </w:pPr>
            <w:r>
              <w:rPr>
                <w:rFonts w:ascii="仿宋_GB2312" w:hAnsi="仿宋_GB2312" w:cs="仿宋_GB2312" w:eastAsia="仿宋_GB2312"/>
              </w:rPr>
              <w:t>供应商须组建固定的项目服务团队，指定</w:t>
            </w:r>
            <w:r>
              <w:rPr>
                <w:rFonts w:ascii="仿宋_GB2312" w:hAnsi="仿宋_GB2312" w:cs="仿宋_GB2312" w:eastAsia="仿宋_GB2312"/>
              </w:rPr>
              <w:t>1名项目经理统筹各项工作。驻场技术工程师人员需政治可靠、无违法违纪记录，有5年以上工作经验，具备网络工程师、信息安全工程师等相关资质，上岗前须提交身份信息、资质证书证明进行审核，通过后须签订保密协议与安全责任书，须遵守考勤管理与工作纪律，服从工作调度。驻场人员需保持相对稳定，服务期内人员更换需提前 1个月书面告知，替换人员资质不低于原人员，经同意后方可更换。</w:t>
            </w:r>
          </w:p>
          <w:p>
            <w:pPr>
              <w:pStyle w:val="null3"/>
            </w:pPr>
            <w:r>
              <w:rPr>
                <w:rFonts w:ascii="仿宋_GB2312" w:hAnsi="仿宋_GB2312" w:cs="仿宋_GB2312" w:eastAsia="仿宋_GB2312"/>
              </w:rPr>
              <w:t>（</w:t>
            </w:r>
            <w:r>
              <w:rPr>
                <w:rFonts w:ascii="仿宋_GB2312" w:hAnsi="仿宋_GB2312" w:cs="仿宋_GB2312" w:eastAsia="仿宋_GB2312"/>
              </w:rPr>
              <w:t>2）维护管理要求</w:t>
            </w:r>
          </w:p>
          <w:p>
            <w:pPr>
              <w:pStyle w:val="null3"/>
              <w:ind w:firstLine="400"/>
            </w:pPr>
            <w:r>
              <w:rPr>
                <w:rFonts w:ascii="仿宋_GB2312" w:hAnsi="仿宋_GB2312" w:cs="仿宋_GB2312" w:eastAsia="仿宋_GB2312"/>
              </w:rPr>
              <w:t>建立规范的运维管理制度，涵盖巡检管理、故障管理、变更管理、应急管理、台账管理等流程，所有操作均须留痕可追溯。严格执行变更审批制度，涉及核心设备配置、网络架构调整、安全策略变更等操作，须提前提交方案并经同意后方可实施。配合完成网络安全等级保护测评、主管部门监督检查等工作，提供所需的运维资料与技术支撑。需要对设备进行更换或维修的，经确认可以先行紧急采购，确保出现故障的硬件设备恢复正常运行。</w:t>
            </w:r>
          </w:p>
          <w:p>
            <w:pPr>
              <w:pStyle w:val="null3"/>
            </w:pPr>
            <w:r>
              <w:rPr>
                <w:rFonts w:ascii="仿宋_GB2312" w:hAnsi="仿宋_GB2312" w:cs="仿宋_GB2312" w:eastAsia="仿宋_GB2312"/>
              </w:rPr>
              <w:t>（</w:t>
            </w:r>
            <w:r>
              <w:rPr>
                <w:rFonts w:ascii="仿宋_GB2312" w:hAnsi="仿宋_GB2312" w:cs="仿宋_GB2312" w:eastAsia="仿宋_GB2312"/>
              </w:rPr>
              <w:t>3）服务响应要求</w:t>
            </w:r>
          </w:p>
          <w:p>
            <w:pPr>
              <w:pStyle w:val="null3"/>
              <w:ind w:firstLine="400"/>
            </w:pPr>
            <w:r>
              <w:rPr>
                <w:rFonts w:ascii="仿宋_GB2312" w:hAnsi="仿宋_GB2312" w:cs="仿宋_GB2312" w:eastAsia="仿宋_GB2312"/>
              </w:rPr>
              <w:t>当发生系统故障时，工作时间由驻场人员进行处理，驻场人员在</w:t>
            </w:r>
            <w:r>
              <w:rPr>
                <w:rFonts w:ascii="仿宋_GB2312" w:hAnsi="仿宋_GB2312" w:cs="仿宋_GB2312" w:eastAsia="仿宋_GB2312"/>
              </w:rPr>
              <w:t>30分钟内对故障做出明确诊断和处置。若未能解决故障，需另派技术人员支持，应在故障发生2小时内到达现场，4小时内解决故障。无法快速修复的，需提供临时替代方案保障业务开展。</w:t>
            </w:r>
          </w:p>
          <w:p>
            <w:pPr>
              <w:pStyle w:val="null3"/>
            </w:pPr>
            <w:r>
              <w:rPr>
                <w:rFonts w:ascii="仿宋_GB2312" w:hAnsi="仿宋_GB2312" w:cs="仿宋_GB2312" w:eastAsia="仿宋_GB2312"/>
              </w:rPr>
              <w:t>（</w:t>
            </w:r>
            <w:r>
              <w:rPr>
                <w:rFonts w:ascii="仿宋_GB2312" w:hAnsi="仿宋_GB2312" w:cs="仿宋_GB2312" w:eastAsia="仿宋_GB2312"/>
              </w:rPr>
              <w:t>4）合规性要求</w:t>
            </w:r>
          </w:p>
          <w:p>
            <w:pPr>
              <w:pStyle w:val="null3"/>
              <w:ind w:firstLine="400"/>
            </w:pPr>
            <w:r>
              <w:rPr>
                <w:rFonts w:ascii="仿宋_GB2312" w:hAnsi="仿宋_GB2312" w:cs="仿宋_GB2312" w:eastAsia="仿宋_GB2312"/>
              </w:rPr>
              <w:t>服务全过程需符合《网络安全法》《数据安全法》《政务信息化项目建设管理办法》等国家法律法规，符合省级政务信息化运维、网络安全管理相关规范，满足网络安全等级保护第三级别要求。所有运维操作需遵守采购单位内部管理制度与安全规范，重要操作、配置变更必须提前提交方案，经采购单位审批同意后方可实施。服务为全包价，包含人员薪酬、设备维保、软件授权、工具耗材、交通、保险、税费等全部费用，合同期内采购单位不再支付额外费用。</w:t>
            </w:r>
          </w:p>
          <w:p>
            <w:pPr>
              <w:pStyle w:val="null3"/>
            </w:pPr>
            <w:r>
              <w:rPr>
                <w:rFonts w:ascii="仿宋_GB2312" w:hAnsi="仿宋_GB2312" w:cs="仿宋_GB2312" w:eastAsia="仿宋_GB2312"/>
                <w:b/>
              </w:rPr>
              <w:t>4. 服务成果</w:t>
            </w:r>
          </w:p>
          <w:p>
            <w:pPr>
              <w:pStyle w:val="null3"/>
              <w:ind w:firstLine="400"/>
            </w:pPr>
            <w:r>
              <w:rPr>
                <w:rFonts w:ascii="仿宋_GB2312" w:hAnsi="仿宋_GB2312" w:cs="仿宋_GB2312" w:eastAsia="仿宋_GB2312"/>
              </w:rPr>
              <w:t>须按要求提交以下服务成果，所有成果均须提供纸质版与电子版：</w:t>
            </w:r>
          </w:p>
          <w:p>
            <w:pPr>
              <w:pStyle w:val="null3"/>
            </w:pPr>
            <w:r>
              <w:rPr>
                <w:rFonts w:ascii="仿宋_GB2312" w:hAnsi="仿宋_GB2312" w:cs="仿宋_GB2312" w:eastAsia="仿宋_GB2312"/>
              </w:rPr>
              <w:t>（</w:t>
            </w:r>
            <w:r>
              <w:rPr>
                <w:rFonts w:ascii="仿宋_GB2312" w:hAnsi="仿宋_GB2312" w:cs="仿宋_GB2312" w:eastAsia="仿宋_GB2312"/>
              </w:rPr>
              <w:t>1）定期报告类</w:t>
            </w:r>
          </w:p>
          <w:p>
            <w:pPr>
              <w:pStyle w:val="null3"/>
              <w:ind w:firstLine="400"/>
            </w:pPr>
            <w:r>
              <w:rPr>
                <w:rFonts w:ascii="仿宋_GB2312" w:hAnsi="仿宋_GB2312" w:cs="仿宋_GB2312" w:eastAsia="仿宋_GB2312"/>
              </w:rPr>
              <w:t>《月度网络安全运维工作报告》，内容包括当月巡检情况、故障统计、安全事件处置、漏洞整改情况、下月工作计划；《季度网络安全风险评估报告》，内容包括当期风险识别结果、风险等级、整改建议、整改进度跟踪；《年度网络安全运维总结报告》，全面总结全年运维工作、指标完成情况、问题分析与下年度优化建议。</w:t>
            </w:r>
          </w:p>
          <w:p>
            <w:pPr>
              <w:pStyle w:val="null3"/>
            </w:pPr>
            <w:r>
              <w:rPr>
                <w:rFonts w:ascii="仿宋_GB2312" w:hAnsi="仿宋_GB2312" w:cs="仿宋_GB2312" w:eastAsia="仿宋_GB2312"/>
              </w:rPr>
              <w:t>（</w:t>
            </w:r>
            <w:r>
              <w:rPr>
                <w:rFonts w:ascii="仿宋_GB2312" w:hAnsi="仿宋_GB2312" w:cs="仿宋_GB2312" w:eastAsia="仿宋_GB2312"/>
              </w:rPr>
              <w:t>2）专项交付类</w:t>
            </w:r>
          </w:p>
          <w:p>
            <w:pPr>
              <w:pStyle w:val="null3"/>
              <w:ind w:firstLine="400"/>
            </w:pPr>
            <w:r>
              <w:rPr>
                <w:rFonts w:ascii="仿宋_GB2312" w:hAnsi="仿宋_GB2312" w:cs="仿宋_GB2312" w:eastAsia="仿宋_GB2312"/>
              </w:rPr>
              <w:t>《设备资产台账》《运维操作记录台账》《故障处理记录单》《变更申请与执行记录》，实时更新、随时可查；《漏洞扫描报告》按频次提交，附漏洞详情、风险等级、修复方案与验证结果；《网络安全事件应急响应报告》在安全事件处置完成后</w:t>
            </w:r>
            <w:r>
              <w:rPr>
                <w:rFonts w:ascii="仿宋_GB2312" w:hAnsi="仿宋_GB2312" w:cs="仿宋_GB2312" w:eastAsia="仿宋_GB2312"/>
              </w:rPr>
              <w:t>3个工作日内提交，包括事件概况、处置过程、原因分析、整改建议；《网络安全应急预案》：服务期首月内完成编制与修订。</w:t>
            </w:r>
          </w:p>
          <w:p>
            <w:pPr>
              <w:pStyle w:val="null3"/>
            </w:pPr>
            <w:r>
              <w:rPr>
                <w:rFonts w:ascii="仿宋_GB2312" w:hAnsi="仿宋_GB2312" w:cs="仿宋_GB2312" w:eastAsia="仿宋_GB2312"/>
              </w:rPr>
              <w:t>（</w:t>
            </w:r>
            <w:r>
              <w:rPr>
                <w:rFonts w:ascii="仿宋_GB2312" w:hAnsi="仿宋_GB2312" w:cs="仿宋_GB2312" w:eastAsia="仿宋_GB2312"/>
              </w:rPr>
              <w:t>3）培训交付类</w:t>
            </w:r>
          </w:p>
          <w:p>
            <w:pPr>
              <w:pStyle w:val="null3"/>
              <w:ind w:firstLine="400"/>
            </w:pPr>
            <w:r>
              <w:rPr>
                <w:rFonts w:ascii="仿宋_GB2312" w:hAnsi="仿宋_GB2312" w:cs="仿宋_GB2312" w:eastAsia="仿宋_GB2312"/>
              </w:rPr>
              <w:t>各场次培训课件、培训签到表、参训人员考核记录。</w:t>
            </w:r>
          </w:p>
          <w:p>
            <w:pPr>
              <w:pStyle w:val="null3"/>
            </w:pPr>
            <w:r>
              <w:rPr>
                <w:rFonts w:ascii="仿宋_GB2312" w:hAnsi="仿宋_GB2312" w:cs="仿宋_GB2312" w:eastAsia="仿宋_GB2312"/>
                <w:b/>
              </w:rPr>
              <w:t>5. 服务周期</w:t>
            </w:r>
          </w:p>
          <w:p>
            <w:pPr>
              <w:pStyle w:val="null3"/>
            </w:pPr>
            <w:r>
              <w:rPr>
                <w:rFonts w:ascii="仿宋_GB2312" w:hAnsi="仿宋_GB2312" w:cs="仿宋_GB2312" w:eastAsia="仿宋_GB2312"/>
              </w:rPr>
              <w:t>基础设施运维服务的服务期限为</w:t>
            </w:r>
            <w:r>
              <w:rPr>
                <w:rFonts w:ascii="仿宋_GB2312" w:hAnsi="仿宋_GB2312" w:cs="仿宋_GB2312" w:eastAsia="仿宋_GB2312"/>
              </w:rPr>
              <w:t>1年。</w:t>
            </w:r>
          </w:p>
          <w:p>
            <w:pPr>
              <w:pStyle w:val="null3"/>
              <w:ind w:firstLine="402"/>
            </w:pPr>
            <w:r>
              <w:rPr>
                <w:rFonts w:ascii="仿宋_GB2312" w:hAnsi="仿宋_GB2312" w:cs="仿宋_GB2312" w:eastAsia="仿宋_GB2312"/>
                <w:b/>
              </w:rPr>
              <w:t>（二）基础设备延保服务</w:t>
            </w:r>
          </w:p>
          <w:p>
            <w:pPr>
              <w:pStyle w:val="null3"/>
              <w:ind w:firstLine="400"/>
            </w:pPr>
            <w:r>
              <w:rPr>
                <w:rFonts w:ascii="仿宋_GB2312" w:hAnsi="仿宋_GB2312" w:cs="仿宋_GB2312" w:eastAsia="仿宋_GB2312"/>
              </w:rPr>
              <w:t>为部分已过保或面临过保的设备购买</w:t>
            </w:r>
            <w:r>
              <w:rPr>
                <w:rFonts w:ascii="仿宋_GB2312" w:hAnsi="仿宋_GB2312" w:cs="仿宋_GB2312" w:eastAsia="仿宋_GB2312"/>
              </w:rPr>
              <w:t>1年期的原厂延保服务，确保在质保期内设备的固件、规则特征库、安全补丁等方面能够得到厂商持续升级和更新，如果出现任何故障，可以获得原厂提供的技术支持或免费维修服务，减少系统停机时间。具体清单如下：</w:t>
            </w:r>
          </w:p>
          <w:tbl>
            <w:tblPr>
              <w:tblBorders>
                <w:top w:val="none" w:color="000000" w:sz="4"/>
                <w:left w:val="none" w:color="000000" w:sz="4"/>
                <w:bottom w:val="none" w:color="000000" w:sz="4"/>
                <w:right w:val="none" w:color="000000" w:sz="4"/>
                <w:insideH w:val="none"/>
                <w:insideV w:val="none"/>
              </w:tblBorders>
            </w:tblPr>
            <w:tblGrid>
              <w:gridCol w:w="1022"/>
              <w:gridCol w:w="436"/>
              <w:gridCol w:w="854"/>
              <w:gridCol w:w="394"/>
              <w:gridCol w:w="466"/>
            </w:tblGrid>
            <w:tr>
              <w:tc>
                <w:tcPr>
                  <w:tcW w:type="dxa" w:w="1022"/>
                  <w:tcBorders>
                    <w:top w:val="single" w:color="000000" w:sz="4"/>
                    <w:left w:val="single" w:color="000000" w:sz="4"/>
                    <w:bottom w:val="single" w:color="000000" w:sz="4"/>
                    <w:right w:val="single" w:color="000000" w:sz="4"/>
                  </w:tcBorders>
                  <w:shd w:fill="F1F1F1"/>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名称</w:t>
                  </w:r>
                </w:p>
              </w:tc>
              <w:tc>
                <w:tcPr>
                  <w:tcW w:type="dxa" w:w="436"/>
                  <w:tcBorders>
                    <w:top w:val="single" w:color="000000" w:sz="4"/>
                    <w:left w:val="single" w:color="000000" w:sz="4"/>
                    <w:bottom w:val="single" w:color="000000" w:sz="4"/>
                    <w:right w:val="single" w:color="000000" w:sz="4"/>
                  </w:tcBorders>
                  <w:shd w:fill="F1F1F1"/>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品牌</w:t>
                  </w:r>
                </w:p>
              </w:tc>
              <w:tc>
                <w:tcPr>
                  <w:tcW w:type="dxa" w:w="854"/>
                  <w:tcBorders>
                    <w:top w:val="single" w:color="000000" w:sz="4"/>
                    <w:left w:val="single" w:color="000000" w:sz="4"/>
                    <w:bottom w:val="single" w:color="000000" w:sz="4"/>
                    <w:right w:val="single" w:color="000000" w:sz="4"/>
                  </w:tcBorders>
                  <w:shd w:fill="F1F1F1"/>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型号</w:t>
                  </w:r>
                </w:p>
              </w:tc>
              <w:tc>
                <w:tcPr>
                  <w:tcW w:type="dxa" w:w="394"/>
                  <w:tcBorders>
                    <w:top w:val="single" w:color="000000" w:sz="4"/>
                    <w:left w:val="single" w:color="000000" w:sz="4"/>
                    <w:bottom w:val="single" w:color="000000" w:sz="4"/>
                    <w:right w:val="single" w:color="000000" w:sz="4"/>
                  </w:tcBorders>
                  <w:shd w:fill="F1F1F1"/>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数量</w:t>
                  </w:r>
                </w:p>
                <w:p>
                  <w:pPr>
                    <w:pStyle w:val="null3"/>
                    <w:jc w:val="center"/>
                  </w:pPr>
                  <w:r>
                    <w:rPr>
                      <w:rFonts w:ascii="仿宋_GB2312" w:hAnsi="仿宋_GB2312" w:cs="仿宋_GB2312" w:eastAsia="仿宋_GB2312"/>
                      <w:sz w:val="19"/>
                    </w:rPr>
                    <w:t>（台）</w:t>
                  </w:r>
                </w:p>
              </w:tc>
              <w:tc>
                <w:tcPr>
                  <w:tcW w:type="dxa" w:w="466"/>
                  <w:tcBorders>
                    <w:top w:val="single" w:color="000000" w:sz="4"/>
                    <w:left w:val="single" w:color="000000" w:sz="4"/>
                    <w:bottom w:val="single" w:color="000000" w:sz="4"/>
                    <w:right w:val="single" w:color="000000" w:sz="4"/>
                  </w:tcBorders>
                  <w:shd w:fill="F1F1F1"/>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延保</w:t>
                  </w:r>
                </w:p>
                <w:p>
                  <w:pPr>
                    <w:pStyle w:val="null3"/>
                    <w:jc w:val="center"/>
                  </w:pPr>
                  <w:r>
                    <w:rPr>
                      <w:rFonts w:ascii="仿宋_GB2312" w:hAnsi="仿宋_GB2312" w:cs="仿宋_GB2312" w:eastAsia="仿宋_GB2312"/>
                      <w:sz w:val="19"/>
                    </w:rPr>
                    <w:t>期限</w:t>
                  </w:r>
                </w:p>
              </w:tc>
            </w:tr>
            <w:tr>
              <w:tc>
                <w:tcPr>
                  <w:tcW w:type="dxa" w:w="1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防火墙</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深信服</w:t>
                  </w:r>
                </w:p>
              </w:tc>
              <w:tc>
                <w:tcPr>
                  <w:tcW w:type="dxa" w:w="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AF-1000-FA40</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1年</w:t>
                  </w:r>
                </w:p>
              </w:tc>
            </w:tr>
            <w:tr>
              <w:tc>
                <w:tcPr>
                  <w:tcW w:type="dxa" w:w="1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入侵检测</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深信服</w:t>
                  </w:r>
                </w:p>
              </w:tc>
              <w:tc>
                <w:tcPr>
                  <w:tcW w:type="dxa" w:w="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NIPS-1000-FA40</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1年</w:t>
                  </w:r>
                </w:p>
              </w:tc>
            </w:tr>
            <w:tr>
              <w:tc>
                <w:tcPr>
                  <w:tcW w:type="dxa" w:w="1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杀毒软件平台</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深信服</w:t>
                  </w:r>
                </w:p>
              </w:tc>
              <w:tc>
                <w:tcPr>
                  <w:tcW w:type="dxa" w:w="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EDR-1000-B600</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1年</w:t>
                  </w:r>
                </w:p>
              </w:tc>
            </w:tr>
            <w:tr>
              <w:tc>
                <w:tcPr>
                  <w:tcW w:type="dxa" w:w="1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数据备份一体机</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信核</w:t>
                  </w:r>
                </w:p>
              </w:tc>
              <w:tc>
                <w:tcPr>
                  <w:tcW w:type="dxa" w:w="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Nextor 2016</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1年</w:t>
                  </w:r>
                </w:p>
              </w:tc>
            </w:tr>
            <w:tr>
              <w:tc>
                <w:tcPr>
                  <w:tcW w:type="dxa" w:w="1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漏洞扫描</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深信服</w:t>
                  </w:r>
                </w:p>
              </w:tc>
              <w:tc>
                <w:tcPr>
                  <w:tcW w:type="dxa" w:w="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YJ-1000-VX</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1年</w:t>
                  </w:r>
                </w:p>
              </w:tc>
            </w:tr>
          </w:tbl>
          <w:p>
            <w:pPr>
              <w:pStyle w:val="null3"/>
              <w:ind w:firstLine="402"/>
            </w:pPr>
            <w:r>
              <w:rPr>
                <w:rFonts w:ascii="仿宋_GB2312" w:hAnsi="仿宋_GB2312" w:cs="仿宋_GB2312" w:eastAsia="仿宋_GB2312"/>
                <w:b/>
              </w:rPr>
              <w:t>（三）基础软件授权服务</w:t>
            </w:r>
          </w:p>
          <w:p>
            <w:pPr>
              <w:pStyle w:val="null3"/>
              <w:ind w:firstLine="400"/>
            </w:pPr>
            <w:r>
              <w:rPr>
                <w:rFonts w:ascii="仿宋_GB2312" w:hAnsi="仿宋_GB2312" w:cs="仿宋_GB2312" w:eastAsia="仿宋_GB2312"/>
              </w:rPr>
              <w:t>为正在使用当中的办公软件、杀毒软件购买</w:t>
            </w:r>
            <w:r>
              <w:rPr>
                <w:rFonts w:ascii="仿宋_GB2312" w:hAnsi="仿宋_GB2312" w:cs="仿宋_GB2312" w:eastAsia="仿宋_GB2312"/>
              </w:rPr>
              <w:t>1年期正版授权许可，确保软件来源合法、安全可控，避免因使用过期或无效授权软件带来的安全漏洞和法律风险。具体清单如下：</w:t>
            </w:r>
          </w:p>
          <w:tbl>
            <w:tblPr>
              <w:tblBorders>
                <w:top w:val="none" w:color="000000" w:sz="4"/>
                <w:left w:val="none" w:color="000000" w:sz="4"/>
                <w:bottom w:val="none" w:color="000000" w:sz="4"/>
                <w:right w:val="none" w:color="000000" w:sz="4"/>
                <w:insideH w:val="none"/>
                <w:insideV w:val="none"/>
              </w:tblBorders>
            </w:tblPr>
            <w:tblGrid>
              <w:gridCol w:w="328"/>
              <w:gridCol w:w="769"/>
              <w:gridCol w:w="1234"/>
              <w:gridCol w:w="363"/>
              <w:gridCol w:w="477"/>
            </w:tblGrid>
            <w:tr>
              <w:tc>
                <w:tcPr>
                  <w:tcW w:type="dxa" w:w="328"/>
                  <w:tcBorders>
                    <w:top w:val="singl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769"/>
                  <w:tcBorders>
                    <w:top w:val="singl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类型</w:t>
                  </w:r>
                </w:p>
              </w:tc>
              <w:tc>
                <w:tcPr>
                  <w:tcW w:type="dxa" w:w="1234"/>
                  <w:tcBorders>
                    <w:top w:val="singl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软件名称</w:t>
                  </w:r>
                </w:p>
              </w:tc>
              <w:tc>
                <w:tcPr>
                  <w:tcW w:type="dxa" w:w="363"/>
                  <w:tcBorders>
                    <w:top w:val="singl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授权</w:t>
                  </w:r>
                </w:p>
                <w:p>
                  <w:pPr>
                    <w:pStyle w:val="null3"/>
                    <w:jc w:val="center"/>
                  </w:pPr>
                  <w:r>
                    <w:rPr>
                      <w:rFonts w:ascii="仿宋_GB2312" w:hAnsi="仿宋_GB2312" w:cs="仿宋_GB2312" w:eastAsia="仿宋_GB2312"/>
                      <w:sz w:val="19"/>
                    </w:rPr>
                    <w:t>期限</w:t>
                  </w:r>
                </w:p>
              </w:tc>
              <w:tc>
                <w:tcPr>
                  <w:tcW w:type="dxa" w:w="477"/>
                  <w:tcBorders>
                    <w:top w:val="singl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数量</w:t>
                  </w:r>
                </w:p>
                <w:p>
                  <w:pPr>
                    <w:pStyle w:val="null3"/>
                    <w:jc w:val="center"/>
                  </w:pPr>
                  <w:r>
                    <w:rPr>
                      <w:rFonts w:ascii="仿宋_GB2312" w:hAnsi="仿宋_GB2312" w:cs="仿宋_GB2312" w:eastAsia="仿宋_GB2312"/>
                      <w:sz w:val="19"/>
                    </w:rPr>
                    <w:t>（套）</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办公软件</w:t>
                  </w:r>
                </w:p>
              </w:tc>
              <w:tc>
                <w:tcPr>
                  <w:tcW w:type="dxa" w:w="1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WPS 365 协作办公政府版旗舰平台</w:t>
                  </w:r>
                </w:p>
              </w:tc>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1年</w:t>
                  </w:r>
                </w:p>
              </w:tc>
              <w:tc>
                <w:tcPr>
                  <w:tcW w:type="dxa" w:w="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防病毒软件</w:t>
                  </w:r>
                </w:p>
              </w:tc>
              <w:tc>
                <w:tcPr>
                  <w:tcW w:type="dxa" w:w="1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深信服统一端点安全管理系统软件</w:t>
                  </w:r>
                  <w:r>
                    <w:rPr>
                      <w:rFonts w:ascii="仿宋_GB2312" w:hAnsi="仿宋_GB2312" w:cs="仿宋_GB2312" w:eastAsia="仿宋_GB2312"/>
                      <w:sz w:val="19"/>
                    </w:rPr>
                    <w:t>V6.0</w:t>
                  </w:r>
                </w:p>
              </w:tc>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1年</w:t>
                  </w:r>
                </w:p>
              </w:tc>
              <w:tc>
                <w:tcPr>
                  <w:tcW w:type="dxa" w:w="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26</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满足采购项目需求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满足采购项目需求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本项目总经费为成交供应商完成本项目用户需求包干价，成交供应商不得以任何理由向采购人要求追加经费。</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2026年12月10日前完成项目内容，并且通过采购人验收。 驻场服务从2026年10月开始至2027年10月结束。</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（1）验收方法：项目交付后，由采购人根据合同、采购文件、响应文件组织验收，验收时双方皆应派员参加，采购人有权邀请第三方机构或质检部门共同验收； （2）验收标准：按照合同约定，符合国家相关规定及相关技术要求，同时完全满足采购人提出的工作需要； （3）其他要求：验收不合格时，采购人和供应商应协商一致，供应商应根据相关验收证明材料及时补足或整改，费用由供应商自行承担。</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进度款，合同生效后，采购人在收到供应商提供的税务部门认可的有效发票之日起 ，达到付款条件起10个工作日内，支付合同总金额的60.0%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进度款，项目通过验收并经采购人确认后，采购人在收到供应商提供的税务部门认可的有效发票之日起，达到付款条件起10个工作日内，支付合同总金额的40.0%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经审计的2024年度或2025年度完整有效的财务报告复印件（财务报告是指经会计师事务所审计的上述指定年度整个会计年度财务报表,复印件至少须包括报告正文、资产负债表、现金流量表、利润表、附注和会计师事务所营业执照，报告正文应当有会计师事务所公章和2名注册会计师的签字及盖章。且审计报告应当经过注册会计师行业统一监管平台备案赋码）或在开标日期前六个月内其开户银行出具的资信证明或信用担保机构出具的投标担保函，以上三种形式的资料提供任何一种即可（分支机构如无法提供财务审计报告，须出具包含分支机构的财务数据的总公司财务审计报告）；事业单位零余额账户提供相应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主体资格证明文件</w:t>
            </w:r>
          </w:p>
        </w:tc>
        <w:tc>
          <w:tcPr>
            <w:tcW w:type="dxa" w:w="3322"/>
          </w:tcPr>
          <w:p>
            <w:pPr>
              <w:pStyle w:val="null3"/>
            </w:pPr>
            <w:r>
              <w:rPr>
                <w:rFonts w:ascii="仿宋_GB2312" w:hAnsi="仿宋_GB2312" w:cs="仿宋_GB2312" w:eastAsia="仿宋_GB2312"/>
              </w:rPr>
              <w:t>具有独立承担民事责任能力的法人或其他组织，提供有效存续的营业执照或事业单位法人证书或非企业专业服务机构执业许可证或民办非企业单位登记证书或自然人的身份证明；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2024年度或2025年度完整有效的财务报告复印件（财务报告是指经会计师事务所审计的上述指定年度整个会计年度财务报表,复印件至少须包括报告正文、资产负债表、现金流量表、利润表、附注和会计师事务所营业执照，报告正文应当有会计师事务所公章和2名注册会计师的签字及盖章。且审计报告应当经过注册会计师行业统一监管平台备案赋码）或在开标日期前六个月内其开户银行出具的资信证明或信用担保机构出具的投标担保函，以上三种形式的资料提供任何一种即可（分支机构如无法提供财务审计报告，须出具包含分支机构的财务数据的总公司财务审计报告）；事业单位零余额账户提供相应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提供已缴纳的2025年7月至今任意一个月的纳税证明或完税证明，纳税证明或完税证明上应有代收机构或税务机关的公章或业务专用章。依法免税的供应商应提供相关文件证明；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已缴纳的2025年7月至今任意一个月的社会保障资金缴纳单据或社保机构开具的社会保险参保缴费情况证明，单据或证明上应有社保机构或代收机构的公章或业务专用章。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履约能力</w:t>
            </w:r>
          </w:p>
        </w:tc>
        <w:tc>
          <w:tcPr>
            <w:tcW w:type="dxa" w:w="3322"/>
          </w:tcPr>
          <w:p>
            <w:pPr>
              <w:pStyle w:val="null3"/>
            </w:pPr>
            <w:r>
              <w:rPr>
                <w:rFonts w:ascii="仿宋_GB2312" w:hAnsi="仿宋_GB2312" w:cs="仿宋_GB2312" w:eastAsia="仿宋_GB2312"/>
              </w:rPr>
              <w:t>供应商须提供具有履行合同所必需的设备和专业技术能力的承诺；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出具参加本次政府采购活动前三年内在经营活动中没有重大违法记录的书面声明；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法定代表人参加磋商的提供法定代表人身份证明及身份证，委托代理人参加磋商的提供授权委托书及委托代理人身份证；自然人只需提供身份证；备注：分支机构由分支机构负责人授权即可；</w:t>
            </w:r>
          </w:p>
        </w:tc>
        <w:tc>
          <w:tcPr>
            <w:tcW w:type="dxa" w:w="1661"/>
          </w:tcPr>
          <w:p>
            <w:pPr>
              <w:pStyle w:val="null3"/>
            </w:pPr>
            <w:r>
              <w:rPr>
                <w:rFonts w:ascii="仿宋_GB2312" w:hAnsi="仿宋_GB2312" w:cs="仿宋_GB2312" w:eastAsia="仿宋_GB2312"/>
              </w:rPr>
              <w:t>供应商应提交的相关资格证明材料.docx 法定代表人身份证明法定代表人授权委托书.docx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本项目不接受联合体磋商（提供书面声明材料）。</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磋商响应文件封面、磋商响应函两处的项目名称</w:t>
            </w:r>
          </w:p>
        </w:tc>
        <w:tc>
          <w:tcPr>
            <w:tcW w:type="dxa" w:w="3322"/>
          </w:tcPr>
          <w:p>
            <w:pPr>
              <w:pStyle w:val="null3"/>
            </w:pPr>
            <w:r>
              <w:rPr>
                <w:rFonts w:ascii="仿宋_GB2312" w:hAnsi="仿宋_GB2312" w:cs="仿宋_GB2312" w:eastAsia="仿宋_GB2312"/>
              </w:rPr>
              <w:t>两处均无遗漏，且与磋商项目名称完全一致</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磋商响应文件的签署盖章按磋商文件要求签字、盖章均按磋商文件要求签字、盖章</w:t>
            </w:r>
          </w:p>
        </w:tc>
        <w:tc>
          <w:tcPr>
            <w:tcW w:type="dxa" w:w="1661"/>
          </w:tcPr>
          <w:p>
            <w:pPr>
              <w:pStyle w:val="null3"/>
            </w:pPr>
            <w:r>
              <w:rPr>
                <w:rFonts w:ascii="仿宋_GB2312" w:hAnsi="仿宋_GB2312" w:cs="仿宋_GB2312" w:eastAsia="仿宋_GB2312"/>
              </w:rPr>
              <w:t>法定代表人身份证明法定代表人授权委托书.docx 中小企业声明函 商务应答表 服务内容及服务要求应答表 报价表 供应商承诺书.docx 响应文件封面 供应商应提交的相关资格证明材料.docx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磋商响应文件的计量单位、语言、报价货币、磋商有效期</w:t>
            </w:r>
          </w:p>
        </w:tc>
        <w:tc>
          <w:tcPr>
            <w:tcW w:type="dxa" w:w="3322"/>
          </w:tcPr>
          <w:p>
            <w:pPr>
              <w:pStyle w:val="null3"/>
            </w:pPr>
            <w:r>
              <w:rPr>
                <w:rFonts w:ascii="仿宋_GB2312" w:hAnsi="仿宋_GB2312" w:cs="仿宋_GB2312" w:eastAsia="仿宋_GB2312"/>
              </w:rPr>
              <w:t>计量单位、语言、报价货币、磋商有效期均符合磋商文件的要求</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磋商响应文件组成</w:t>
            </w:r>
          </w:p>
        </w:tc>
        <w:tc>
          <w:tcPr>
            <w:tcW w:type="dxa" w:w="3322"/>
          </w:tcPr>
          <w:p>
            <w:pPr>
              <w:pStyle w:val="null3"/>
            </w:pPr>
            <w:r>
              <w:rPr>
                <w:rFonts w:ascii="仿宋_GB2312" w:hAnsi="仿宋_GB2312" w:cs="仿宋_GB2312" w:eastAsia="仿宋_GB2312"/>
              </w:rPr>
              <w:t>按照磋商文件格式内容编写，无缺漏项</w:t>
            </w:r>
          </w:p>
        </w:tc>
        <w:tc>
          <w:tcPr>
            <w:tcW w:type="dxa" w:w="1661"/>
          </w:tcPr>
          <w:p>
            <w:pPr>
              <w:pStyle w:val="null3"/>
            </w:pPr>
            <w:r>
              <w:rPr>
                <w:rFonts w:ascii="仿宋_GB2312" w:hAnsi="仿宋_GB2312" w:cs="仿宋_GB2312" w:eastAsia="仿宋_GB2312"/>
              </w:rPr>
              <w:t>法定代表人身份证明法定代表人授权委托书.docx 中小企业声明函 商务应答表 服务内容及服务要求应答表 报价表 供应商承诺书.docx 响应文件封面 供应商应提交的相关资格证明材料.docx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磋商报价是否超过最高限价</w:t>
            </w:r>
          </w:p>
        </w:tc>
        <w:tc>
          <w:tcPr>
            <w:tcW w:type="dxa" w:w="3322"/>
          </w:tcPr>
          <w:p>
            <w:pPr>
              <w:pStyle w:val="null3"/>
            </w:pPr>
            <w:r>
              <w:rPr>
                <w:rFonts w:ascii="仿宋_GB2312" w:hAnsi="仿宋_GB2312" w:cs="仿宋_GB2312" w:eastAsia="仿宋_GB2312"/>
              </w:rPr>
              <w:t>磋商报价不得超过最高限价</w:t>
            </w:r>
          </w:p>
        </w:tc>
        <w:tc>
          <w:tcPr>
            <w:tcW w:type="dxa" w:w="1661"/>
          </w:tcPr>
          <w:p>
            <w:pPr>
              <w:pStyle w:val="null3"/>
            </w:pPr>
            <w:r>
              <w:rPr>
                <w:rFonts w:ascii="仿宋_GB2312" w:hAnsi="仿宋_GB2312" w:cs="仿宋_GB2312" w:eastAsia="仿宋_GB2312"/>
              </w:rPr>
              <w:t>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基础设施运维服务方案</w:t>
            </w:r>
          </w:p>
        </w:tc>
        <w:tc>
          <w:tcPr>
            <w:tcW w:type="dxa" w:w="2492"/>
          </w:tcPr>
          <w:p>
            <w:pPr>
              <w:pStyle w:val="null3"/>
            </w:pPr>
            <w:r>
              <w:rPr>
                <w:rFonts w:ascii="仿宋_GB2312" w:hAnsi="仿宋_GB2312" w:cs="仿宋_GB2312" w:eastAsia="仿宋_GB2312"/>
              </w:rPr>
              <w:t>一、评审内容: 供应商提供针对本项目的基础设施运维服务方案。方案内容包含:①驻场服务保障措施；②设备维护服务保障措施；③网络运维服务保障措施；④安全运维服务保障措施；⑤网络安全培训保障措施；⑥人员配置及资质；⑦维护管理保障措施；⑧服务合规性保障措施；⑨成果文件交付保障措施；⑩运维培训保障措施。 二、评审标准：1、完整性：方案（内容）须全面，对评审内容中的各项要求有详细描述；2、可实施性：切合本项目实际情况，提出步骤清晰、合理的方案（内容）；3、针对性：方案（内容）能够紧扣项目实际情况，内容科学合理。 三、赋分依据（满分30分）：每项评审内容满分3分，每项评审内容满足一条评审标准得1分，针对每条评审标准，如内容不完整或不符合实际要求或不满足实施要求或套用其他项目内容，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基础设备延保保障措施方案</w:t>
            </w:r>
          </w:p>
        </w:tc>
        <w:tc>
          <w:tcPr>
            <w:tcW w:type="dxa" w:w="2492"/>
          </w:tcPr>
          <w:p>
            <w:pPr>
              <w:pStyle w:val="null3"/>
            </w:pPr>
            <w:r>
              <w:rPr>
                <w:rFonts w:ascii="仿宋_GB2312" w:hAnsi="仿宋_GB2312" w:cs="仿宋_GB2312" w:eastAsia="仿宋_GB2312"/>
              </w:rPr>
              <w:t>一、评审内容: 供应商针对本项目的基础设备延保保障措施方案内容包含:①基础设备延保服务保障措施；②基础软件授权服务保障措施。 二、评审标准：1、完整性：方案（内容）须全面，对评审内容中的各项要求有详细描述；2、可实施性：切合本项目实际情况，提出步骤清晰、合理的方案（内容）；3、针对性：方案（内容）能够紧扣项目实际情况，内容科学合理。 三、赋分依据（满分5分）：每项评审内容满分2.5分，针对每条评审标准，如内容不完整或不符合实际要求或不满足实施要求或套用其他项目内容，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应急处理方案</w:t>
            </w:r>
          </w:p>
        </w:tc>
        <w:tc>
          <w:tcPr>
            <w:tcW w:type="dxa" w:w="2492"/>
          </w:tcPr>
          <w:p>
            <w:pPr>
              <w:pStyle w:val="null3"/>
            </w:pPr>
            <w:r>
              <w:rPr>
                <w:rFonts w:ascii="仿宋_GB2312" w:hAnsi="仿宋_GB2312" w:cs="仿宋_GB2312" w:eastAsia="仿宋_GB2312"/>
              </w:rPr>
              <w:t>一、评审内容: 供应商提供针对本项目的应急处理方案。方案内容包含:①数据或网络异常处理；②人员短缺应急处理。 二、评审标准：1、完整性：方案（内容）须全面，对评审内容中的各项要求有详细描述；2、可实施性：切合本项目实际情况，提出步骤清晰、合理的方案（内容）；3、针对性：方案（内容）能够紧扣项目实际情况，内容科学合理。 三、赋分依据（满分5分）：每项评审内容满分2.5分，针对每条评审标准，如内容不完整或不符合实际要求或不满足实施要求或套用其他项目内容，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驻场人员</w:t>
            </w:r>
          </w:p>
        </w:tc>
        <w:tc>
          <w:tcPr>
            <w:tcW w:type="dxa" w:w="2492"/>
          </w:tcPr>
          <w:p>
            <w:pPr>
              <w:pStyle w:val="null3"/>
            </w:pPr>
            <w:r>
              <w:rPr>
                <w:rFonts w:ascii="仿宋_GB2312" w:hAnsi="仿宋_GB2312" w:cs="仿宋_GB2312" w:eastAsia="仿宋_GB2312"/>
              </w:rPr>
              <w:t>供应商在提供2名专业技术人员常驻现场办公的基础上，每增加1名专业技术人员驻场办公的得3分，满分6分。 注：需提供相关证明材料（身份证；职称证书；工作经验佐证材料；2026年任意三个月社保证明或劳动合同）。</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供应商拟派项目经理具备本科及以上学历的得3分，专科学历得1分；拟派项目经理具备网络工程师或信息安全工程师的得3分，未提供不得分。本项满分6分。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网络安全专题培训</w:t>
            </w:r>
          </w:p>
        </w:tc>
        <w:tc>
          <w:tcPr>
            <w:tcW w:type="dxa" w:w="2492"/>
          </w:tcPr>
          <w:p>
            <w:pPr>
              <w:pStyle w:val="null3"/>
            </w:pPr>
            <w:r>
              <w:rPr>
                <w:rFonts w:ascii="仿宋_GB2312" w:hAnsi="仿宋_GB2312" w:cs="仿宋_GB2312" w:eastAsia="仿宋_GB2312"/>
              </w:rPr>
              <w:t>承诺提供2次网络安全专题培训，并提供培训方案和书面培训成果材料，得3分；邀请网络安全行业的权威专家进行现场授课，培训讲师优先选择陕西省委网信办、省内各地市网信部门网络专家库的入库专家、或高校相关专业教授等，提供官方入库公示文件、职称证书、任职证明等相关证明材料，得3分，不提供不得分。本项满分6分。 注:提供相关承诺书或相关证明材料。</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售后服务承诺</w:t>
            </w:r>
          </w:p>
        </w:tc>
        <w:tc>
          <w:tcPr>
            <w:tcW w:type="dxa" w:w="2492"/>
          </w:tcPr>
          <w:p>
            <w:pPr>
              <w:pStyle w:val="null3"/>
            </w:pPr>
            <w:r>
              <w:rPr>
                <w:rFonts w:ascii="仿宋_GB2312" w:hAnsi="仿宋_GB2312" w:cs="仿宋_GB2312" w:eastAsia="仿宋_GB2312"/>
              </w:rPr>
              <w:t>供应商在故障发生0-1小时内到达现场且能解决故障，并在事后出具故障分析书面报告得6分；1-1.5(含)小时到达现场且能解决故障，并在事后出具故障分析书面报告得4分；1.5(不含)-2小时到达现场且能解决故障，并在事后出具故障分析书面报告得2分；2(不含)-4小时到达现场且能解决故障，并在事后出具故障分析书面报告得1分。提供承诺函，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购买软件正版化服务</w:t>
            </w:r>
          </w:p>
        </w:tc>
        <w:tc>
          <w:tcPr>
            <w:tcW w:type="dxa" w:w="2492"/>
          </w:tcPr>
          <w:p>
            <w:pPr>
              <w:pStyle w:val="null3"/>
            </w:pPr>
            <w:r>
              <w:rPr>
                <w:rFonts w:ascii="仿宋_GB2312" w:hAnsi="仿宋_GB2312" w:cs="仿宋_GB2312" w:eastAsia="仿宋_GB2312"/>
              </w:rPr>
              <w:t>供应商提供“所有基础软件均为正版授权许可，软件来源合法，安全可控”承诺函的得3分；提供原厂出具的供应商在有效期内的授权证明材料得4分，不提供不得分。本项满分7分。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提供供应商自2023年7月1日起至今的类似业绩合同，以合同签订时间为准，每提供一份合同计1个有效业绩得2分，最高得14分。（须提供完整合同复印件并加盖供应商公章，否则不计分。）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（1）满足磋商文件实质性要求且最终报价最低的供应商的价格为磋商基准价，其价格分为满分15分。 （2）磋商报价得分=（磋商基准价/最终磋商报价）×15。 （3）磋商报价不完整的，不进入磋商基准价的计算，本项得0分。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详见附件：法定代表人身份证明法定代表人授权委托书.docx</w:t>
      </w:r>
    </w:p>
    <w:p>
      <w:pPr>
        <w:pStyle w:val="null3"/>
        <w:ind w:firstLine="960"/>
      </w:pPr>
      <w:r>
        <w:rPr>
          <w:rFonts w:ascii="仿宋_GB2312" w:hAnsi="仿宋_GB2312" w:cs="仿宋_GB2312" w:eastAsia="仿宋_GB2312"/>
        </w:rPr>
        <w:t>详见附件：供应商承诺书.docx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