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06D66">
      <w:pPr>
        <w:pStyle w:val="5"/>
        <w:spacing w:line="240" w:lineRule="auto"/>
        <w:ind w:firstLine="400" w:firstLineChars="200"/>
        <w:jc w:val="center"/>
        <w:rPr>
          <w:rFonts w:hint="eastAsia" w:ascii="仿宋" w:hAnsi="仿宋" w:eastAsia="仿宋" w:cs="仿宋"/>
          <w:b/>
          <w:bCs/>
          <w:color w:val="auto"/>
          <w:sz w:val="32"/>
          <w:szCs w:val="32"/>
          <w:highlight w:val="none"/>
          <w:lang w:eastAsia="zh-CN"/>
        </w:rPr>
      </w:pPr>
      <w:r>
        <w:rPr>
          <w:rFonts w:ascii="仿宋_GB2312" w:hAnsi="仿宋_GB2312" w:eastAsia="仿宋_GB2312" w:cs="仿宋_GB2312"/>
        </w:rPr>
        <w:t xml:space="preserve"> </w:t>
      </w:r>
      <w:r>
        <w:rPr>
          <w:rFonts w:hint="eastAsia" w:ascii="仿宋" w:hAnsi="仿宋" w:eastAsia="仿宋" w:cs="仿宋"/>
          <w:b/>
          <w:bCs/>
          <w:color w:val="auto"/>
          <w:sz w:val="32"/>
          <w:szCs w:val="32"/>
          <w:highlight w:val="none"/>
          <w:lang w:eastAsia="zh-CN"/>
        </w:rPr>
        <w:t>医疗卫生专业化服务项目（</w:t>
      </w:r>
      <w:r>
        <w:rPr>
          <w:rFonts w:hint="eastAsia" w:ascii="仿宋" w:hAnsi="仿宋" w:eastAsia="仿宋" w:cs="仿宋"/>
          <w:b/>
          <w:bCs/>
          <w:color w:val="auto"/>
          <w:sz w:val="32"/>
          <w:szCs w:val="32"/>
          <w:highlight w:val="none"/>
          <w:lang w:val="en-US" w:eastAsia="zh-CN"/>
        </w:rPr>
        <w:t>包1</w:t>
      </w:r>
      <w:r>
        <w:rPr>
          <w:rFonts w:hint="eastAsia" w:ascii="仿宋" w:hAnsi="仿宋" w:eastAsia="仿宋" w:cs="仿宋"/>
          <w:b/>
          <w:bCs/>
          <w:color w:val="auto"/>
          <w:sz w:val="32"/>
          <w:szCs w:val="32"/>
          <w:highlight w:val="none"/>
          <w:lang w:eastAsia="zh-CN"/>
        </w:rPr>
        <w:t>）</w:t>
      </w:r>
    </w:p>
    <w:p w14:paraId="4245E475">
      <w:pPr>
        <w:pStyle w:val="5"/>
        <w:spacing w:line="240" w:lineRule="auto"/>
        <w:ind w:firstLine="643" w:firstLineChars="200"/>
        <w:jc w:val="center"/>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拟签订合同主要条款</w:t>
      </w:r>
    </w:p>
    <w:p w14:paraId="4311068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一、服务条件</w:t>
      </w:r>
    </w:p>
    <w:p w14:paraId="6898909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（一）服务地点：采购人指定地点。</w:t>
      </w:r>
    </w:p>
    <w:p w14:paraId="4D50817F">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w:t>
      </w:r>
      <w:r>
        <w:rPr>
          <w:rFonts w:hint="eastAsia" w:ascii="仿宋" w:hAnsi="仿宋" w:eastAsia="仿宋" w:cs="仿宋"/>
          <w:color w:val="auto"/>
          <w:sz w:val="24"/>
          <w:szCs w:val="24"/>
          <w:highlight w:val="none"/>
          <w:lang w:val="en-US" w:eastAsia="zh-CN"/>
        </w:rPr>
        <w:t>期限</w:t>
      </w:r>
      <w:r>
        <w:rPr>
          <w:rFonts w:hint="eastAsia" w:ascii="仿宋" w:hAnsi="仿宋" w:eastAsia="仿宋" w:cs="仿宋"/>
          <w:color w:val="auto"/>
          <w:sz w:val="24"/>
          <w:szCs w:val="24"/>
          <w:highlight w:val="none"/>
        </w:rPr>
        <w:t>：</w:t>
      </w:r>
      <w:bookmarkStart w:id="0" w:name="_Hlk178170450"/>
      <w:r>
        <w:rPr>
          <w:rFonts w:hint="eastAsia" w:ascii="仿宋" w:hAnsi="仿宋" w:eastAsia="仿宋" w:cs="仿宋"/>
          <w:color w:val="auto"/>
          <w:sz w:val="24"/>
          <w:szCs w:val="24"/>
          <w:highlight w:val="none"/>
          <w:lang w:eastAsia="zh-CN"/>
        </w:rPr>
        <w:t>12个月，以双方签订合同时约定的起止时间为准</w:t>
      </w:r>
      <w:r>
        <w:rPr>
          <w:rFonts w:hint="eastAsia" w:ascii="仿宋" w:hAnsi="仿宋" w:eastAsia="仿宋" w:cs="仿宋"/>
          <w:color w:val="auto"/>
          <w:sz w:val="24"/>
          <w:szCs w:val="24"/>
          <w:highlight w:val="none"/>
        </w:rPr>
        <w:t>。</w:t>
      </w:r>
      <w:bookmarkEnd w:id="0"/>
    </w:p>
    <w:p w14:paraId="2439D39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w:t>
      </w:r>
      <w:r>
        <w:rPr>
          <w:rFonts w:hint="eastAsia" w:ascii="仿宋" w:hAnsi="仿宋" w:eastAsia="仿宋" w:cs="仿宋"/>
          <w:sz w:val="24"/>
          <w:szCs w:val="24"/>
          <w:highlight w:val="none"/>
        </w:rPr>
        <w:t>合同价款</w:t>
      </w:r>
    </w:p>
    <w:p w14:paraId="02A7A9A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合同价款为大写：人民币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元（¥：</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p>
    <w:p w14:paraId="09D19D2A">
      <w:pPr>
        <w:pStyle w:val="5"/>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w:t>
      </w:r>
    </w:p>
    <w:p w14:paraId="3B26D8FF">
      <w:pPr>
        <w:pStyle w:val="5"/>
        <w:spacing w:line="360" w:lineRule="auto"/>
        <w:ind w:firstLine="480" w:firstLineChars="200"/>
        <w:rPr>
          <w:rFonts w:hint="eastAsia" w:ascii="仿宋" w:hAnsi="仿宋" w:eastAsia="仿宋" w:cs="仿宋"/>
          <w:color w:val="auto"/>
          <w:sz w:val="24"/>
          <w:szCs w:val="24"/>
          <w:highlight w:val="none"/>
          <w:lang w:val="en-US" w:eastAsia="zh-CN"/>
        </w:rPr>
      </w:pPr>
    </w:p>
    <w:tbl>
      <w:tblPr>
        <w:tblStyle w:val="3"/>
        <w:tblW w:w="57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713"/>
        <w:gridCol w:w="1146"/>
        <w:gridCol w:w="1337"/>
        <w:gridCol w:w="1191"/>
        <w:gridCol w:w="1191"/>
        <w:gridCol w:w="1286"/>
        <w:gridCol w:w="1205"/>
      </w:tblGrid>
      <w:tr w14:paraId="41F2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7D1CE174">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68" w:type="pct"/>
            <w:noWrap w:val="0"/>
            <w:vAlign w:val="center"/>
          </w:tcPr>
          <w:p w14:paraId="30F6B6DE">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报价内容（岗位）</w:t>
            </w:r>
          </w:p>
        </w:tc>
        <w:tc>
          <w:tcPr>
            <w:tcW w:w="581" w:type="pct"/>
            <w:noWrap w:val="0"/>
            <w:vAlign w:val="center"/>
          </w:tcPr>
          <w:p w14:paraId="03276EA4">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数量（单位：人）</w:t>
            </w:r>
          </w:p>
        </w:tc>
        <w:tc>
          <w:tcPr>
            <w:tcW w:w="678" w:type="pct"/>
            <w:noWrap w:val="0"/>
            <w:vAlign w:val="center"/>
          </w:tcPr>
          <w:p w14:paraId="47644355">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月度报价（元/人）</w:t>
            </w:r>
          </w:p>
        </w:tc>
        <w:tc>
          <w:tcPr>
            <w:tcW w:w="604" w:type="pct"/>
            <w:noWrap w:val="0"/>
            <w:vAlign w:val="center"/>
          </w:tcPr>
          <w:p w14:paraId="4D6BCAF1">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04" w:type="pct"/>
            <w:noWrap w:val="0"/>
            <w:vAlign w:val="center"/>
          </w:tcPr>
          <w:p w14:paraId="4C9C2E44">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服务期限</w:t>
            </w:r>
          </w:p>
        </w:tc>
        <w:tc>
          <w:tcPr>
            <w:tcW w:w="652" w:type="pct"/>
            <w:noWrap w:val="0"/>
            <w:vAlign w:val="center"/>
          </w:tcPr>
          <w:p w14:paraId="10F13B83">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年度</w:t>
            </w:r>
            <w:r>
              <w:rPr>
                <w:rFonts w:hint="eastAsia" w:ascii="仿宋" w:hAnsi="仿宋" w:eastAsia="仿宋" w:cs="仿宋"/>
                <w:color w:val="auto"/>
                <w:sz w:val="24"/>
                <w:highlight w:val="none"/>
              </w:rPr>
              <w:t>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10" w:type="pct"/>
            <w:noWrap w:val="0"/>
            <w:vAlign w:val="center"/>
          </w:tcPr>
          <w:p w14:paraId="53BF22CC">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3FF8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73049CDF">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868" w:type="pct"/>
            <w:shd w:val="clear" w:color="auto" w:fill="auto"/>
            <w:noWrap w:val="0"/>
            <w:vAlign w:val="center"/>
          </w:tcPr>
          <w:p w14:paraId="6A07C488">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副主任医师</w:t>
            </w:r>
          </w:p>
        </w:tc>
        <w:tc>
          <w:tcPr>
            <w:tcW w:w="581" w:type="pct"/>
            <w:noWrap w:val="0"/>
            <w:vAlign w:val="top"/>
          </w:tcPr>
          <w:p w14:paraId="665703F6">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678" w:type="pct"/>
            <w:noWrap w:val="0"/>
            <w:vAlign w:val="center"/>
          </w:tcPr>
          <w:p w14:paraId="38E2EDCC">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15D34818">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restart"/>
            <w:noWrap w:val="0"/>
            <w:vAlign w:val="center"/>
          </w:tcPr>
          <w:p w14:paraId="4F073727">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12个月</w:t>
            </w:r>
          </w:p>
        </w:tc>
        <w:tc>
          <w:tcPr>
            <w:tcW w:w="652" w:type="pct"/>
            <w:noWrap w:val="0"/>
            <w:vAlign w:val="center"/>
          </w:tcPr>
          <w:p w14:paraId="6BD21C2E">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74852E93">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0E21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7A932C82">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868" w:type="pct"/>
            <w:shd w:val="clear" w:color="auto" w:fill="auto"/>
            <w:noWrap w:val="0"/>
            <w:vAlign w:val="top"/>
          </w:tcPr>
          <w:p w14:paraId="28D4EA3B">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主治医师</w:t>
            </w:r>
          </w:p>
        </w:tc>
        <w:tc>
          <w:tcPr>
            <w:tcW w:w="581" w:type="pct"/>
            <w:shd w:val="clear" w:color="auto" w:fill="auto"/>
            <w:noWrap w:val="0"/>
            <w:vAlign w:val="top"/>
          </w:tcPr>
          <w:p w14:paraId="3DCF75E6">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30</w:t>
            </w:r>
          </w:p>
        </w:tc>
        <w:tc>
          <w:tcPr>
            <w:tcW w:w="678" w:type="pct"/>
            <w:noWrap w:val="0"/>
            <w:vAlign w:val="center"/>
          </w:tcPr>
          <w:p w14:paraId="0861CF7E">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46000D4F">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0808CCED">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5FDDF1AE">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26CFD9F4">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25C6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6489443E">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868" w:type="pct"/>
            <w:shd w:val="clear" w:color="auto" w:fill="auto"/>
            <w:noWrap w:val="0"/>
            <w:vAlign w:val="top"/>
          </w:tcPr>
          <w:p w14:paraId="7857EF19">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住院医师</w:t>
            </w:r>
          </w:p>
        </w:tc>
        <w:tc>
          <w:tcPr>
            <w:tcW w:w="581" w:type="pct"/>
            <w:shd w:val="clear" w:color="auto" w:fill="auto"/>
            <w:noWrap w:val="0"/>
            <w:vAlign w:val="top"/>
          </w:tcPr>
          <w:p w14:paraId="56CC9DC9">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7</w:t>
            </w:r>
          </w:p>
        </w:tc>
        <w:tc>
          <w:tcPr>
            <w:tcW w:w="678" w:type="pct"/>
            <w:noWrap w:val="0"/>
            <w:vAlign w:val="center"/>
          </w:tcPr>
          <w:p w14:paraId="3D0A537F">
            <w:pPr>
              <w:shd w:val="clear" w:color="auto" w:fill="auto"/>
              <w:adjustRightInd w:val="0"/>
              <w:snapToGrid w:val="0"/>
              <w:spacing w:line="360" w:lineRule="auto"/>
              <w:jc w:val="left"/>
              <w:rPr>
                <w:rFonts w:hint="default" w:ascii="仿宋" w:hAnsi="仿宋" w:eastAsia="仿宋" w:cs="仿宋"/>
                <w:color w:val="auto"/>
                <w:sz w:val="24"/>
                <w:highlight w:val="none"/>
                <w:lang w:val="en-US" w:eastAsia="zh-CN"/>
              </w:rPr>
            </w:pPr>
          </w:p>
        </w:tc>
        <w:tc>
          <w:tcPr>
            <w:tcW w:w="604" w:type="pct"/>
            <w:noWrap w:val="0"/>
            <w:vAlign w:val="center"/>
          </w:tcPr>
          <w:p w14:paraId="6BFCA396">
            <w:pPr>
              <w:shd w:val="clear" w:color="auto" w:fill="auto"/>
              <w:adjustRightInd w:val="0"/>
              <w:snapToGrid w:val="0"/>
              <w:spacing w:line="360" w:lineRule="auto"/>
              <w:jc w:val="left"/>
              <w:rPr>
                <w:rFonts w:hint="default" w:ascii="仿宋" w:hAnsi="仿宋" w:eastAsia="仿宋" w:cs="仿宋"/>
                <w:color w:val="auto"/>
                <w:sz w:val="24"/>
                <w:highlight w:val="none"/>
                <w:lang w:val="en-US" w:eastAsia="zh-CN"/>
              </w:rPr>
            </w:pPr>
          </w:p>
        </w:tc>
        <w:tc>
          <w:tcPr>
            <w:tcW w:w="604" w:type="pct"/>
            <w:vMerge w:val="continue"/>
            <w:noWrap w:val="0"/>
            <w:vAlign w:val="center"/>
          </w:tcPr>
          <w:p w14:paraId="4F12EA12">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3C5C4E97">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012F03BE">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0213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34BA4BF7">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868" w:type="pct"/>
            <w:shd w:val="clear" w:color="auto" w:fill="auto"/>
            <w:noWrap w:val="0"/>
            <w:vAlign w:val="top"/>
          </w:tcPr>
          <w:p w14:paraId="15385BB8">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主管护师</w:t>
            </w:r>
          </w:p>
        </w:tc>
        <w:tc>
          <w:tcPr>
            <w:tcW w:w="581" w:type="pct"/>
            <w:shd w:val="clear" w:color="auto" w:fill="auto"/>
            <w:noWrap w:val="0"/>
            <w:vAlign w:val="top"/>
          </w:tcPr>
          <w:p w14:paraId="55C949A9">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0</w:t>
            </w:r>
          </w:p>
        </w:tc>
        <w:tc>
          <w:tcPr>
            <w:tcW w:w="678" w:type="pct"/>
            <w:noWrap w:val="0"/>
            <w:vAlign w:val="center"/>
          </w:tcPr>
          <w:p w14:paraId="7D2950D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0F9E359C">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11446315">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1E5136C1">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31582458">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1F9C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0" w:type="pct"/>
            <w:noWrap w:val="0"/>
            <w:vAlign w:val="center"/>
          </w:tcPr>
          <w:p w14:paraId="054DBFAF">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868" w:type="pct"/>
            <w:shd w:val="clear" w:color="auto" w:fill="auto"/>
            <w:noWrap w:val="0"/>
            <w:vAlign w:val="top"/>
          </w:tcPr>
          <w:p w14:paraId="7386BA41">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护师/护士</w:t>
            </w:r>
          </w:p>
        </w:tc>
        <w:tc>
          <w:tcPr>
            <w:tcW w:w="581" w:type="pct"/>
            <w:shd w:val="clear" w:color="auto" w:fill="auto"/>
            <w:noWrap w:val="0"/>
            <w:vAlign w:val="top"/>
          </w:tcPr>
          <w:p w14:paraId="731008FE">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CN"/>
              </w:rPr>
              <w:t>21</w:t>
            </w:r>
          </w:p>
        </w:tc>
        <w:tc>
          <w:tcPr>
            <w:tcW w:w="678" w:type="pct"/>
            <w:noWrap w:val="0"/>
            <w:vAlign w:val="center"/>
          </w:tcPr>
          <w:p w14:paraId="7237A86D">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1898FB10">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0364450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2CA93672">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737C0E28">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1045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400" w:type="pct"/>
            <w:noWrap w:val="0"/>
            <w:vAlign w:val="center"/>
          </w:tcPr>
          <w:p w14:paraId="11478C26">
            <w:pPr>
              <w:numPr>
                <w:ilvl w:val="0"/>
                <w:numId w:val="0"/>
              </w:numPr>
              <w:shd w:val="clear" w:color="auto" w:fill="auto"/>
              <w:adjustRightInd w:val="0"/>
              <w:snapToGrid w:val="0"/>
              <w:spacing w:line="360" w:lineRule="auto"/>
              <w:ind w:left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868" w:type="pct"/>
            <w:shd w:val="clear" w:color="auto" w:fill="auto"/>
            <w:noWrap w:val="0"/>
            <w:vAlign w:val="top"/>
          </w:tcPr>
          <w:p w14:paraId="46D5B88F">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药师</w:t>
            </w:r>
          </w:p>
        </w:tc>
        <w:tc>
          <w:tcPr>
            <w:tcW w:w="581" w:type="pct"/>
            <w:shd w:val="clear" w:color="auto" w:fill="auto"/>
            <w:noWrap w:val="0"/>
            <w:vAlign w:val="top"/>
          </w:tcPr>
          <w:p w14:paraId="545D6E4F">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CN"/>
              </w:rPr>
              <w:t>2</w:t>
            </w:r>
          </w:p>
        </w:tc>
        <w:tc>
          <w:tcPr>
            <w:tcW w:w="678" w:type="pct"/>
            <w:noWrap w:val="0"/>
            <w:vAlign w:val="center"/>
          </w:tcPr>
          <w:p w14:paraId="4423700E">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213E5848">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0FF0CAD4">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5D3F893C">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0" w:type="pct"/>
            <w:noWrap w:val="0"/>
            <w:vAlign w:val="center"/>
          </w:tcPr>
          <w:p w14:paraId="20DE63CC">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39E3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69" w:type="pct"/>
            <w:gridSpan w:val="2"/>
            <w:noWrap w:val="0"/>
            <w:vAlign w:val="center"/>
          </w:tcPr>
          <w:p w14:paraId="2CAC8693">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合计金额</w:t>
            </w:r>
          </w:p>
        </w:tc>
        <w:tc>
          <w:tcPr>
            <w:tcW w:w="3730" w:type="pct"/>
            <w:gridSpan w:val="6"/>
            <w:noWrap w:val="0"/>
            <w:vAlign w:val="top"/>
          </w:tcPr>
          <w:p w14:paraId="59E223A9">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tc>
      </w:tr>
    </w:tbl>
    <w:p w14:paraId="0BBDE823">
      <w:pPr>
        <w:pStyle w:val="5"/>
        <w:spacing w:line="360" w:lineRule="auto"/>
        <w:ind w:firstLine="480" w:firstLineChars="200"/>
        <w:rPr>
          <w:rFonts w:hint="eastAsia" w:ascii="仿宋" w:hAnsi="仿宋" w:eastAsia="仿宋" w:cs="仿宋"/>
          <w:color w:val="auto"/>
          <w:sz w:val="24"/>
          <w:szCs w:val="24"/>
          <w:highlight w:val="none"/>
          <w:lang w:val="en-US" w:eastAsia="zh-CN"/>
        </w:rPr>
      </w:pPr>
    </w:p>
    <w:p w14:paraId="2EB2BF8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价款包括人员薪酬、社会保险、延时加班费、双休加班费、法定节假日加班费、遇突发重大应急加班费、人员食宿、制服、寝具、通讯设备、值班登记等用具用品费用;法定税费；合理利润等一切费用。</w:t>
      </w:r>
      <w:r>
        <w:rPr>
          <w:rFonts w:hint="eastAsia" w:ascii="仿宋" w:hAnsi="仿宋" w:eastAsia="仿宋" w:cs="仿宋"/>
          <w:color w:val="auto"/>
          <w:sz w:val="24"/>
          <w:szCs w:val="24"/>
          <w:highlight w:val="none"/>
          <w:lang w:val="en-US" w:eastAsia="zh-CN"/>
        </w:rPr>
        <w:t>服务期内人员单价不变</w:t>
      </w:r>
      <w:r>
        <w:rPr>
          <w:rFonts w:hint="eastAsia" w:ascii="仿宋" w:hAnsi="仿宋" w:eastAsia="仿宋" w:cs="仿宋"/>
          <w:color w:val="auto"/>
          <w:sz w:val="24"/>
          <w:szCs w:val="24"/>
          <w:highlight w:val="none"/>
        </w:rPr>
        <w:t>，不受市场价格变化因素的影响。</w:t>
      </w:r>
    </w:p>
    <w:p w14:paraId="20A8F558">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三、款项结算</w:t>
      </w:r>
    </w:p>
    <w:p w14:paraId="6A61B78E">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（一）甲方按</w:t>
      </w:r>
      <w:r>
        <w:rPr>
          <w:rFonts w:hint="eastAsia" w:ascii="仿宋" w:hAnsi="仿宋" w:eastAsia="仿宋" w:cs="仿宋"/>
          <w:color w:val="auto"/>
          <w:sz w:val="24"/>
          <w:szCs w:val="24"/>
          <w:highlight w:val="none"/>
          <w:lang w:val="en-US" w:eastAsia="zh-CN"/>
        </w:rPr>
        <w:t>季度</w:t>
      </w:r>
      <w:r>
        <w:rPr>
          <w:rFonts w:hint="eastAsia" w:ascii="仿宋" w:hAnsi="仿宋" w:eastAsia="仿宋" w:cs="仿宋"/>
          <w:color w:val="auto"/>
          <w:sz w:val="24"/>
          <w:szCs w:val="24"/>
          <w:highlight w:val="none"/>
        </w:rPr>
        <w:t>支付服务费。甲方考核验收完成后15个工作日内支付，乙方应于付款前向甲方提供增值税普通发票。</w:t>
      </w:r>
    </w:p>
    <w:p w14:paraId="772A3AF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（二）支付方式：银行转账。</w:t>
      </w:r>
    </w:p>
    <w:p w14:paraId="185A39DF">
      <w:pPr>
        <w:pStyle w:val="5"/>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（三）结算方式：本项目</w:t>
      </w:r>
      <w:r>
        <w:rPr>
          <w:rFonts w:hint="eastAsia" w:ascii="仿宋" w:hAnsi="仿宋" w:eastAsia="仿宋" w:cs="仿宋"/>
          <w:color w:val="auto"/>
          <w:sz w:val="24"/>
          <w:szCs w:val="24"/>
          <w:highlight w:val="none"/>
          <w:lang w:val="en-US" w:eastAsia="zh-CN"/>
        </w:rPr>
        <w:t>服务费按季度支付，所需</w:t>
      </w:r>
      <w:r>
        <w:rPr>
          <w:rFonts w:hint="eastAsia" w:ascii="仿宋" w:hAnsi="仿宋" w:eastAsia="仿宋" w:cs="仿宋"/>
          <w:color w:val="auto"/>
          <w:sz w:val="24"/>
          <w:szCs w:val="24"/>
          <w:highlight w:val="none"/>
        </w:rPr>
        <w:t>岗位人数为预计数量，最终结算以实际用工人数和各岗位工种报价据实进行结算</w:t>
      </w:r>
      <w:r>
        <w:rPr>
          <w:rFonts w:hint="eastAsia" w:ascii="仿宋" w:hAnsi="仿宋" w:eastAsia="仿宋" w:cs="仿宋"/>
          <w:color w:val="auto"/>
          <w:sz w:val="24"/>
          <w:szCs w:val="24"/>
          <w:highlight w:val="none"/>
          <w:lang w:eastAsia="zh-CN"/>
        </w:rPr>
        <w:t>。</w:t>
      </w:r>
    </w:p>
    <w:p w14:paraId="3C262C8F">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供应商持</w:t>
      </w:r>
      <w:r>
        <w:rPr>
          <w:rFonts w:hint="eastAsia" w:ascii="仿宋" w:hAnsi="仿宋" w:eastAsia="仿宋" w:cs="仿宋"/>
          <w:color w:val="auto"/>
          <w:sz w:val="24"/>
          <w:szCs w:val="24"/>
          <w:highlight w:val="none"/>
          <w:lang w:eastAsia="zh-CN"/>
        </w:rPr>
        <w:t>中标通知书</w:t>
      </w:r>
      <w:r>
        <w:rPr>
          <w:rFonts w:hint="eastAsia" w:ascii="仿宋" w:hAnsi="仿宋" w:eastAsia="仿宋" w:cs="仿宋"/>
          <w:color w:val="auto"/>
          <w:sz w:val="24"/>
          <w:szCs w:val="24"/>
          <w:highlight w:val="none"/>
        </w:rPr>
        <w:t>、服务合同、月度考核评分表、正式发票，与采购人</w:t>
      </w:r>
      <w:r>
        <w:rPr>
          <w:rFonts w:hint="eastAsia" w:ascii="仿宋" w:hAnsi="仿宋" w:eastAsia="仿宋" w:cs="仿宋"/>
          <w:color w:val="auto"/>
          <w:sz w:val="24"/>
          <w:szCs w:val="24"/>
          <w:highlight w:val="none"/>
          <w:lang w:val="en-US" w:eastAsia="zh-CN"/>
        </w:rPr>
        <w:t>按季度</w:t>
      </w:r>
      <w:r>
        <w:rPr>
          <w:rFonts w:hint="eastAsia" w:ascii="仿宋" w:hAnsi="仿宋" w:eastAsia="仿宋" w:cs="仿宋"/>
          <w:color w:val="auto"/>
          <w:sz w:val="24"/>
          <w:szCs w:val="24"/>
          <w:highlight w:val="none"/>
        </w:rPr>
        <w:t>结算。</w:t>
      </w:r>
    </w:p>
    <w:p w14:paraId="6B9B27F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四、质量保证</w:t>
      </w:r>
    </w:p>
    <w:p w14:paraId="68ACEA0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（一）乙方应提供详细的服务标准和服务承诺，服务标准应当符合国家、行业和地方相关医疗服务标准。</w:t>
      </w:r>
    </w:p>
    <w:p w14:paraId="0A4AC5B3">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（二）在服务期限内，遵循零干扰服务。乙方不得干扰或阻碍甲方对该办公区域和公共区域的正常使用。</w:t>
      </w:r>
    </w:p>
    <w:p w14:paraId="0818E45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（三）乙方在提供医疗服务时因组织、医疗护理处（救）治、药物使用不当或未尽义务，导致甲方或第三方人身损害或财产损失的，应承担全部责任和费用。</w:t>
      </w:r>
    </w:p>
    <w:p w14:paraId="37F518D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（四）乙方应严格履行投标文件中的承诺，不得随意减少。</w:t>
      </w:r>
    </w:p>
    <w:p w14:paraId="4604657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五、服务内容、标准及履约验收</w:t>
      </w:r>
    </w:p>
    <w:p w14:paraId="3BA7BF8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（一）服务内容和标准以</w:t>
      </w:r>
      <w:r>
        <w:rPr>
          <w:rFonts w:hint="eastAsia" w:ascii="仿宋" w:hAnsi="仿宋" w:eastAsia="仿宋" w:cs="仿宋"/>
          <w:color w:val="auto"/>
          <w:sz w:val="24"/>
          <w:szCs w:val="24"/>
          <w:highlight w:val="none"/>
          <w:lang w:val="en-US" w:eastAsia="zh-CN"/>
        </w:rPr>
        <w:t>招标文件和投标文件</w:t>
      </w:r>
      <w:r>
        <w:rPr>
          <w:rFonts w:hint="eastAsia" w:ascii="仿宋" w:hAnsi="仿宋" w:eastAsia="仿宋" w:cs="仿宋"/>
          <w:color w:val="auto"/>
          <w:sz w:val="24"/>
          <w:szCs w:val="24"/>
          <w:highlight w:val="none"/>
        </w:rPr>
        <w:t>为准，制定考核细则，每月进行考核出具意见与服务费挂钩。</w:t>
      </w:r>
    </w:p>
    <w:p w14:paraId="35C7AEB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（二）履约验收：甲方根据</w:t>
      </w:r>
      <w:r>
        <w:rPr>
          <w:rFonts w:hint="eastAsia" w:ascii="仿宋" w:hAnsi="仿宋" w:eastAsia="仿宋" w:cs="仿宋"/>
          <w:color w:val="auto"/>
          <w:sz w:val="24"/>
          <w:szCs w:val="24"/>
          <w:highlight w:val="none"/>
          <w:lang w:val="en-US" w:eastAsia="zh-CN"/>
        </w:rPr>
        <w:t>招标文件、投标文件</w:t>
      </w:r>
      <w:r>
        <w:rPr>
          <w:rFonts w:hint="eastAsia" w:ascii="仿宋" w:hAnsi="仿宋" w:eastAsia="仿宋" w:cs="仿宋"/>
          <w:color w:val="auto"/>
          <w:sz w:val="24"/>
          <w:szCs w:val="24"/>
          <w:highlight w:val="none"/>
        </w:rPr>
        <w:t>和合同约定，</w:t>
      </w:r>
      <w:r>
        <w:rPr>
          <w:rFonts w:hint="eastAsia" w:ascii="仿宋" w:hAnsi="仿宋" w:eastAsia="仿宋" w:cs="仿宋"/>
          <w:color w:val="auto"/>
          <w:sz w:val="24"/>
          <w:szCs w:val="24"/>
          <w:highlight w:val="none"/>
          <w:lang w:val="en-US" w:eastAsia="zh-CN"/>
        </w:rPr>
        <w:t>按季度</w:t>
      </w:r>
      <w:r>
        <w:rPr>
          <w:rFonts w:hint="eastAsia" w:ascii="仿宋" w:hAnsi="仿宋" w:eastAsia="仿宋" w:cs="仿宋"/>
          <w:color w:val="auto"/>
          <w:sz w:val="24"/>
          <w:szCs w:val="24"/>
          <w:highlight w:val="none"/>
        </w:rPr>
        <w:t>组织验收小组</w:t>
      </w:r>
      <w:r>
        <w:rPr>
          <w:rFonts w:hint="eastAsia" w:ascii="仿宋" w:hAnsi="仿宋" w:eastAsia="仿宋" w:cs="仿宋"/>
          <w:color w:val="auto"/>
          <w:sz w:val="24"/>
          <w:szCs w:val="24"/>
          <w:highlight w:val="none"/>
          <w:lang w:val="en-US" w:eastAsia="zh-CN"/>
        </w:rPr>
        <w:t>对</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履约情况</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lang w:val="en-US" w:eastAsia="zh-CN"/>
        </w:rPr>
        <w:t>验收评价</w:t>
      </w:r>
      <w:r>
        <w:rPr>
          <w:rFonts w:hint="eastAsia" w:ascii="仿宋" w:hAnsi="仿宋" w:eastAsia="仿宋" w:cs="仿宋"/>
          <w:color w:val="auto"/>
          <w:sz w:val="24"/>
          <w:szCs w:val="24"/>
          <w:highlight w:val="none"/>
        </w:rPr>
        <w:t>，验收合格后，填写履约验收单，作为对项目的最终认可。</w:t>
      </w:r>
    </w:p>
    <w:p w14:paraId="115AFF2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（三）乙方向甲方提供服务过程中的所有资料,以便甲方日后管理。</w:t>
      </w:r>
    </w:p>
    <w:p w14:paraId="3D18314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（四）验收依据：</w:t>
      </w:r>
    </w:p>
    <w:p w14:paraId="06919C4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招标文件和投标文件</w:t>
      </w:r>
      <w:r>
        <w:rPr>
          <w:rFonts w:hint="eastAsia" w:ascii="仿宋" w:hAnsi="仿宋" w:eastAsia="仿宋" w:cs="仿宋"/>
          <w:color w:val="auto"/>
          <w:sz w:val="24"/>
          <w:szCs w:val="24"/>
          <w:highlight w:val="none"/>
        </w:rPr>
        <w:t>；</w:t>
      </w:r>
    </w:p>
    <w:p w14:paraId="3B3B1C4F">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67D3B91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3、合同签订时国家及行业现行的标准和技术规范。</w:t>
      </w:r>
    </w:p>
    <w:p w14:paraId="09CC13A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（五）乙方应向甲方提交项目实施过程中的所有资料，以便甲方日后管理和维护。</w:t>
      </w:r>
    </w:p>
    <w:p w14:paraId="684462C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六、双方的权利与义务</w:t>
      </w:r>
    </w:p>
    <w:p w14:paraId="110B506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（一）甲方权利义务：</w:t>
      </w:r>
    </w:p>
    <w:p w14:paraId="6B1D362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1、对服务区域内的医疗服务事项有知情权和监督权。对工作中不负责任、违反管理规定的人员，有权提出辞退要求，情况属实，乙方应无条件予以执行。</w:t>
      </w:r>
    </w:p>
    <w:p w14:paraId="6612279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2、审定和认可乙方制订的医疗服务方案。</w:t>
      </w:r>
    </w:p>
    <w:p w14:paraId="6835E3C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3、监督、检查乙方的医疗服务方案的实施，并对乙方按照合同约定履行医疗服务的情况进行考核。</w:t>
      </w:r>
    </w:p>
    <w:p w14:paraId="20A1530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4、按照合同约定向乙方支付医疗服务费。</w:t>
      </w:r>
    </w:p>
    <w:p w14:paraId="483D1B6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5、法律、法规规定的其他权利义务。</w:t>
      </w:r>
    </w:p>
    <w:p w14:paraId="3555B6C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（二）乙方权利义务：</w:t>
      </w:r>
    </w:p>
    <w:p w14:paraId="2C1B3B7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1、根据有关法律、法规的规定和合同的约定，在服务区域提供医疗服务，向甲方收取医疗服务费用。</w:t>
      </w:r>
    </w:p>
    <w:p w14:paraId="1C6DD98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2、结合实际情况，编制医疗服务方案。</w:t>
      </w:r>
    </w:p>
    <w:p w14:paraId="2A36CB0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3、及时向甲方通报有关医疗服务方面的重大事项；接受甲方对医疗服务内容和质量标准的监督。</w:t>
      </w:r>
    </w:p>
    <w:p w14:paraId="35E3767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4、合同依法解除、协商解除、单方解除或者期满终止时，</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应当按照有关规定和合同约定退出医疗服务，并按有关规定和合同约定办理移交手续。</w:t>
      </w:r>
    </w:p>
    <w:p w14:paraId="29B952C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5、法律、法规规定的其他权利义务。</w:t>
      </w:r>
    </w:p>
    <w:p w14:paraId="5C54F1E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七、违约责任</w:t>
      </w:r>
    </w:p>
    <w:p w14:paraId="3B9F488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（一）甲乙双方必须遵守本合同并执行合同中的各项规定，保证本合同的正常履行。</w:t>
      </w:r>
    </w:p>
    <w:p w14:paraId="59850F0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（二）由双方按《民法典》中的相关原则经平等协商后补充。</w:t>
      </w:r>
    </w:p>
    <w:p w14:paraId="0EA47AE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如因乙方工作人员在履行职务过程中的疏忽、失职、过错等故意或者过失原因给甲方造成损失或侵害，包括但不限于甲方本身的财产损失、由此而导致的甲方对任何第三方的法律责任等，乙方对此均应承担全部的赔偿及法律责任。</w:t>
      </w:r>
    </w:p>
    <w:p w14:paraId="0734B50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未按合同要求提供服务或服务质量不能满足合同要求，甲方应当将乙方违约的情况以及拟采取的措施以书面形式报政府采购监管部门，根据政府采购监管部门的处理意见，甲方有权依据《民法典》及合同有关条款终止合同，并要求乙方承担违约责任。</w:t>
      </w:r>
    </w:p>
    <w:p w14:paraId="1D62959E">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八、不可抗力事件处理</w:t>
      </w:r>
    </w:p>
    <w:p w14:paraId="5363C68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（一）在合同有效期内，任何一方因不可抗力事件导致不能履行合同，则合同履行期可延长，其延长期与不可抗力影响期相同。</w:t>
      </w:r>
    </w:p>
    <w:p w14:paraId="2EF24F1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（二）不可抗力事件发生后，应立即通知对方，并寄送有关权威机构出具的证明。</w:t>
      </w:r>
    </w:p>
    <w:p w14:paraId="1CB4259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（三）不可抗力事件延续15个日历日以上，双方应通过友好协商，确定是否继续履行合同。</w:t>
      </w:r>
    </w:p>
    <w:p w14:paraId="62CF06B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九、合同的变更和终止</w:t>
      </w:r>
    </w:p>
    <w:p w14:paraId="56BF97D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7C60326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十、争议解决方式</w:t>
      </w:r>
    </w:p>
    <w:p w14:paraId="1D0C88E3">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因履行本合同引起的或与本合同有关的争议，双方应首先通过友好协商解决，如果协商不能解决争议，则采取以下第</w:t>
      </w:r>
      <w:r>
        <w:rPr>
          <w:rFonts w:hint="eastAsia" w:ascii="仿宋" w:hAnsi="仿宋" w:eastAsia="仿宋" w:cs="仿宋"/>
          <w:color w:val="auto"/>
          <w:sz w:val="24"/>
          <w:szCs w:val="24"/>
          <w:highlight w:val="none"/>
          <w:lang w:val="en-US" w:eastAsia="zh-CN"/>
        </w:rPr>
        <w:t xml:space="preserve"> 1 </w:t>
      </w:r>
      <w:r>
        <w:rPr>
          <w:rFonts w:hint="eastAsia" w:ascii="仿宋" w:hAnsi="仿宋" w:eastAsia="仿宋" w:cs="仿宋"/>
          <w:color w:val="auto"/>
          <w:sz w:val="24"/>
          <w:szCs w:val="24"/>
          <w:highlight w:val="none"/>
        </w:rPr>
        <w:t>种方式解决争议：</w:t>
      </w:r>
    </w:p>
    <w:p w14:paraId="1819BB5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（一）向采购人所在地有管辖权的人民法院提起诉讼；</w:t>
      </w:r>
    </w:p>
    <w:p w14:paraId="3706346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（二）向西安仲裁委员会按其仲裁规则申请仲裁。在仲裁期间，本合同应继续履行。</w:t>
      </w:r>
    </w:p>
    <w:p w14:paraId="1C3061E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十一、合同生效及其他</w:t>
      </w:r>
    </w:p>
    <w:p w14:paraId="02A384F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（一）本合同自签订之日起生效。</w:t>
      </w:r>
    </w:p>
    <w:p w14:paraId="454053F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（二）合同一式4份，采购人、</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sz w:val="24"/>
          <w:szCs w:val="24"/>
          <w:highlight w:val="none"/>
        </w:rPr>
        <w:t>供应商各持2份。</w:t>
      </w:r>
    </w:p>
    <w:p w14:paraId="52ABDD7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（三）如本合同有未尽事宜，以</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lang w:val="en-US" w:eastAsia="zh-CN"/>
        </w:rPr>
        <w:t>和投标文件</w:t>
      </w:r>
      <w:r>
        <w:rPr>
          <w:rFonts w:hint="eastAsia" w:ascii="仿宋" w:hAnsi="仿宋" w:eastAsia="仿宋" w:cs="仿宋"/>
          <w:color w:val="auto"/>
          <w:sz w:val="24"/>
          <w:szCs w:val="24"/>
          <w:highlight w:val="none"/>
        </w:rPr>
        <w:t>为准，</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lang w:val="en-US" w:eastAsia="zh-CN"/>
        </w:rPr>
        <w:t>和投标文件</w:t>
      </w:r>
      <w:r>
        <w:rPr>
          <w:rFonts w:hint="eastAsia" w:ascii="仿宋" w:hAnsi="仿宋" w:eastAsia="仿宋" w:cs="仿宋"/>
          <w:color w:val="auto"/>
          <w:sz w:val="24"/>
          <w:szCs w:val="24"/>
          <w:highlight w:val="none"/>
        </w:rPr>
        <w:t>未做要求的，由双方依法订立补充合同。</w:t>
      </w:r>
    </w:p>
    <w:p w14:paraId="5ED7D67E">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十二、考核细则</w:t>
      </w:r>
    </w:p>
    <w:p w14:paraId="2BB219A3">
      <w:pPr>
        <w:pStyle w:val="5"/>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具体考核细则详见附表：《</w:t>
      </w:r>
      <w:bookmarkStart w:id="1" w:name="OLE_LINK15"/>
      <w:bookmarkStart w:id="2" w:name="OLE_LINK16"/>
      <w:r>
        <w:rPr>
          <w:rFonts w:hint="eastAsia" w:ascii="仿宋" w:hAnsi="仿宋" w:eastAsia="仿宋" w:cs="仿宋"/>
          <w:color w:val="auto"/>
          <w:sz w:val="24"/>
          <w:szCs w:val="24"/>
          <w:highlight w:val="none"/>
        </w:rPr>
        <w:t>医疗卫生专业化月度考核验收统计表</w:t>
      </w:r>
      <w:bookmarkEnd w:id="1"/>
      <w:bookmarkEnd w:id="2"/>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p>
    <w:p w14:paraId="4A94C56F">
      <w:pPr>
        <w:pStyle w:val="5"/>
        <w:spacing w:line="360" w:lineRule="auto"/>
        <w:ind w:firstLine="482"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注：以上合同内容如有不足，经甲乙双方友好协商后进行细化、补充与修改，细化、补充与修改的内容不得改变合同实质性内容。</w:t>
      </w:r>
    </w:p>
    <w:p w14:paraId="29CE8A69"/>
    <w:p w14:paraId="30A33EF4"/>
    <w:p w14:paraId="4A0D41F3"/>
    <w:p w14:paraId="6A02E4DA"/>
    <w:p w14:paraId="57784A67"/>
    <w:p w14:paraId="085A8072"/>
    <w:p w14:paraId="3D3BCC41"/>
    <w:p w14:paraId="18216757"/>
    <w:p w14:paraId="7F94BB8A"/>
    <w:p w14:paraId="264582BE"/>
    <w:p w14:paraId="7EAF64E0"/>
    <w:p w14:paraId="6E732AFA"/>
    <w:p w14:paraId="495F1139"/>
    <w:p w14:paraId="439A98E6"/>
    <w:p w14:paraId="61189A49">
      <w:pPr>
        <w:pStyle w:val="5"/>
        <w:spacing w:line="240" w:lineRule="auto"/>
        <w:ind w:firstLine="643" w:firstLineChars="200"/>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医疗卫生专业化服务项目（</w:t>
      </w:r>
      <w:r>
        <w:rPr>
          <w:rFonts w:hint="eastAsia" w:ascii="仿宋" w:hAnsi="仿宋" w:eastAsia="仿宋" w:cs="仿宋"/>
          <w:b/>
          <w:bCs/>
          <w:color w:val="auto"/>
          <w:sz w:val="32"/>
          <w:szCs w:val="32"/>
          <w:highlight w:val="none"/>
          <w:lang w:val="en-US" w:eastAsia="zh-CN"/>
        </w:rPr>
        <w:t>包2</w:t>
      </w:r>
      <w:r>
        <w:rPr>
          <w:rFonts w:hint="eastAsia" w:ascii="仿宋" w:hAnsi="仿宋" w:eastAsia="仿宋" w:cs="仿宋"/>
          <w:b/>
          <w:bCs/>
          <w:color w:val="auto"/>
          <w:sz w:val="32"/>
          <w:szCs w:val="32"/>
          <w:highlight w:val="none"/>
          <w:lang w:eastAsia="zh-CN"/>
        </w:rPr>
        <w:t>）</w:t>
      </w:r>
    </w:p>
    <w:p w14:paraId="3B344B7E">
      <w:pPr>
        <w:pStyle w:val="5"/>
        <w:spacing w:line="240" w:lineRule="auto"/>
        <w:ind w:firstLine="643" w:firstLineChars="200"/>
        <w:jc w:val="center"/>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拟签订合同主要条款</w:t>
      </w:r>
    </w:p>
    <w:p w14:paraId="3E845FE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一、服务条件</w:t>
      </w:r>
    </w:p>
    <w:p w14:paraId="067225DF">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（一）服务地点：采购人指定地点。</w:t>
      </w:r>
    </w:p>
    <w:p w14:paraId="79C9CAD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w:t>
      </w:r>
      <w:r>
        <w:rPr>
          <w:rFonts w:hint="eastAsia" w:ascii="仿宋" w:hAnsi="仿宋" w:eastAsia="仿宋" w:cs="仿宋"/>
          <w:color w:val="auto"/>
          <w:sz w:val="24"/>
          <w:szCs w:val="24"/>
          <w:highlight w:val="none"/>
          <w:lang w:val="en-US" w:eastAsia="zh-CN"/>
        </w:rPr>
        <w:t>期限</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12个月，以双方签订合同时约定的起止时间为准</w:t>
      </w:r>
      <w:r>
        <w:rPr>
          <w:rFonts w:hint="eastAsia" w:ascii="仿宋" w:hAnsi="仿宋" w:eastAsia="仿宋" w:cs="仿宋"/>
          <w:color w:val="auto"/>
          <w:sz w:val="24"/>
          <w:szCs w:val="24"/>
          <w:highlight w:val="none"/>
        </w:rPr>
        <w:t>。</w:t>
      </w:r>
    </w:p>
    <w:p w14:paraId="47574AB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w:t>
      </w:r>
      <w:r>
        <w:rPr>
          <w:rFonts w:hint="eastAsia" w:ascii="仿宋" w:hAnsi="仿宋" w:eastAsia="仿宋" w:cs="仿宋"/>
          <w:sz w:val="24"/>
          <w:szCs w:val="24"/>
          <w:highlight w:val="none"/>
        </w:rPr>
        <w:t>合同价款</w:t>
      </w:r>
    </w:p>
    <w:p w14:paraId="15F9F08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合同价款为大写：人民币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元（¥：</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p>
    <w:p w14:paraId="781D499C">
      <w:pPr>
        <w:pStyle w:val="5"/>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w:t>
      </w:r>
    </w:p>
    <w:p w14:paraId="2DA875BC">
      <w:pPr>
        <w:pStyle w:val="5"/>
        <w:spacing w:line="360" w:lineRule="auto"/>
        <w:ind w:firstLine="480" w:firstLineChars="200"/>
        <w:rPr>
          <w:rFonts w:hint="eastAsia" w:ascii="仿宋" w:hAnsi="仿宋" w:eastAsia="仿宋" w:cs="仿宋"/>
          <w:color w:val="auto"/>
          <w:sz w:val="24"/>
          <w:szCs w:val="24"/>
          <w:highlight w:val="none"/>
          <w:lang w:val="en-US" w:eastAsia="zh-CN"/>
        </w:rPr>
      </w:pPr>
    </w:p>
    <w:tbl>
      <w:tblPr>
        <w:tblStyle w:val="3"/>
        <w:tblW w:w="57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713"/>
        <w:gridCol w:w="1146"/>
        <w:gridCol w:w="1337"/>
        <w:gridCol w:w="1191"/>
        <w:gridCol w:w="1191"/>
        <w:gridCol w:w="1286"/>
        <w:gridCol w:w="1207"/>
      </w:tblGrid>
      <w:tr w14:paraId="64FC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9" w:type="pct"/>
            <w:noWrap w:val="0"/>
            <w:vAlign w:val="center"/>
          </w:tcPr>
          <w:p w14:paraId="6714DAC7">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68" w:type="pct"/>
            <w:noWrap w:val="0"/>
            <w:vAlign w:val="center"/>
          </w:tcPr>
          <w:p w14:paraId="59941113">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报价内容（岗位）</w:t>
            </w:r>
          </w:p>
        </w:tc>
        <w:tc>
          <w:tcPr>
            <w:tcW w:w="581" w:type="pct"/>
            <w:noWrap w:val="0"/>
            <w:vAlign w:val="center"/>
          </w:tcPr>
          <w:p w14:paraId="45E1ADC9">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数量（单位：人）</w:t>
            </w:r>
          </w:p>
        </w:tc>
        <w:tc>
          <w:tcPr>
            <w:tcW w:w="678" w:type="pct"/>
            <w:noWrap w:val="0"/>
            <w:vAlign w:val="center"/>
          </w:tcPr>
          <w:p w14:paraId="078CEF16">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月度报价（元/人）</w:t>
            </w:r>
          </w:p>
        </w:tc>
        <w:tc>
          <w:tcPr>
            <w:tcW w:w="604" w:type="pct"/>
            <w:noWrap w:val="0"/>
            <w:vAlign w:val="center"/>
          </w:tcPr>
          <w:p w14:paraId="690CEE68">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04" w:type="pct"/>
            <w:noWrap w:val="0"/>
            <w:vAlign w:val="center"/>
          </w:tcPr>
          <w:p w14:paraId="08981D0C">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服务期限</w:t>
            </w:r>
          </w:p>
        </w:tc>
        <w:tc>
          <w:tcPr>
            <w:tcW w:w="652" w:type="pct"/>
            <w:noWrap w:val="0"/>
            <w:vAlign w:val="center"/>
          </w:tcPr>
          <w:p w14:paraId="4AA75B6F">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年度</w:t>
            </w:r>
            <w:r>
              <w:rPr>
                <w:rFonts w:hint="eastAsia" w:ascii="仿宋" w:hAnsi="仿宋" w:eastAsia="仿宋" w:cs="仿宋"/>
                <w:color w:val="auto"/>
                <w:sz w:val="24"/>
                <w:highlight w:val="none"/>
              </w:rPr>
              <w:t>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11" w:type="pct"/>
            <w:noWrap w:val="0"/>
            <w:vAlign w:val="center"/>
          </w:tcPr>
          <w:p w14:paraId="3FAC20DD">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784E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9" w:type="pct"/>
            <w:noWrap w:val="0"/>
            <w:vAlign w:val="center"/>
          </w:tcPr>
          <w:p w14:paraId="7A9710A3">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868" w:type="pct"/>
            <w:shd w:val="clear" w:color="auto" w:fill="auto"/>
            <w:noWrap w:val="0"/>
            <w:vAlign w:val="center"/>
          </w:tcPr>
          <w:p w14:paraId="420CD979">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副主任医师</w:t>
            </w:r>
          </w:p>
        </w:tc>
        <w:tc>
          <w:tcPr>
            <w:tcW w:w="581" w:type="pct"/>
            <w:noWrap w:val="0"/>
            <w:vAlign w:val="top"/>
          </w:tcPr>
          <w:p w14:paraId="0EFEFADD">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678" w:type="pct"/>
            <w:noWrap w:val="0"/>
            <w:vAlign w:val="center"/>
          </w:tcPr>
          <w:p w14:paraId="5BD95911">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3C293CA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restart"/>
            <w:noWrap w:val="0"/>
            <w:vAlign w:val="center"/>
          </w:tcPr>
          <w:p w14:paraId="3F22887C">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12个月</w:t>
            </w:r>
          </w:p>
        </w:tc>
        <w:tc>
          <w:tcPr>
            <w:tcW w:w="652" w:type="pct"/>
            <w:noWrap w:val="0"/>
            <w:vAlign w:val="center"/>
          </w:tcPr>
          <w:p w14:paraId="60D285FE">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1" w:type="pct"/>
            <w:noWrap w:val="0"/>
            <w:vAlign w:val="center"/>
          </w:tcPr>
          <w:p w14:paraId="53FCFBA7">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23BE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9" w:type="pct"/>
            <w:noWrap w:val="0"/>
            <w:vAlign w:val="center"/>
          </w:tcPr>
          <w:p w14:paraId="5092EB53">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868" w:type="pct"/>
            <w:shd w:val="clear" w:color="auto" w:fill="auto"/>
            <w:noWrap w:val="0"/>
            <w:vAlign w:val="top"/>
          </w:tcPr>
          <w:p w14:paraId="1138E1E8">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主治医师</w:t>
            </w:r>
          </w:p>
        </w:tc>
        <w:tc>
          <w:tcPr>
            <w:tcW w:w="581" w:type="pct"/>
            <w:shd w:val="clear" w:color="auto" w:fill="auto"/>
            <w:noWrap w:val="0"/>
            <w:vAlign w:val="top"/>
          </w:tcPr>
          <w:p w14:paraId="05BE2BD0">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w:t>
            </w:r>
          </w:p>
        </w:tc>
        <w:tc>
          <w:tcPr>
            <w:tcW w:w="678" w:type="pct"/>
            <w:noWrap w:val="0"/>
            <w:vAlign w:val="center"/>
          </w:tcPr>
          <w:p w14:paraId="67B0F35F">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462BF197">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233191A1">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76C7C3BD">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1" w:type="pct"/>
            <w:noWrap w:val="0"/>
            <w:vAlign w:val="center"/>
          </w:tcPr>
          <w:p w14:paraId="5B82501D">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1D43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9" w:type="pct"/>
            <w:noWrap w:val="0"/>
            <w:vAlign w:val="center"/>
          </w:tcPr>
          <w:p w14:paraId="0EB38D6E">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868" w:type="pct"/>
            <w:shd w:val="clear" w:color="auto" w:fill="auto"/>
            <w:noWrap w:val="0"/>
            <w:vAlign w:val="top"/>
          </w:tcPr>
          <w:p w14:paraId="74477CEB">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主管护师</w:t>
            </w:r>
          </w:p>
        </w:tc>
        <w:tc>
          <w:tcPr>
            <w:tcW w:w="581" w:type="pct"/>
            <w:shd w:val="clear" w:color="auto" w:fill="auto"/>
            <w:noWrap w:val="0"/>
            <w:vAlign w:val="top"/>
          </w:tcPr>
          <w:p w14:paraId="10159140">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Hans"/>
              </w:rPr>
              <w:t>36</w:t>
            </w:r>
          </w:p>
        </w:tc>
        <w:tc>
          <w:tcPr>
            <w:tcW w:w="678" w:type="pct"/>
            <w:noWrap w:val="0"/>
            <w:vAlign w:val="center"/>
          </w:tcPr>
          <w:p w14:paraId="7E1F2C3B">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3AE09441">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7F878925">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7325E04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1" w:type="pct"/>
            <w:noWrap w:val="0"/>
            <w:vAlign w:val="center"/>
          </w:tcPr>
          <w:p w14:paraId="18174E5E">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7CCB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9" w:type="pct"/>
            <w:noWrap w:val="0"/>
            <w:vAlign w:val="center"/>
          </w:tcPr>
          <w:p w14:paraId="3E98E9A6">
            <w:pPr>
              <w:numPr>
                <w:ilvl w:val="0"/>
                <w:numId w:val="0"/>
              </w:numPr>
              <w:shd w:val="clear" w:color="auto" w:fill="auto"/>
              <w:adjustRightInd w:val="0"/>
              <w:snapToGrid w:val="0"/>
              <w:spacing w:line="360" w:lineRule="auto"/>
              <w:ind w:left="425" w:leftChars="0" w:hanging="425"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868" w:type="pct"/>
            <w:shd w:val="clear" w:color="auto" w:fill="auto"/>
            <w:noWrap w:val="0"/>
            <w:vAlign w:val="top"/>
          </w:tcPr>
          <w:p w14:paraId="18AA8D10">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护师/护士</w:t>
            </w:r>
          </w:p>
        </w:tc>
        <w:tc>
          <w:tcPr>
            <w:tcW w:w="581" w:type="pct"/>
            <w:shd w:val="clear" w:color="auto" w:fill="auto"/>
            <w:noWrap w:val="0"/>
            <w:vAlign w:val="top"/>
          </w:tcPr>
          <w:p w14:paraId="7A7958BF">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Hans"/>
              </w:rPr>
              <w:t>47</w:t>
            </w:r>
          </w:p>
        </w:tc>
        <w:tc>
          <w:tcPr>
            <w:tcW w:w="678" w:type="pct"/>
            <w:noWrap w:val="0"/>
            <w:vAlign w:val="center"/>
          </w:tcPr>
          <w:p w14:paraId="3D153A13">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477360B4">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27333F3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67867064">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1" w:type="pct"/>
            <w:noWrap w:val="0"/>
            <w:vAlign w:val="center"/>
          </w:tcPr>
          <w:p w14:paraId="2E26E189">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49E6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9" w:type="pct"/>
            <w:noWrap w:val="0"/>
            <w:vAlign w:val="center"/>
          </w:tcPr>
          <w:p w14:paraId="025C9AE9">
            <w:pPr>
              <w:numPr>
                <w:ilvl w:val="0"/>
                <w:numId w:val="0"/>
              </w:numPr>
              <w:shd w:val="clear" w:color="auto" w:fill="auto"/>
              <w:adjustRightInd w:val="0"/>
              <w:snapToGrid w:val="0"/>
              <w:spacing w:line="360" w:lineRule="auto"/>
              <w:ind w:left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868" w:type="pct"/>
            <w:shd w:val="clear" w:color="auto" w:fill="auto"/>
            <w:noWrap w:val="0"/>
            <w:vAlign w:val="top"/>
          </w:tcPr>
          <w:p w14:paraId="01F9DBA4">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rPr>
              <w:t>药师</w:t>
            </w:r>
          </w:p>
        </w:tc>
        <w:tc>
          <w:tcPr>
            <w:tcW w:w="581" w:type="pct"/>
            <w:shd w:val="clear" w:color="auto" w:fill="auto"/>
            <w:noWrap w:val="0"/>
            <w:vAlign w:val="top"/>
          </w:tcPr>
          <w:p w14:paraId="4902819D">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Hans"/>
              </w:rPr>
              <w:t>5</w:t>
            </w:r>
          </w:p>
        </w:tc>
        <w:tc>
          <w:tcPr>
            <w:tcW w:w="678" w:type="pct"/>
            <w:noWrap w:val="0"/>
            <w:vAlign w:val="center"/>
          </w:tcPr>
          <w:p w14:paraId="415B31A0">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5B3B83AC">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26ACFFC9">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574F04BC">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1" w:type="pct"/>
            <w:noWrap w:val="0"/>
            <w:vAlign w:val="center"/>
          </w:tcPr>
          <w:p w14:paraId="5EA78274">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5209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68" w:type="pct"/>
            <w:gridSpan w:val="2"/>
            <w:noWrap w:val="0"/>
            <w:vAlign w:val="center"/>
          </w:tcPr>
          <w:p w14:paraId="75F07A3D">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合计金额</w:t>
            </w:r>
          </w:p>
        </w:tc>
        <w:tc>
          <w:tcPr>
            <w:tcW w:w="3731" w:type="pct"/>
            <w:gridSpan w:val="6"/>
            <w:noWrap w:val="0"/>
            <w:vAlign w:val="top"/>
          </w:tcPr>
          <w:p w14:paraId="1CB076A0">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tc>
      </w:tr>
    </w:tbl>
    <w:p w14:paraId="7CE745E7">
      <w:pPr>
        <w:pStyle w:val="5"/>
        <w:spacing w:line="360" w:lineRule="auto"/>
        <w:ind w:firstLine="480" w:firstLineChars="200"/>
        <w:rPr>
          <w:rFonts w:hint="eastAsia" w:ascii="仿宋" w:hAnsi="仿宋" w:eastAsia="仿宋" w:cs="仿宋"/>
          <w:color w:val="auto"/>
          <w:sz w:val="24"/>
          <w:szCs w:val="24"/>
          <w:highlight w:val="none"/>
          <w:lang w:val="en-US" w:eastAsia="zh-CN"/>
        </w:rPr>
      </w:pPr>
    </w:p>
    <w:p w14:paraId="76AF818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价款包括人员薪酬、社会保险、延时加班费、双休加班费、法定节假日加班费、遇突发重大应急加班费、人员食宿、制服、寝具、通讯设备、值班登记等用具用品费用;法定税费；合理利润等一切费用。</w:t>
      </w:r>
      <w:r>
        <w:rPr>
          <w:rFonts w:hint="eastAsia" w:ascii="仿宋" w:hAnsi="仿宋" w:eastAsia="仿宋" w:cs="仿宋"/>
          <w:color w:val="auto"/>
          <w:sz w:val="24"/>
          <w:szCs w:val="24"/>
          <w:highlight w:val="none"/>
          <w:lang w:val="en-US" w:eastAsia="zh-CN"/>
        </w:rPr>
        <w:t>服务期内人员单价不变</w:t>
      </w:r>
      <w:r>
        <w:rPr>
          <w:rFonts w:hint="eastAsia" w:ascii="仿宋" w:hAnsi="仿宋" w:eastAsia="仿宋" w:cs="仿宋"/>
          <w:color w:val="auto"/>
          <w:sz w:val="24"/>
          <w:szCs w:val="24"/>
          <w:highlight w:val="none"/>
        </w:rPr>
        <w:t>，不受市场价格变化因素的影响。</w:t>
      </w:r>
    </w:p>
    <w:p w14:paraId="4F595FF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三、款项结算</w:t>
      </w:r>
    </w:p>
    <w:p w14:paraId="34853FD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（一）甲方按</w:t>
      </w:r>
      <w:r>
        <w:rPr>
          <w:rFonts w:hint="eastAsia" w:ascii="仿宋" w:hAnsi="仿宋" w:eastAsia="仿宋" w:cs="仿宋"/>
          <w:color w:val="auto"/>
          <w:sz w:val="24"/>
          <w:szCs w:val="24"/>
          <w:highlight w:val="none"/>
          <w:lang w:val="en-US" w:eastAsia="zh-CN"/>
        </w:rPr>
        <w:t>季度</w:t>
      </w:r>
      <w:r>
        <w:rPr>
          <w:rFonts w:hint="eastAsia" w:ascii="仿宋" w:hAnsi="仿宋" w:eastAsia="仿宋" w:cs="仿宋"/>
          <w:color w:val="auto"/>
          <w:sz w:val="24"/>
          <w:szCs w:val="24"/>
          <w:highlight w:val="none"/>
        </w:rPr>
        <w:t>支付服务费。甲方考核验收完成后15个工作日内支付，乙方应于付款前向甲方提供增值税普通发票。</w:t>
      </w:r>
    </w:p>
    <w:p w14:paraId="76F4EC9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（二）支付方式：银行转账。</w:t>
      </w:r>
    </w:p>
    <w:p w14:paraId="77E9E1AF">
      <w:pPr>
        <w:pStyle w:val="5"/>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（三）结算方式：本项目</w:t>
      </w:r>
      <w:r>
        <w:rPr>
          <w:rFonts w:hint="eastAsia" w:ascii="仿宋" w:hAnsi="仿宋" w:eastAsia="仿宋" w:cs="仿宋"/>
          <w:color w:val="auto"/>
          <w:sz w:val="24"/>
          <w:szCs w:val="24"/>
          <w:highlight w:val="none"/>
          <w:lang w:val="en-US" w:eastAsia="zh-CN"/>
        </w:rPr>
        <w:t>服务费按季度支付，所需</w:t>
      </w:r>
      <w:r>
        <w:rPr>
          <w:rFonts w:hint="eastAsia" w:ascii="仿宋" w:hAnsi="仿宋" w:eastAsia="仿宋" w:cs="仿宋"/>
          <w:color w:val="auto"/>
          <w:sz w:val="24"/>
          <w:szCs w:val="24"/>
          <w:highlight w:val="none"/>
        </w:rPr>
        <w:t>岗位人数为预计数量，最终结算以实际用工人数和各岗位工种报价据实进行结算</w:t>
      </w:r>
      <w:r>
        <w:rPr>
          <w:rFonts w:hint="eastAsia" w:ascii="仿宋" w:hAnsi="仿宋" w:eastAsia="仿宋" w:cs="仿宋"/>
          <w:color w:val="auto"/>
          <w:sz w:val="24"/>
          <w:szCs w:val="24"/>
          <w:highlight w:val="none"/>
          <w:lang w:eastAsia="zh-CN"/>
        </w:rPr>
        <w:t>。</w:t>
      </w:r>
    </w:p>
    <w:p w14:paraId="0554F12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供应商持</w:t>
      </w:r>
      <w:r>
        <w:rPr>
          <w:rFonts w:hint="eastAsia" w:ascii="仿宋" w:hAnsi="仿宋" w:eastAsia="仿宋" w:cs="仿宋"/>
          <w:color w:val="auto"/>
          <w:sz w:val="24"/>
          <w:szCs w:val="24"/>
          <w:highlight w:val="none"/>
          <w:lang w:eastAsia="zh-CN"/>
        </w:rPr>
        <w:t>中标通知书</w:t>
      </w:r>
      <w:r>
        <w:rPr>
          <w:rFonts w:hint="eastAsia" w:ascii="仿宋" w:hAnsi="仿宋" w:eastAsia="仿宋" w:cs="仿宋"/>
          <w:color w:val="auto"/>
          <w:sz w:val="24"/>
          <w:szCs w:val="24"/>
          <w:highlight w:val="none"/>
        </w:rPr>
        <w:t>、服务合同、月度考核评分表、正式发票，与采购人</w:t>
      </w:r>
      <w:r>
        <w:rPr>
          <w:rFonts w:hint="eastAsia" w:ascii="仿宋" w:hAnsi="仿宋" w:eastAsia="仿宋" w:cs="仿宋"/>
          <w:color w:val="auto"/>
          <w:sz w:val="24"/>
          <w:szCs w:val="24"/>
          <w:highlight w:val="none"/>
          <w:lang w:val="en-US" w:eastAsia="zh-CN"/>
        </w:rPr>
        <w:t>按季度</w:t>
      </w:r>
      <w:r>
        <w:rPr>
          <w:rFonts w:hint="eastAsia" w:ascii="仿宋" w:hAnsi="仿宋" w:eastAsia="仿宋" w:cs="仿宋"/>
          <w:color w:val="auto"/>
          <w:sz w:val="24"/>
          <w:szCs w:val="24"/>
          <w:highlight w:val="none"/>
        </w:rPr>
        <w:t>结算。</w:t>
      </w:r>
    </w:p>
    <w:p w14:paraId="4E8744A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四、质量保证</w:t>
      </w:r>
    </w:p>
    <w:p w14:paraId="425C83B3">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（一）乙方应提供详细的服务标准和服务承诺，服务标准应当符合国家、行业和地方相关医疗服务标准。</w:t>
      </w:r>
    </w:p>
    <w:p w14:paraId="4AE04EC3">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（二）在服务期限内，遵循零干扰服务。乙方不得干扰或阻碍甲方对该办公区域和公共区域的正常使用。</w:t>
      </w:r>
    </w:p>
    <w:p w14:paraId="7A30EF4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（三）乙方在提供医疗服务时因组织、医疗护理处（救）治、药物使用不当或未尽义务，导致甲方或第三方人身损害或财产损失的，应承担全部责任和费用。</w:t>
      </w:r>
    </w:p>
    <w:p w14:paraId="3EC0589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（四）乙方应严格履行投标文件中的承诺，不得随意减少。</w:t>
      </w:r>
    </w:p>
    <w:p w14:paraId="6253695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五、服务内容、标准及履约验收</w:t>
      </w:r>
    </w:p>
    <w:p w14:paraId="40422B0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（一）服务内容和标准以</w:t>
      </w:r>
      <w:r>
        <w:rPr>
          <w:rFonts w:hint="eastAsia" w:ascii="仿宋" w:hAnsi="仿宋" w:eastAsia="仿宋" w:cs="仿宋"/>
          <w:color w:val="auto"/>
          <w:sz w:val="24"/>
          <w:szCs w:val="24"/>
          <w:highlight w:val="none"/>
          <w:lang w:val="en-US" w:eastAsia="zh-CN"/>
        </w:rPr>
        <w:t>招标文件和投标文件</w:t>
      </w:r>
      <w:r>
        <w:rPr>
          <w:rFonts w:hint="eastAsia" w:ascii="仿宋" w:hAnsi="仿宋" w:eastAsia="仿宋" w:cs="仿宋"/>
          <w:color w:val="auto"/>
          <w:sz w:val="24"/>
          <w:szCs w:val="24"/>
          <w:highlight w:val="none"/>
        </w:rPr>
        <w:t>为准，制定考核细则，每月进行考核出具意见与服务费挂钩。</w:t>
      </w:r>
    </w:p>
    <w:p w14:paraId="3FE551C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（二）履约验收：甲方根据</w:t>
      </w:r>
      <w:r>
        <w:rPr>
          <w:rFonts w:hint="eastAsia" w:ascii="仿宋" w:hAnsi="仿宋" w:eastAsia="仿宋" w:cs="仿宋"/>
          <w:color w:val="auto"/>
          <w:sz w:val="24"/>
          <w:szCs w:val="24"/>
          <w:highlight w:val="none"/>
          <w:lang w:val="en-US" w:eastAsia="zh-CN"/>
        </w:rPr>
        <w:t>招标文件、投标文件</w:t>
      </w:r>
      <w:r>
        <w:rPr>
          <w:rFonts w:hint="eastAsia" w:ascii="仿宋" w:hAnsi="仿宋" w:eastAsia="仿宋" w:cs="仿宋"/>
          <w:color w:val="auto"/>
          <w:sz w:val="24"/>
          <w:szCs w:val="24"/>
          <w:highlight w:val="none"/>
        </w:rPr>
        <w:t>和合同约定，</w:t>
      </w:r>
      <w:r>
        <w:rPr>
          <w:rFonts w:hint="eastAsia" w:ascii="仿宋" w:hAnsi="仿宋" w:eastAsia="仿宋" w:cs="仿宋"/>
          <w:color w:val="auto"/>
          <w:sz w:val="24"/>
          <w:szCs w:val="24"/>
          <w:highlight w:val="none"/>
          <w:lang w:val="en-US" w:eastAsia="zh-CN"/>
        </w:rPr>
        <w:t>按季度</w:t>
      </w:r>
      <w:r>
        <w:rPr>
          <w:rFonts w:hint="eastAsia" w:ascii="仿宋" w:hAnsi="仿宋" w:eastAsia="仿宋" w:cs="仿宋"/>
          <w:color w:val="auto"/>
          <w:sz w:val="24"/>
          <w:szCs w:val="24"/>
          <w:highlight w:val="none"/>
        </w:rPr>
        <w:t>组织验收小组</w:t>
      </w:r>
      <w:r>
        <w:rPr>
          <w:rFonts w:hint="eastAsia" w:ascii="仿宋" w:hAnsi="仿宋" w:eastAsia="仿宋" w:cs="仿宋"/>
          <w:color w:val="auto"/>
          <w:sz w:val="24"/>
          <w:szCs w:val="24"/>
          <w:highlight w:val="none"/>
          <w:lang w:val="en-US" w:eastAsia="zh-CN"/>
        </w:rPr>
        <w:t>对</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履约情况</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lang w:val="en-US" w:eastAsia="zh-CN"/>
        </w:rPr>
        <w:t>验收评价</w:t>
      </w:r>
      <w:r>
        <w:rPr>
          <w:rFonts w:hint="eastAsia" w:ascii="仿宋" w:hAnsi="仿宋" w:eastAsia="仿宋" w:cs="仿宋"/>
          <w:color w:val="auto"/>
          <w:sz w:val="24"/>
          <w:szCs w:val="24"/>
          <w:highlight w:val="none"/>
        </w:rPr>
        <w:t>，验收合格后，填写履约验收单，作为对项目的最终认可。</w:t>
      </w:r>
    </w:p>
    <w:p w14:paraId="7879C2B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（三）乙方向甲方提供服务过程中的所有资料,以便甲方日后管理。</w:t>
      </w:r>
    </w:p>
    <w:p w14:paraId="3F6521D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（四）验收依据：</w:t>
      </w:r>
    </w:p>
    <w:p w14:paraId="184C69D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招标文件和投标文件</w:t>
      </w:r>
      <w:r>
        <w:rPr>
          <w:rFonts w:hint="eastAsia" w:ascii="仿宋" w:hAnsi="仿宋" w:eastAsia="仿宋" w:cs="仿宋"/>
          <w:color w:val="auto"/>
          <w:sz w:val="24"/>
          <w:szCs w:val="24"/>
          <w:highlight w:val="none"/>
        </w:rPr>
        <w:t>；</w:t>
      </w:r>
    </w:p>
    <w:p w14:paraId="355C7C0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00F8638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3、合同签订时国家及行业现行的标准和技术规范。</w:t>
      </w:r>
    </w:p>
    <w:p w14:paraId="05005E98">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（五）乙方应向甲方提交项目实施过程中的所有资料，以便甲方日后管理和维护。</w:t>
      </w:r>
    </w:p>
    <w:p w14:paraId="32049F5E">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六、双方的权利与义务</w:t>
      </w:r>
    </w:p>
    <w:p w14:paraId="6716F69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（一）甲方权利义务：</w:t>
      </w:r>
    </w:p>
    <w:p w14:paraId="327E26F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1、对服务区域内的医疗服务事项有知情权和监督权。对工作中不负责任、违反管理规定的人员，有权提出辞退要求，情况属实，乙方应无条件予以执行。</w:t>
      </w:r>
    </w:p>
    <w:p w14:paraId="0266F651">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2、审定和认可乙方制订的医疗服务方案。</w:t>
      </w:r>
    </w:p>
    <w:p w14:paraId="6C27CC5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3、监督、检查乙方的医疗服务方案的实施，并对乙方按照合同约定履行医疗服务的情况进行考核。</w:t>
      </w:r>
    </w:p>
    <w:p w14:paraId="1A49B42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4、按照合同约定向乙方支付医疗服务费。</w:t>
      </w:r>
    </w:p>
    <w:p w14:paraId="023B6D7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5、法律、法规规定的其他权利义务。</w:t>
      </w:r>
    </w:p>
    <w:p w14:paraId="7452C3A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（二）乙方权利义务：</w:t>
      </w:r>
    </w:p>
    <w:p w14:paraId="601E9CD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1、根据有关法律、法规的规定和合同的约定，在服务区域提供医疗服务，向甲方收取医疗服务费用。</w:t>
      </w:r>
    </w:p>
    <w:p w14:paraId="47454BC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2、结合实际情况，编制医疗服务方案。</w:t>
      </w:r>
    </w:p>
    <w:p w14:paraId="0AF465A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3、及时向甲方通报有关医疗服务方面的重大事项；接受甲方对医疗服务内容和质量标准的监督。</w:t>
      </w:r>
    </w:p>
    <w:p w14:paraId="7822E63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4、合同依法解除、协商解除、单方解除或者期满终止时，</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应当按照有关规定和合同约定退出医疗服务，并按有关规定和合同约定办理移交手续。</w:t>
      </w:r>
    </w:p>
    <w:p w14:paraId="2452EC7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5、法律、法规规定的其他权利义务。</w:t>
      </w:r>
    </w:p>
    <w:p w14:paraId="4D30414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七、违约责任</w:t>
      </w:r>
    </w:p>
    <w:p w14:paraId="4499A3A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（一）甲乙双方必须遵守本合同并执行合同中的各项规定，保证本合同的正常履行。</w:t>
      </w:r>
    </w:p>
    <w:p w14:paraId="595E0727">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（二）由双方按《民法典》中的相关原则经平等协商后补充。</w:t>
      </w:r>
    </w:p>
    <w:p w14:paraId="0A8AA99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如因乙方工作人员在履行职务过程中的疏忽、失职、过错等故意或者过失原因给甲方造成损失或侵害，包括但不限于甲方本身的财产损失、由此而导致的甲方对任何第三方的法律责任等，乙方对此均应承担全部的赔偿及法律责任。</w:t>
      </w:r>
    </w:p>
    <w:p w14:paraId="586933D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未按合同要求提供服务或服务质量不能满足合同要求，甲方应当将乙方违约的情况以及拟采取的措施以书面形式报政府采购监管部门，根据政府采购监管部门的处理意见，甲方有权依据《民法典》及合同有关条款终止合同，并要求乙方承担违约责任。</w:t>
      </w:r>
    </w:p>
    <w:p w14:paraId="4AF6A29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八、不可抗力事件处理</w:t>
      </w:r>
    </w:p>
    <w:p w14:paraId="17C42E48">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（一）在合同有效期内，任何一方因不可抗力事件导致不能履行合同，则合同履行期可延长，其延长期与不可抗力影响期相同。</w:t>
      </w:r>
    </w:p>
    <w:p w14:paraId="30C02985">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（二）不可抗力事件发生后，应立即通知对方，并寄送有关权威机构出具的证明。</w:t>
      </w:r>
    </w:p>
    <w:p w14:paraId="0EB54E1F">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（三）不可抗力事件延续15个日历日以上，双方应通过友好协商，确定是否继续履行合同。</w:t>
      </w:r>
    </w:p>
    <w:p w14:paraId="425CE7E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九、合同的变更和终止</w:t>
      </w:r>
    </w:p>
    <w:p w14:paraId="126E73C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6C0A2EE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十、争议解决方式</w:t>
      </w:r>
    </w:p>
    <w:p w14:paraId="55BBABC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因履行本合同引起的或与本合同有关的争议，双方应首先通过友好协商解决，如果协商不能解决争议，则采取以下第</w:t>
      </w:r>
      <w:r>
        <w:rPr>
          <w:rFonts w:hint="eastAsia" w:ascii="仿宋" w:hAnsi="仿宋" w:eastAsia="仿宋" w:cs="仿宋"/>
          <w:color w:val="auto"/>
          <w:sz w:val="24"/>
          <w:szCs w:val="24"/>
          <w:highlight w:val="none"/>
          <w:lang w:val="en-US" w:eastAsia="zh-CN"/>
        </w:rPr>
        <w:t xml:space="preserve"> 1 </w:t>
      </w:r>
      <w:r>
        <w:rPr>
          <w:rFonts w:hint="eastAsia" w:ascii="仿宋" w:hAnsi="仿宋" w:eastAsia="仿宋" w:cs="仿宋"/>
          <w:color w:val="auto"/>
          <w:sz w:val="24"/>
          <w:szCs w:val="24"/>
          <w:highlight w:val="none"/>
        </w:rPr>
        <w:t>种方式解决争议：</w:t>
      </w:r>
    </w:p>
    <w:p w14:paraId="5B839A59">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（一）向采购人所在地有管辖权的人民法院提起诉讼；</w:t>
      </w:r>
    </w:p>
    <w:p w14:paraId="0DFA8B7C">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（二）向西安仲裁委员会按其仲裁规则申请仲裁。在仲裁期间，本合同应继续履行。</w:t>
      </w:r>
    </w:p>
    <w:p w14:paraId="69453BD6">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十一、合同生效及其他</w:t>
      </w:r>
    </w:p>
    <w:p w14:paraId="39C0AD2B">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（一）本合同自签订之日起生效。</w:t>
      </w:r>
    </w:p>
    <w:p w14:paraId="78CBF0D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（二）合同一式4份，采购人、</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sz w:val="24"/>
          <w:szCs w:val="24"/>
          <w:highlight w:val="none"/>
        </w:rPr>
        <w:t>供应商各持2份。</w:t>
      </w:r>
    </w:p>
    <w:p w14:paraId="5E6B3F9A">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（三）如本合同有未尽事宜，以</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lang w:val="en-US" w:eastAsia="zh-CN"/>
        </w:rPr>
        <w:t>和投标文件</w:t>
      </w:r>
      <w:r>
        <w:rPr>
          <w:rFonts w:hint="eastAsia" w:ascii="仿宋" w:hAnsi="仿宋" w:eastAsia="仿宋" w:cs="仿宋"/>
          <w:color w:val="auto"/>
          <w:sz w:val="24"/>
          <w:szCs w:val="24"/>
          <w:highlight w:val="none"/>
        </w:rPr>
        <w:t>为准，</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lang w:val="en-US" w:eastAsia="zh-CN"/>
        </w:rPr>
        <w:t>和投标文件</w:t>
      </w:r>
      <w:r>
        <w:rPr>
          <w:rFonts w:hint="eastAsia" w:ascii="仿宋" w:hAnsi="仿宋" w:eastAsia="仿宋" w:cs="仿宋"/>
          <w:color w:val="auto"/>
          <w:sz w:val="24"/>
          <w:szCs w:val="24"/>
          <w:highlight w:val="none"/>
        </w:rPr>
        <w:t>未做要求的，由双方依法订立补充合同。</w:t>
      </w:r>
    </w:p>
    <w:p w14:paraId="16A8880D">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十二、考核细则</w:t>
      </w:r>
    </w:p>
    <w:p w14:paraId="50CEE5F6">
      <w:pPr>
        <w:pStyle w:val="5"/>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具体考核细则详见附表：《医疗卫生专业化月度考核验收统计表》</w:t>
      </w:r>
      <w:r>
        <w:rPr>
          <w:rFonts w:hint="eastAsia" w:ascii="仿宋" w:hAnsi="仿宋" w:eastAsia="仿宋" w:cs="仿宋"/>
          <w:color w:val="auto"/>
          <w:sz w:val="24"/>
          <w:szCs w:val="24"/>
          <w:highlight w:val="none"/>
          <w:lang w:eastAsia="zh-CN"/>
        </w:rPr>
        <w:t>。</w:t>
      </w:r>
    </w:p>
    <w:p w14:paraId="19B1A2F0">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注：以上合同内容如有不足，经甲乙双方友好协商后进行细化、补充与修改，细化、补充与修改的内容不得改变合同实质性内容。</w:t>
      </w:r>
    </w:p>
    <w:p w14:paraId="4737F8EF">
      <w:pPr>
        <w:rPr>
          <w:rFonts w:hint="eastAsia" w:ascii="仿宋" w:hAnsi="仿宋" w:eastAsia="仿宋" w:cs="仿宋"/>
          <w:b/>
          <w:bCs/>
          <w:color w:val="auto"/>
          <w:sz w:val="24"/>
          <w:szCs w:val="24"/>
          <w:highlight w:val="none"/>
          <w:lang w:val="en-US" w:eastAsia="zh-CN"/>
        </w:rPr>
      </w:pPr>
    </w:p>
    <w:p w14:paraId="4C482B88">
      <w:pPr>
        <w:rPr>
          <w:rFonts w:hint="eastAsia" w:ascii="仿宋" w:hAnsi="仿宋" w:eastAsia="仿宋" w:cs="仿宋"/>
          <w:b/>
          <w:bCs/>
          <w:color w:val="auto"/>
          <w:sz w:val="24"/>
          <w:szCs w:val="24"/>
          <w:highlight w:val="none"/>
          <w:lang w:val="en-US" w:eastAsia="zh-CN"/>
        </w:rPr>
      </w:pPr>
    </w:p>
    <w:p w14:paraId="4AB30128">
      <w:pPr>
        <w:rPr>
          <w:rFonts w:hint="eastAsia" w:ascii="仿宋" w:hAnsi="仿宋" w:eastAsia="仿宋" w:cs="仿宋"/>
          <w:b/>
          <w:bCs/>
          <w:color w:val="auto"/>
          <w:sz w:val="24"/>
          <w:szCs w:val="24"/>
          <w:highlight w:val="none"/>
          <w:lang w:val="en-US" w:eastAsia="zh-CN"/>
        </w:rPr>
      </w:pPr>
    </w:p>
    <w:p w14:paraId="1FC9343E">
      <w:pPr>
        <w:rPr>
          <w:rFonts w:hint="eastAsia" w:ascii="仿宋" w:hAnsi="仿宋" w:eastAsia="仿宋" w:cs="仿宋"/>
          <w:b/>
          <w:bCs/>
          <w:color w:val="auto"/>
          <w:sz w:val="24"/>
          <w:szCs w:val="24"/>
          <w:highlight w:val="none"/>
          <w:lang w:val="en-US" w:eastAsia="zh-CN"/>
        </w:rPr>
      </w:pPr>
    </w:p>
    <w:p w14:paraId="4CC9FFDE">
      <w:pPr>
        <w:rPr>
          <w:rFonts w:hint="eastAsia" w:ascii="仿宋" w:hAnsi="仿宋" w:eastAsia="仿宋" w:cs="仿宋"/>
          <w:b/>
          <w:bCs/>
          <w:color w:val="auto"/>
          <w:sz w:val="24"/>
          <w:szCs w:val="24"/>
          <w:highlight w:val="none"/>
          <w:lang w:val="en-US" w:eastAsia="zh-CN"/>
        </w:rPr>
      </w:pPr>
    </w:p>
    <w:p w14:paraId="55534913">
      <w:pPr>
        <w:rPr>
          <w:rFonts w:hint="eastAsia" w:ascii="仿宋" w:hAnsi="仿宋" w:eastAsia="仿宋" w:cs="仿宋"/>
          <w:b/>
          <w:bCs/>
          <w:color w:val="auto"/>
          <w:sz w:val="24"/>
          <w:szCs w:val="24"/>
          <w:highlight w:val="none"/>
          <w:lang w:val="en-US" w:eastAsia="zh-CN"/>
        </w:rPr>
      </w:pPr>
    </w:p>
    <w:p w14:paraId="6C83218A">
      <w:pPr>
        <w:rPr>
          <w:rFonts w:hint="eastAsia" w:ascii="仿宋" w:hAnsi="仿宋" w:eastAsia="仿宋" w:cs="仿宋"/>
          <w:b/>
          <w:bCs/>
          <w:color w:val="auto"/>
          <w:sz w:val="24"/>
          <w:szCs w:val="24"/>
          <w:highlight w:val="none"/>
          <w:lang w:val="en-US" w:eastAsia="zh-CN"/>
        </w:rPr>
      </w:pPr>
    </w:p>
    <w:p w14:paraId="1473BFE2">
      <w:pPr>
        <w:rPr>
          <w:rFonts w:hint="eastAsia" w:ascii="仿宋" w:hAnsi="仿宋" w:eastAsia="仿宋" w:cs="仿宋"/>
          <w:b/>
          <w:bCs/>
          <w:color w:val="auto"/>
          <w:sz w:val="24"/>
          <w:szCs w:val="24"/>
          <w:highlight w:val="none"/>
          <w:lang w:val="en-US" w:eastAsia="zh-CN"/>
        </w:rPr>
      </w:pPr>
    </w:p>
    <w:p w14:paraId="31D08D02">
      <w:pPr>
        <w:rPr>
          <w:rFonts w:hint="eastAsia" w:ascii="仿宋" w:hAnsi="仿宋" w:eastAsia="仿宋" w:cs="仿宋"/>
          <w:b/>
          <w:bCs/>
          <w:color w:val="auto"/>
          <w:sz w:val="24"/>
          <w:szCs w:val="24"/>
          <w:highlight w:val="none"/>
          <w:lang w:val="en-US" w:eastAsia="zh-CN"/>
        </w:rPr>
      </w:pPr>
    </w:p>
    <w:p w14:paraId="7B0A9D6F">
      <w:pPr>
        <w:rPr>
          <w:rFonts w:hint="eastAsia" w:ascii="仿宋" w:hAnsi="仿宋" w:eastAsia="仿宋" w:cs="仿宋"/>
          <w:b/>
          <w:bCs/>
          <w:color w:val="auto"/>
          <w:sz w:val="24"/>
          <w:szCs w:val="24"/>
          <w:highlight w:val="none"/>
          <w:lang w:val="en-US" w:eastAsia="zh-CN"/>
        </w:rPr>
      </w:pPr>
    </w:p>
    <w:p w14:paraId="4E63092B">
      <w:pPr>
        <w:rPr>
          <w:rFonts w:hint="eastAsia" w:ascii="仿宋" w:hAnsi="仿宋" w:eastAsia="仿宋" w:cs="仿宋"/>
          <w:b/>
          <w:bCs/>
          <w:color w:val="auto"/>
          <w:sz w:val="24"/>
          <w:szCs w:val="24"/>
          <w:highlight w:val="none"/>
          <w:lang w:val="en-US" w:eastAsia="zh-CN"/>
        </w:rPr>
      </w:pPr>
    </w:p>
    <w:p w14:paraId="5ED38D1B">
      <w:pPr>
        <w:rPr>
          <w:rFonts w:hint="eastAsia" w:ascii="仿宋" w:hAnsi="仿宋" w:eastAsia="仿宋" w:cs="仿宋"/>
          <w:b/>
          <w:bCs/>
          <w:color w:val="auto"/>
          <w:sz w:val="24"/>
          <w:szCs w:val="24"/>
          <w:highlight w:val="none"/>
          <w:lang w:val="en-US" w:eastAsia="zh-CN"/>
        </w:rPr>
      </w:pPr>
    </w:p>
    <w:p w14:paraId="334970AA">
      <w:pPr>
        <w:rPr>
          <w:rFonts w:hint="eastAsia" w:ascii="仿宋" w:hAnsi="仿宋" w:eastAsia="仿宋" w:cs="仿宋"/>
          <w:b/>
          <w:bCs/>
          <w:color w:val="auto"/>
          <w:sz w:val="24"/>
          <w:szCs w:val="24"/>
          <w:highlight w:val="none"/>
          <w:lang w:val="en-US" w:eastAsia="zh-CN"/>
        </w:rPr>
      </w:pPr>
    </w:p>
    <w:p w14:paraId="59187E7F">
      <w:pPr>
        <w:rPr>
          <w:rFonts w:hint="eastAsia" w:ascii="仿宋" w:hAnsi="仿宋" w:eastAsia="仿宋" w:cs="仿宋"/>
          <w:b/>
          <w:bCs/>
          <w:color w:val="auto"/>
          <w:sz w:val="24"/>
          <w:szCs w:val="24"/>
          <w:highlight w:val="none"/>
          <w:lang w:val="en-US" w:eastAsia="zh-CN"/>
        </w:rPr>
      </w:pPr>
    </w:p>
    <w:p w14:paraId="53FAC798">
      <w:pPr>
        <w:rPr>
          <w:rFonts w:hint="eastAsia" w:ascii="仿宋" w:hAnsi="仿宋" w:eastAsia="仿宋" w:cs="仿宋"/>
          <w:b/>
          <w:bCs/>
          <w:color w:val="auto"/>
          <w:sz w:val="24"/>
          <w:szCs w:val="24"/>
          <w:highlight w:val="none"/>
          <w:lang w:val="en-US" w:eastAsia="zh-CN"/>
        </w:rPr>
      </w:pPr>
    </w:p>
    <w:p w14:paraId="3D70DB69">
      <w:pPr>
        <w:pStyle w:val="5"/>
        <w:spacing w:line="240" w:lineRule="auto"/>
        <w:ind w:firstLine="643" w:firstLineChars="200"/>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医疗卫生专业化服务项目（</w:t>
      </w:r>
      <w:r>
        <w:rPr>
          <w:rFonts w:hint="eastAsia" w:ascii="仿宋" w:hAnsi="仿宋" w:eastAsia="仿宋" w:cs="仿宋"/>
          <w:b/>
          <w:bCs/>
          <w:color w:val="auto"/>
          <w:sz w:val="32"/>
          <w:szCs w:val="32"/>
          <w:highlight w:val="none"/>
          <w:lang w:val="en-US" w:eastAsia="zh-CN"/>
        </w:rPr>
        <w:t>包3</w:t>
      </w:r>
      <w:r>
        <w:rPr>
          <w:rFonts w:hint="eastAsia" w:ascii="仿宋" w:hAnsi="仿宋" w:eastAsia="仿宋" w:cs="仿宋"/>
          <w:b/>
          <w:bCs/>
          <w:color w:val="auto"/>
          <w:sz w:val="32"/>
          <w:szCs w:val="32"/>
          <w:highlight w:val="none"/>
          <w:lang w:eastAsia="zh-CN"/>
        </w:rPr>
        <w:t>）</w:t>
      </w:r>
    </w:p>
    <w:p w14:paraId="1F321C18">
      <w:pPr>
        <w:pStyle w:val="5"/>
        <w:spacing w:line="240" w:lineRule="auto"/>
        <w:ind w:firstLine="643" w:firstLineChars="200"/>
        <w:jc w:val="center"/>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拟签订合同主要条款</w:t>
      </w:r>
    </w:p>
    <w:p w14:paraId="28FFC52B">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一、服务条件</w:t>
      </w:r>
    </w:p>
    <w:p w14:paraId="0799B1FD">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（一）服务地点：采购人指定地点。</w:t>
      </w:r>
    </w:p>
    <w:p w14:paraId="5C6D64BF">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（二）服务期：12个月，以双方签订合同时约定的起止时间为准。</w:t>
      </w:r>
    </w:p>
    <w:p w14:paraId="3BF4119F">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二、项目预算</w:t>
      </w:r>
    </w:p>
    <w:p w14:paraId="4026D692">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合同价款为大写：人民币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元（¥：</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p>
    <w:p w14:paraId="01945C5B">
      <w:pPr>
        <w:pStyle w:val="5"/>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w:t>
      </w:r>
    </w:p>
    <w:p w14:paraId="004D24D9">
      <w:pPr>
        <w:pStyle w:val="5"/>
        <w:spacing w:line="360" w:lineRule="auto"/>
        <w:ind w:firstLine="480" w:firstLineChars="200"/>
        <w:rPr>
          <w:rFonts w:hint="eastAsia" w:ascii="仿宋" w:hAnsi="仿宋" w:eastAsia="仿宋" w:cs="仿宋"/>
          <w:color w:val="auto"/>
          <w:sz w:val="24"/>
          <w:szCs w:val="24"/>
          <w:highlight w:val="none"/>
          <w:lang w:val="en-US" w:eastAsia="zh-CN"/>
        </w:rPr>
      </w:pPr>
    </w:p>
    <w:tbl>
      <w:tblPr>
        <w:tblStyle w:val="3"/>
        <w:tblW w:w="57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713"/>
        <w:gridCol w:w="1146"/>
        <w:gridCol w:w="1337"/>
        <w:gridCol w:w="1191"/>
        <w:gridCol w:w="1191"/>
        <w:gridCol w:w="1286"/>
        <w:gridCol w:w="1209"/>
      </w:tblGrid>
      <w:tr w14:paraId="334F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8" w:type="pct"/>
            <w:noWrap w:val="0"/>
            <w:vAlign w:val="center"/>
          </w:tcPr>
          <w:p w14:paraId="02090265">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68" w:type="pct"/>
            <w:noWrap w:val="0"/>
            <w:vAlign w:val="center"/>
          </w:tcPr>
          <w:p w14:paraId="68686C2D">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报价内容（岗位）</w:t>
            </w:r>
          </w:p>
        </w:tc>
        <w:tc>
          <w:tcPr>
            <w:tcW w:w="581" w:type="pct"/>
            <w:noWrap w:val="0"/>
            <w:vAlign w:val="center"/>
          </w:tcPr>
          <w:p w14:paraId="3C6D7417">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数量（单位：人）</w:t>
            </w:r>
          </w:p>
        </w:tc>
        <w:tc>
          <w:tcPr>
            <w:tcW w:w="678" w:type="pct"/>
            <w:noWrap w:val="0"/>
            <w:vAlign w:val="center"/>
          </w:tcPr>
          <w:p w14:paraId="0B91508D">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月度报价（元/人）</w:t>
            </w:r>
          </w:p>
        </w:tc>
        <w:tc>
          <w:tcPr>
            <w:tcW w:w="604" w:type="pct"/>
            <w:noWrap w:val="0"/>
            <w:vAlign w:val="center"/>
          </w:tcPr>
          <w:p w14:paraId="4228D89F">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月度小计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04" w:type="pct"/>
            <w:noWrap w:val="0"/>
            <w:vAlign w:val="center"/>
          </w:tcPr>
          <w:p w14:paraId="4219EEAC">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服务期限</w:t>
            </w:r>
          </w:p>
        </w:tc>
        <w:tc>
          <w:tcPr>
            <w:tcW w:w="652" w:type="pct"/>
            <w:noWrap w:val="0"/>
            <w:vAlign w:val="center"/>
          </w:tcPr>
          <w:p w14:paraId="3F8501C1">
            <w:pPr>
              <w:shd w:val="clear" w:color="auto" w:fill="auto"/>
              <w:adjustRightInd w:val="0"/>
              <w:snapToGrid w:val="0"/>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年度</w:t>
            </w:r>
            <w:r>
              <w:rPr>
                <w:rFonts w:hint="eastAsia" w:ascii="仿宋" w:hAnsi="仿宋" w:eastAsia="仿宋" w:cs="仿宋"/>
                <w:color w:val="auto"/>
                <w:sz w:val="24"/>
                <w:highlight w:val="none"/>
              </w:rPr>
              <w:t>小计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612" w:type="pct"/>
            <w:noWrap w:val="0"/>
            <w:vAlign w:val="center"/>
          </w:tcPr>
          <w:p w14:paraId="36911440">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6D0E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8" w:type="pct"/>
            <w:noWrap w:val="0"/>
            <w:vAlign w:val="center"/>
          </w:tcPr>
          <w:p w14:paraId="7C1175E8">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868" w:type="pct"/>
            <w:shd w:val="clear" w:color="auto" w:fill="auto"/>
            <w:noWrap w:val="0"/>
            <w:vAlign w:val="center"/>
          </w:tcPr>
          <w:p w14:paraId="3C452952">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文职/医技</w:t>
            </w:r>
          </w:p>
        </w:tc>
        <w:tc>
          <w:tcPr>
            <w:tcW w:w="581" w:type="pct"/>
            <w:noWrap w:val="0"/>
            <w:vAlign w:val="top"/>
          </w:tcPr>
          <w:p w14:paraId="569DA8B4">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p>
        </w:tc>
        <w:tc>
          <w:tcPr>
            <w:tcW w:w="678" w:type="pct"/>
            <w:noWrap w:val="0"/>
            <w:vAlign w:val="center"/>
          </w:tcPr>
          <w:p w14:paraId="28A2B1C3">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044AA814">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restart"/>
            <w:noWrap w:val="0"/>
            <w:vAlign w:val="center"/>
          </w:tcPr>
          <w:p w14:paraId="2010753C">
            <w:pPr>
              <w:shd w:val="clear" w:color="auto" w:fill="auto"/>
              <w:adjustRightInd w:val="0"/>
              <w:snapToGrid w:val="0"/>
              <w:spacing w:line="360"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12个月</w:t>
            </w:r>
          </w:p>
        </w:tc>
        <w:tc>
          <w:tcPr>
            <w:tcW w:w="652" w:type="pct"/>
            <w:noWrap w:val="0"/>
            <w:vAlign w:val="center"/>
          </w:tcPr>
          <w:p w14:paraId="632903A5">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2" w:type="pct"/>
            <w:noWrap w:val="0"/>
            <w:vAlign w:val="center"/>
          </w:tcPr>
          <w:p w14:paraId="00C5DB99">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5C25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98" w:type="pct"/>
            <w:noWrap w:val="0"/>
            <w:vAlign w:val="center"/>
          </w:tcPr>
          <w:p w14:paraId="361BF1D6">
            <w:pPr>
              <w:numPr>
                <w:ilvl w:val="0"/>
                <w:numId w:val="0"/>
              </w:numPr>
              <w:shd w:val="clear" w:color="auto" w:fill="auto"/>
              <w:adjustRightInd w:val="0"/>
              <w:snapToGrid w:val="0"/>
              <w:spacing w:line="360" w:lineRule="auto"/>
              <w:ind w:left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868" w:type="pct"/>
            <w:shd w:val="clear" w:color="auto" w:fill="auto"/>
            <w:noWrap w:val="0"/>
            <w:vAlign w:val="top"/>
          </w:tcPr>
          <w:p w14:paraId="63C1F8C0">
            <w:pPr>
              <w:shd w:val="clear" w:color="auto" w:fill="auto"/>
              <w:adjustRightInd w:val="0"/>
              <w:snapToGrid w:val="0"/>
              <w:spacing w:line="360" w:lineRule="auto"/>
              <w:jc w:val="left"/>
              <w:rPr>
                <w:rFonts w:hint="eastAsia" w:ascii="仿宋" w:hAnsi="仿宋" w:eastAsia="仿宋" w:cs="仿宋"/>
                <w:color w:val="auto"/>
                <w:sz w:val="24"/>
                <w:highlight w:val="none"/>
                <w:lang w:val="en-US" w:eastAsia="zh-Hans"/>
              </w:rPr>
            </w:pPr>
            <w:r>
              <w:rPr>
                <w:rFonts w:hint="eastAsia" w:ascii="仿宋" w:hAnsi="仿宋" w:eastAsia="仿宋" w:cs="仿宋"/>
                <w:color w:val="auto"/>
                <w:sz w:val="24"/>
                <w:highlight w:val="none"/>
                <w:lang w:val="en-US" w:eastAsia="zh-Hans"/>
              </w:rPr>
              <w:t>勤务/医疗护理员</w:t>
            </w:r>
          </w:p>
        </w:tc>
        <w:tc>
          <w:tcPr>
            <w:tcW w:w="581" w:type="pct"/>
            <w:shd w:val="clear" w:color="auto" w:fill="auto"/>
            <w:noWrap w:val="0"/>
            <w:vAlign w:val="top"/>
          </w:tcPr>
          <w:p w14:paraId="2F1A8D67">
            <w:pPr>
              <w:shd w:val="clear" w:color="auto" w:fill="auto"/>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16</w:t>
            </w:r>
          </w:p>
        </w:tc>
        <w:tc>
          <w:tcPr>
            <w:tcW w:w="678" w:type="pct"/>
            <w:noWrap w:val="0"/>
            <w:vAlign w:val="center"/>
          </w:tcPr>
          <w:p w14:paraId="5382207D">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noWrap w:val="0"/>
            <w:vAlign w:val="center"/>
          </w:tcPr>
          <w:p w14:paraId="5B313F6F">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04" w:type="pct"/>
            <w:vMerge w:val="continue"/>
            <w:noWrap w:val="0"/>
            <w:vAlign w:val="center"/>
          </w:tcPr>
          <w:p w14:paraId="4FE8C027">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52" w:type="pct"/>
            <w:noWrap w:val="0"/>
            <w:vAlign w:val="center"/>
          </w:tcPr>
          <w:p w14:paraId="77188093">
            <w:pPr>
              <w:shd w:val="clear" w:color="auto" w:fill="auto"/>
              <w:adjustRightInd w:val="0"/>
              <w:snapToGrid w:val="0"/>
              <w:spacing w:line="360" w:lineRule="auto"/>
              <w:jc w:val="left"/>
              <w:rPr>
                <w:rFonts w:hint="eastAsia" w:ascii="仿宋" w:hAnsi="仿宋" w:eastAsia="仿宋" w:cs="仿宋"/>
                <w:color w:val="auto"/>
                <w:sz w:val="24"/>
                <w:highlight w:val="none"/>
              </w:rPr>
            </w:pPr>
          </w:p>
        </w:tc>
        <w:tc>
          <w:tcPr>
            <w:tcW w:w="612" w:type="pct"/>
            <w:noWrap w:val="0"/>
            <w:vAlign w:val="center"/>
          </w:tcPr>
          <w:p w14:paraId="049074AA">
            <w:pPr>
              <w:shd w:val="clear" w:color="auto" w:fill="auto"/>
              <w:adjustRightInd w:val="0"/>
              <w:snapToGrid w:val="0"/>
              <w:spacing w:line="360" w:lineRule="auto"/>
              <w:jc w:val="left"/>
              <w:rPr>
                <w:rFonts w:hint="eastAsia" w:ascii="仿宋" w:hAnsi="仿宋" w:eastAsia="仿宋" w:cs="仿宋"/>
                <w:color w:val="auto"/>
                <w:sz w:val="24"/>
                <w:highlight w:val="none"/>
              </w:rPr>
            </w:pPr>
          </w:p>
        </w:tc>
      </w:tr>
      <w:tr w14:paraId="7FFC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67" w:type="pct"/>
            <w:gridSpan w:val="2"/>
            <w:noWrap w:val="0"/>
            <w:vAlign w:val="center"/>
          </w:tcPr>
          <w:p w14:paraId="750317E2">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合计金额</w:t>
            </w:r>
          </w:p>
        </w:tc>
        <w:tc>
          <w:tcPr>
            <w:tcW w:w="3732" w:type="pct"/>
            <w:gridSpan w:val="6"/>
            <w:noWrap w:val="0"/>
            <w:vAlign w:val="top"/>
          </w:tcPr>
          <w:p w14:paraId="5CCCB3FE">
            <w:pPr>
              <w:shd w:val="clear" w:color="auto" w:fill="auto"/>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tc>
      </w:tr>
    </w:tbl>
    <w:p w14:paraId="1743FC5F">
      <w:pPr>
        <w:pStyle w:val="5"/>
        <w:spacing w:line="360" w:lineRule="auto"/>
        <w:ind w:firstLine="480" w:firstLineChars="200"/>
        <w:rPr>
          <w:rFonts w:hint="eastAsia" w:ascii="仿宋" w:hAnsi="仿宋" w:eastAsia="仿宋" w:cs="仿宋"/>
          <w:color w:val="auto"/>
          <w:sz w:val="24"/>
          <w:szCs w:val="24"/>
          <w:highlight w:val="none"/>
          <w:lang w:val="en-US" w:eastAsia="zh-CN"/>
        </w:rPr>
      </w:pPr>
    </w:p>
    <w:p w14:paraId="1A242CEE">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价款包括人员薪酬、社会保险、延时加班费、双休加班费、法定节假日加班费、遇突发重大应急加班费、人员食宿、制服、寝具、通讯设备、值班登记等用具用品费用;法定税费；合理利润等一切费用。</w:t>
      </w:r>
      <w:r>
        <w:rPr>
          <w:rFonts w:hint="eastAsia" w:ascii="仿宋" w:hAnsi="仿宋" w:eastAsia="仿宋" w:cs="仿宋"/>
          <w:color w:val="auto"/>
          <w:sz w:val="24"/>
          <w:szCs w:val="24"/>
          <w:highlight w:val="none"/>
          <w:lang w:val="en-US" w:eastAsia="zh-CN"/>
        </w:rPr>
        <w:t>服务期内人员单价不变</w:t>
      </w:r>
      <w:r>
        <w:rPr>
          <w:rFonts w:hint="eastAsia" w:ascii="仿宋" w:hAnsi="仿宋" w:eastAsia="仿宋" w:cs="仿宋"/>
          <w:color w:val="auto"/>
          <w:sz w:val="24"/>
          <w:szCs w:val="24"/>
          <w:highlight w:val="none"/>
        </w:rPr>
        <w:t>，不受市场价格变化因素的影响。</w:t>
      </w:r>
    </w:p>
    <w:p w14:paraId="567134B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三、款项结算</w:t>
      </w:r>
    </w:p>
    <w:p w14:paraId="75F67410">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（一）甲方按</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rPr>
        <w:t>支付服务费。甲方</w:t>
      </w:r>
      <w:r>
        <w:rPr>
          <w:rFonts w:hint="eastAsia" w:ascii="仿宋" w:hAnsi="仿宋" w:eastAsia="仿宋" w:cs="仿宋"/>
          <w:color w:val="auto"/>
          <w:sz w:val="24"/>
          <w:szCs w:val="24"/>
          <w:highlight w:val="none"/>
          <w:lang w:val="en-US" w:eastAsia="zh-CN"/>
        </w:rPr>
        <w:t>核对</w:t>
      </w:r>
      <w:r>
        <w:rPr>
          <w:rFonts w:hint="eastAsia" w:ascii="仿宋" w:hAnsi="仿宋" w:eastAsia="仿宋" w:cs="仿宋"/>
          <w:color w:val="auto"/>
          <w:sz w:val="24"/>
          <w:szCs w:val="24"/>
          <w:highlight w:val="none"/>
        </w:rPr>
        <w:t>完成后15个工作日内支付，乙方应于付款前向甲方提供增值税普通发票。</w:t>
      </w:r>
    </w:p>
    <w:p w14:paraId="1D037DF4">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（二）支付方式：银行转账。</w:t>
      </w:r>
    </w:p>
    <w:p w14:paraId="2070F2D7">
      <w:pPr>
        <w:pStyle w:val="5"/>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（三）结算方式：本项目</w:t>
      </w:r>
      <w:r>
        <w:rPr>
          <w:rFonts w:hint="eastAsia" w:ascii="仿宋" w:hAnsi="仿宋" w:eastAsia="仿宋" w:cs="仿宋"/>
          <w:color w:val="auto"/>
          <w:sz w:val="24"/>
          <w:szCs w:val="24"/>
          <w:highlight w:val="none"/>
          <w:lang w:val="en-US" w:eastAsia="zh-CN"/>
        </w:rPr>
        <w:t>服务费按月度支付，所需</w:t>
      </w:r>
      <w:r>
        <w:rPr>
          <w:rFonts w:hint="eastAsia" w:ascii="仿宋" w:hAnsi="仿宋" w:eastAsia="仿宋" w:cs="仿宋"/>
          <w:color w:val="auto"/>
          <w:sz w:val="24"/>
          <w:szCs w:val="24"/>
          <w:highlight w:val="none"/>
        </w:rPr>
        <w:t>岗位人数为预计数量，最终结算以实际用工人数和各岗位工种报价据实进行结算</w:t>
      </w:r>
      <w:r>
        <w:rPr>
          <w:rFonts w:hint="eastAsia" w:ascii="仿宋" w:hAnsi="仿宋" w:eastAsia="仿宋" w:cs="仿宋"/>
          <w:color w:val="auto"/>
          <w:sz w:val="24"/>
          <w:szCs w:val="24"/>
          <w:highlight w:val="none"/>
          <w:lang w:eastAsia="zh-CN"/>
        </w:rPr>
        <w:t>。</w:t>
      </w:r>
    </w:p>
    <w:p w14:paraId="5E4DA788">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供应商持</w:t>
      </w:r>
      <w:r>
        <w:rPr>
          <w:rFonts w:hint="eastAsia" w:ascii="仿宋" w:hAnsi="仿宋" w:eastAsia="仿宋" w:cs="仿宋"/>
          <w:color w:val="auto"/>
          <w:sz w:val="24"/>
          <w:szCs w:val="24"/>
          <w:highlight w:val="none"/>
          <w:lang w:eastAsia="zh-CN"/>
        </w:rPr>
        <w:t>中标通知书</w:t>
      </w:r>
      <w:r>
        <w:rPr>
          <w:rFonts w:hint="eastAsia" w:ascii="仿宋" w:hAnsi="仿宋" w:eastAsia="仿宋" w:cs="仿宋"/>
          <w:color w:val="auto"/>
          <w:sz w:val="24"/>
          <w:szCs w:val="24"/>
          <w:highlight w:val="none"/>
        </w:rPr>
        <w:t>、服务合同、正式发票，与采购人</w:t>
      </w:r>
      <w:r>
        <w:rPr>
          <w:rFonts w:hint="eastAsia" w:ascii="仿宋" w:hAnsi="仿宋" w:eastAsia="仿宋" w:cs="仿宋"/>
          <w:color w:val="auto"/>
          <w:sz w:val="24"/>
          <w:szCs w:val="24"/>
          <w:highlight w:val="none"/>
          <w:lang w:val="en-US" w:eastAsia="zh-CN"/>
        </w:rPr>
        <w:t>按月</w:t>
      </w:r>
      <w:r>
        <w:rPr>
          <w:rFonts w:hint="eastAsia" w:ascii="仿宋" w:hAnsi="仿宋" w:eastAsia="仿宋" w:cs="仿宋"/>
          <w:color w:val="auto"/>
          <w:sz w:val="24"/>
          <w:szCs w:val="24"/>
          <w:highlight w:val="none"/>
        </w:rPr>
        <w:t>结算。</w:t>
      </w:r>
    </w:p>
    <w:p w14:paraId="2988149A">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工资发放与核对要求</w:t>
      </w:r>
    </w:p>
    <w:p w14:paraId="40269875">
      <w:pPr>
        <w:pStyle w:val="5"/>
        <w:spacing w:line="360" w:lineRule="auto"/>
        <w:ind w:firstLine="482" w:firstLineChars="200"/>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val="en-US" w:eastAsia="zh-CN"/>
        </w:rPr>
        <w:t>甲方有权监督供应商如实、足额向拟派</w:t>
      </w:r>
      <w:r>
        <w:rPr>
          <w:rFonts w:hint="eastAsia" w:ascii="仿宋" w:hAnsi="仿宋" w:eastAsia="仿宋" w:cs="仿宋"/>
          <w:b/>
          <w:bCs/>
          <w:sz w:val="24"/>
          <w:szCs w:val="24"/>
          <w:highlight w:val="none"/>
          <w:lang w:eastAsia="zh-CN"/>
        </w:rPr>
        <w:commentReference w:id="0"/>
      </w:r>
      <w:r>
        <w:rPr>
          <w:rFonts w:hint="eastAsia" w:ascii="仿宋" w:hAnsi="仿宋" w:eastAsia="仿宋" w:cs="仿宋"/>
          <w:b/>
          <w:bCs/>
          <w:sz w:val="24"/>
          <w:szCs w:val="24"/>
          <w:highlight w:val="none"/>
          <w:lang w:val="en-US" w:eastAsia="zh-CN"/>
        </w:rPr>
        <w:t>人员支付劳动报酬。</w:t>
      </w:r>
    </w:p>
    <w:p w14:paraId="223E7801">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lang w:val="en-US" w:eastAsia="zh-CN"/>
        </w:rPr>
        <w:t>工资备案前置程序​</w:t>
      </w:r>
    </w:p>
    <w:p w14:paraId="361A7E9E">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须在每一工资发放周期开始前不少于5个工作日，向甲方提交拟发放工资明细（含人员姓名、身份证号后四位、应发工资、社保个人承担部分、实发金额等），报甲方审核备案。未经甲方备案的工资发放方案不得执行。</w:t>
      </w:r>
    </w:p>
    <w:p w14:paraId="6CFD12FD">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lang w:val="en-US" w:eastAsia="zh-CN"/>
        </w:rPr>
        <w:t>工资发放真实性要求</w:t>
      </w:r>
    </w:p>
    <w:p w14:paraId="707CBC88">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须通过本单位银行账户，以银行代发方式向拟派人员支付工资，不得通过现金、个人账户、第三方平台或其他变相方式发放。工资标准不得低于甲方核定标准，不得擅自扣减、克扣、抵扣任何款项，法律明确规定可由个人承担的社保、个税除外。</w:t>
      </w:r>
    </w:p>
    <w:p w14:paraId="3E1AE04B">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lang w:val="en-US" w:eastAsia="zh-CN"/>
        </w:rPr>
        <w:t>工资流水核对与留存​</w:t>
      </w:r>
    </w:p>
    <w:p w14:paraId="7444EEBC">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工资发放完成后 5个工作日内，乙方须向甲方提交该批次工资的银行代发回单、工资发放台账等资料，供甲方核对。甲方有权对发放金额、发放对象、到账情况予以核验，发现不符的，有权要求乙方限期补足差额并承担违约责任。</w:t>
      </w:r>
    </w:p>
    <w:p w14:paraId="649F0833">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lang w:val="en-US" w:eastAsia="zh-CN"/>
        </w:rPr>
        <w:t>禁止随意扣减​</w:t>
      </w:r>
    </w:p>
    <w:p w14:paraId="03B9BDA3">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不得以任何名义（包括但不限于“管理费”“服务费”“违约金”“借支抵扣”等）扣减甲方核定给人员的工资。仅法定代扣项目（个人所得税、社会保险个人缴费部分）可作扣除，且须在备案明细中单独列示。</w:t>
      </w:r>
    </w:p>
    <w:p w14:paraId="1858661B">
      <w:pPr>
        <w:pStyle w:val="5"/>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相关责任​</w:t>
      </w:r>
    </w:p>
    <w:p w14:paraId="7CA5459B">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乙方违反本条任一规定的，甲方有权直接从应付服务费中直接扣减相应款项，并追究乙方违约责任；情节严重的，有权单方解除合同。</w:t>
      </w:r>
    </w:p>
    <w:p w14:paraId="6F45BA46">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lang w:eastAsia="zh-CN"/>
        </w:rPr>
        <w:t>、质量保证</w:t>
      </w:r>
    </w:p>
    <w:p w14:paraId="419222A4">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（一）乙方应提供详细的服务标准和服务承诺，服务标准应当符合国家、行业和地方相关医疗服务标准。</w:t>
      </w:r>
    </w:p>
    <w:p w14:paraId="5ACFD377">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（二）在服务期限内，遵循零干扰服务。乙方不得干扰或阻碍甲方对该办公区域和公共区域的正常使用。</w:t>
      </w:r>
    </w:p>
    <w:p w14:paraId="02E83C32">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（三）乙方在提供医疗服务时因组织、医疗护理处（救）治、药物使用不当或未尽义务，导致甲方或第三方人身损害或财产损失的，应承担全部责任和费用。</w:t>
      </w:r>
    </w:p>
    <w:p w14:paraId="5C95851B">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（四）乙方应严格履行投标文件中的承诺，不得随意减少，投标文件为本合同组成内容的一部分，同样具备合同效力。</w:t>
      </w:r>
    </w:p>
    <w:p w14:paraId="3C900593">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六</w:t>
      </w:r>
      <w:r>
        <w:rPr>
          <w:rFonts w:hint="eastAsia" w:ascii="仿宋" w:hAnsi="仿宋" w:eastAsia="仿宋" w:cs="仿宋"/>
          <w:sz w:val="24"/>
          <w:szCs w:val="24"/>
          <w:highlight w:val="none"/>
          <w:lang w:eastAsia="zh-CN"/>
        </w:rPr>
        <w:t>、服务内容、标准及履约验收</w:t>
      </w:r>
    </w:p>
    <w:p w14:paraId="62DEC947">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（一）服务内容和</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lang w:eastAsia="zh-CN"/>
        </w:rPr>
        <w:t>标准以甲方采购文件</w:t>
      </w:r>
      <w:r>
        <w:rPr>
          <w:rFonts w:hint="eastAsia" w:ascii="仿宋" w:hAnsi="仿宋" w:eastAsia="仿宋" w:cs="仿宋"/>
          <w:sz w:val="24"/>
          <w:szCs w:val="24"/>
          <w:highlight w:val="none"/>
          <w:lang w:val="en-US" w:eastAsia="zh-CN"/>
        </w:rPr>
        <w:t>及相关附件</w:t>
      </w:r>
      <w:r>
        <w:rPr>
          <w:rFonts w:hint="eastAsia" w:ascii="仿宋" w:hAnsi="仿宋" w:eastAsia="仿宋" w:cs="仿宋"/>
          <w:sz w:val="24"/>
          <w:szCs w:val="24"/>
          <w:highlight w:val="none"/>
          <w:lang w:eastAsia="zh-CN"/>
        </w:rPr>
        <w:t>为准。</w:t>
      </w:r>
    </w:p>
    <w:p w14:paraId="744E0F18">
      <w:pPr>
        <w:pStyle w:val="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（二）履约验收：甲方根据</w:t>
      </w:r>
      <w:r>
        <w:rPr>
          <w:rFonts w:hint="eastAsia" w:ascii="仿宋" w:hAnsi="仿宋" w:eastAsia="仿宋" w:cs="仿宋"/>
          <w:color w:val="auto"/>
          <w:sz w:val="24"/>
          <w:szCs w:val="24"/>
          <w:highlight w:val="none"/>
          <w:lang w:val="en-US" w:eastAsia="zh-CN"/>
        </w:rPr>
        <w:t>招标文件、投标文件</w:t>
      </w:r>
      <w:r>
        <w:rPr>
          <w:rFonts w:hint="eastAsia" w:ascii="仿宋" w:hAnsi="仿宋" w:eastAsia="仿宋" w:cs="仿宋"/>
          <w:color w:val="auto"/>
          <w:sz w:val="24"/>
          <w:szCs w:val="24"/>
          <w:highlight w:val="none"/>
        </w:rPr>
        <w:t>和合同约定，</w:t>
      </w:r>
      <w:r>
        <w:rPr>
          <w:rFonts w:hint="eastAsia" w:ascii="仿宋" w:hAnsi="仿宋" w:eastAsia="仿宋" w:cs="仿宋"/>
          <w:color w:val="auto"/>
          <w:sz w:val="24"/>
          <w:szCs w:val="24"/>
          <w:highlight w:val="none"/>
          <w:lang w:val="en-US" w:eastAsia="zh-CN"/>
        </w:rPr>
        <w:t>按季度</w:t>
      </w:r>
      <w:r>
        <w:rPr>
          <w:rFonts w:hint="eastAsia" w:ascii="仿宋" w:hAnsi="仿宋" w:eastAsia="仿宋" w:cs="仿宋"/>
          <w:color w:val="auto"/>
          <w:sz w:val="24"/>
          <w:szCs w:val="24"/>
          <w:highlight w:val="none"/>
        </w:rPr>
        <w:t>组织验收小组</w:t>
      </w:r>
      <w:r>
        <w:rPr>
          <w:rFonts w:hint="eastAsia" w:ascii="仿宋" w:hAnsi="仿宋" w:eastAsia="仿宋" w:cs="仿宋"/>
          <w:color w:val="auto"/>
          <w:sz w:val="24"/>
          <w:szCs w:val="24"/>
          <w:highlight w:val="none"/>
          <w:lang w:val="en-US" w:eastAsia="zh-CN"/>
        </w:rPr>
        <w:t>对</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履约情况</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lang w:val="en-US" w:eastAsia="zh-CN"/>
        </w:rPr>
        <w:t>验收评价</w:t>
      </w:r>
      <w:r>
        <w:rPr>
          <w:rFonts w:hint="eastAsia" w:ascii="仿宋" w:hAnsi="仿宋" w:eastAsia="仿宋" w:cs="仿宋"/>
          <w:color w:val="auto"/>
          <w:sz w:val="24"/>
          <w:szCs w:val="24"/>
          <w:highlight w:val="none"/>
        </w:rPr>
        <w:t>，验收合格后，填写履约验收单，作为对项目的最终认可。</w:t>
      </w:r>
    </w:p>
    <w:p w14:paraId="149DE424">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（三）乙方向甲方提供服务过程中的所有资料,以便甲方日后管理。</w:t>
      </w:r>
    </w:p>
    <w:p w14:paraId="33529995">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（四）验收依据：</w:t>
      </w:r>
    </w:p>
    <w:p w14:paraId="074D0B83">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color w:val="auto"/>
          <w:sz w:val="24"/>
          <w:szCs w:val="24"/>
          <w:highlight w:val="none"/>
          <w:lang w:val="en-US" w:eastAsia="zh-CN"/>
        </w:rPr>
        <w:t>招标文件和投标文件</w:t>
      </w:r>
      <w:r>
        <w:rPr>
          <w:rFonts w:hint="eastAsia" w:ascii="仿宋" w:hAnsi="仿宋" w:eastAsia="仿宋" w:cs="仿宋"/>
          <w:sz w:val="24"/>
          <w:szCs w:val="24"/>
          <w:highlight w:val="none"/>
          <w:lang w:eastAsia="zh-CN"/>
        </w:rPr>
        <w:t>；</w:t>
      </w:r>
    </w:p>
    <w:p w14:paraId="5C54F62F">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2、本合同及附件文本；</w:t>
      </w:r>
    </w:p>
    <w:p w14:paraId="0483E67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3、合同签订时国家及行业现行的标准和技术规范。</w:t>
      </w:r>
    </w:p>
    <w:p w14:paraId="190E1CA5">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（五）乙方应向甲方提交项目实施过程中的所有资料，以便甲方日后管理和维护。</w:t>
      </w:r>
    </w:p>
    <w:p w14:paraId="508BF9E4">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eastAsia="zh-CN"/>
        </w:rPr>
        <w:t>、双方的权利与义务</w:t>
      </w:r>
    </w:p>
    <w:p w14:paraId="615937D3">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（一）甲方权利义务：</w:t>
      </w:r>
    </w:p>
    <w:p w14:paraId="0AD46DC2">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1、对服务区域内的医疗服务事项有知情权和监督权。对工作中不负责任、违反管理规定的人员，有权提出辞退要求，情况属实，乙方应无条件予以执行。</w:t>
      </w:r>
    </w:p>
    <w:p w14:paraId="2C5E6923">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2、审定和认可乙方制订的医疗服务方案。</w:t>
      </w:r>
    </w:p>
    <w:p w14:paraId="568DFFE4">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3、监督、检查乙方的医疗服务方案的实施，并对乙方按照合同约定履行医疗服务的情况进行考核。</w:t>
      </w:r>
    </w:p>
    <w:p w14:paraId="142FA70D">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4、按照合同约定向乙方支付医疗服务费。</w:t>
      </w:r>
    </w:p>
    <w:p w14:paraId="7FE3E3FE">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5、法律、法规规定的其他权利义务。</w:t>
      </w:r>
    </w:p>
    <w:p w14:paraId="7000783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（二）乙方权利义务：</w:t>
      </w:r>
    </w:p>
    <w:p w14:paraId="40923B10">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1、根据有关法律、法规的规定和合同的约定，在服务区域提供医疗服务，向甲方收取医疗服务费用。</w:t>
      </w:r>
    </w:p>
    <w:p w14:paraId="1BC91F19">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2、结合实际情况，编制医疗服务方案。</w:t>
      </w:r>
    </w:p>
    <w:p w14:paraId="6482792A">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3、及时向甲方通报有关医疗服务方面的重大事项；接受甲方对医疗服务内容和质量标准的监督。</w:t>
      </w:r>
    </w:p>
    <w:p w14:paraId="55D8DF49">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4、合同依法解除、协商解除、单方解除或者期满终止时，乙方应当按照有关规定和合同约定退出医疗服务，并按有关规定和合同约定办理移交手续。</w:t>
      </w:r>
    </w:p>
    <w:p w14:paraId="7CF40320">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5、法律、法规规定的其他权利义务。</w:t>
      </w:r>
    </w:p>
    <w:p w14:paraId="6E1DED86">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lang w:eastAsia="zh-CN"/>
        </w:rPr>
        <w:t>、违约责任</w:t>
      </w:r>
    </w:p>
    <w:p w14:paraId="3DA41EF7">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（一）甲乙双方必须遵守本合同并执行合同中的各项规定，保证本合同的正常履行。</w:t>
      </w:r>
    </w:p>
    <w:p w14:paraId="2537EAD9">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（二）由双方按《民法典》中的相关原则经平等协商后补充。</w:t>
      </w:r>
    </w:p>
    <w:p w14:paraId="3463EF70">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如因乙方工作人员在履行职务过程中的疏忽、失职、过错等故意或者过失原因给甲方造成损失或侵害，包括但不限于甲方本身的财产损失、由此而导致的甲方对任何第三方的法律责任等，乙方对此均应承担全部的赔偿及法律责任。</w:t>
      </w:r>
    </w:p>
    <w:p w14:paraId="56F0F4FB">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四）未按合同要求提供服务或服务质量不能满足合同要求，甲方应当将乙方违约的情况以及拟采取的措施以书面形式报政府采购监管部门，根据政府采购监管部门的处理意见，甲方有权依据《民法典》及合同有关条款终止合同，并要求乙方承担违约责任。</w:t>
      </w:r>
    </w:p>
    <w:p w14:paraId="53581C8F">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lang w:eastAsia="zh-CN"/>
        </w:rPr>
        <w:t>、不可抗力事件处理</w:t>
      </w:r>
    </w:p>
    <w:p w14:paraId="574D26F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（一）在合同有效期内，任何一方因不可抗力事件导致不能履行合同，则合同履行期可延长，其延长期与不可抗力影响期相同。</w:t>
      </w:r>
    </w:p>
    <w:p w14:paraId="1814567F">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（二）不可抗力事件发生后，应立即通知对方，并寄送有关权威机构出具的证明。</w:t>
      </w:r>
    </w:p>
    <w:p w14:paraId="1FE8B670">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（三）不可抗力事件延续15个日历日以上，双方应通过友好协商，确定是否继续履行合同。</w:t>
      </w:r>
    </w:p>
    <w:p w14:paraId="00CDD5AA">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十</w:t>
      </w:r>
      <w:r>
        <w:rPr>
          <w:rFonts w:hint="eastAsia" w:ascii="仿宋" w:hAnsi="仿宋" w:eastAsia="仿宋" w:cs="仿宋"/>
          <w:sz w:val="24"/>
          <w:szCs w:val="24"/>
          <w:highlight w:val="none"/>
          <w:lang w:eastAsia="zh-CN"/>
        </w:rPr>
        <w:t>、合同的变更和终止</w:t>
      </w:r>
    </w:p>
    <w:p w14:paraId="1ABC6DB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除《中华人民共和国政府采购法》第49条、第50条第二款规定的情形外，本合同一经签订，甲乙双方不得擅自变更、中止或终止合同。</w:t>
      </w:r>
    </w:p>
    <w:p w14:paraId="202DD37C">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lang w:eastAsia="zh-CN"/>
        </w:rPr>
        <w:t>、争议解决方式</w:t>
      </w:r>
    </w:p>
    <w:p w14:paraId="02BD7F6E">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因履行本合同引起的或与本合同有关的争议，双方应首先通过友好协商解决，如果协商不能解决争议，则采取以下第</w:t>
      </w:r>
      <w:r>
        <w:rPr>
          <w:rFonts w:hint="eastAsia" w:ascii="仿宋" w:hAnsi="仿宋" w:eastAsia="仿宋" w:cs="仿宋"/>
          <w:sz w:val="24"/>
          <w:szCs w:val="24"/>
          <w:highlight w:val="none"/>
          <w:lang w:val="en-US" w:eastAsia="zh-CN"/>
        </w:rPr>
        <w:t xml:space="preserve"> 1 </w:t>
      </w:r>
      <w:r>
        <w:rPr>
          <w:rFonts w:hint="eastAsia" w:ascii="仿宋" w:hAnsi="仿宋" w:eastAsia="仿宋" w:cs="仿宋"/>
          <w:sz w:val="24"/>
          <w:szCs w:val="24"/>
          <w:highlight w:val="none"/>
          <w:lang w:eastAsia="zh-CN"/>
        </w:rPr>
        <w:t>种方式解决争议：</w:t>
      </w:r>
    </w:p>
    <w:p w14:paraId="45FE926B">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（一）向采购人所在地有管辖权的人民法院提起诉讼；</w:t>
      </w:r>
    </w:p>
    <w:p w14:paraId="5DE79C01">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（二）向西安仲裁委员会按其仲裁规则申请仲裁。在仲裁期间，本合同应继续履行。</w:t>
      </w:r>
    </w:p>
    <w:p w14:paraId="70F1B946">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十二、合同生效及其他</w:t>
      </w:r>
    </w:p>
    <w:p w14:paraId="7C9C7CA9">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（一）本合同自签订之日起生效。</w:t>
      </w:r>
    </w:p>
    <w:p w14:paraId="79BEC5BD">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（二）合同一式4份，采购人、中标供应商各持2份。</w:t>
      </w:r>
    </w:p>
    <w:p w14:paraId="2AB17E08">
      <w:pPr>
        <w:pStyle w:val="5"/>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（三）如本合同有未尽事宜，以招标文件为准，招标文件未做要求的，由双方依法订立补充合同。</w:t>
      </w:r>
    </w:p>
    <w:p w14:paraId="62051E4E">
      <w:pPr>
        <w:pStyle w:val="5"/>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注：以上合同内容如有不足，经甲乙双方友好协商后进行细化、补充与修改，细化、补充与修改的内容不得改变合同实质性内容。</w:t>
      </w:r>
    </w:p>
    <w:p w14:paraId="06A0C1F3">
      <w:pPr>
        <w:rPr>
          <w:rFonts w:hint="eastAsia" w:ascii="仿宋" w:hAnsi="仿宋" w:eastAsia="仿宋" w:cs="仿宋"/>
          <w:b/>
          <w:bCs/>
          <w:color w:val="auto"/>
          <w:sz w:val="24"/>
          <w:szCs w:val="24"/>
          <w:highlight w:val="none"/>
          <w:lang w:val="en-US" w:eastAsia="zh-CN"/>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斗酒聚比邻" w:date="2026-07-10T10:18:00Z" w:initials="">
    <w:p w14:paraId="077C7002">
      <w:pPr>
        <w:pStyle w:val="2"/>
        <w:rPr>
          <w:rFonts w:hint="default" w:eastAsia="宋体"/>
          <w:lang w:val="en-US" w:eastAsia="zh-CN"/>
        </w:rPr>
      </w:pPr>
      <w:r>
        <w:rPr>
          <w:rFonts w:hint="eastAsia"/>
          <w:lang w:val="en-US" w:eastAsia="zh-CN"/>
        </w:rPr>
        <w:t>建议增加这句。明确采购人这项要求性质是“监督权”，避免发生“采购人向拟派人员发工资，存在劳动关系”的歧义。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7C700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斗酒聚比邻">
    <w15:presenceInfo w15:providerId="None" w15:userId="斗酒聚比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5745F"/>
    <w:rsid w:val="1B057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2026-07-22T12:17:00Z</dcterms:created>
  <dc:creator>一叶障目</dc:creator>
  <cp:lastModifiedBy>一叶障目</cp:lastModifiedBy>
  <dcterms:modified xsi:type="dcterms:W3CDTF">2026-07-22T12:19:00Z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6A7182150A6A4646BC33C23F9CA49A4E_11</vt:lpwstr>
  </property>
  <property fmtid="{D5CDD505-2E9C-101B-9397-08002B2CF9AE}" pid="4" name="KSOTemplateDocerSaveRecord">
    <vt:lpwstr>eyJoZGlkIjoiNjU4MjEyYWU0NzEyOWZhNTIyODAwZTQzNTQzMjgxMWYiLCJ1c2VySWQiOiI5MzM1NjQ2NjAifQ==</vt:lpwstr>
  </property>
</Properties>
</file>