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19D56A">
      <w:pPr>
        <w:spacing w:line="240" w:lineRule="auto"/>
        <w:jc w:val="center"/>
        <w:rPr>
          <w:rFonts w:hint="eastAsia" w:eastAsia="华文仿宋"/>
          <w:color w:val="auto"/>
          <w:sz w:val="52"/>
          <w:szCs w:val="52"/>
          <w:lang w:val="en-US" w:eastAsia="zh-CN"/>
        </w:rPr>
      </w:pPr>
      <w:r>
        <w:rPr>
          <w:rFonts w:hint="eastAsia"/>
          <w:color w:val="auto"/>
          <w:sz w:val="52"/>
          <w:szCs w:val="52"/>
          <w:lang w:val="en-US" w:eastAsia="zh-CN"/>
        </w:rPr>
        <w:t xml:space="preserve"> </w:t>
      </w:r>
    </w:p>
    <w:p w14:paraId="4DE71900">
      <w:pPr>
        <w:spacing w:line="240" w:lineRule="auto"/>
        <w:jc w:val="center"/>
        <w:rPr>
          <w:rFonts w:hint="eastAsia"/>
          <w:color w:val="auto"/>
          <w:sz w:val="52"/>
          <w:szCs w:val="52"/>
          <w:lang w:val="en-US" w:eastAsia="zh-CN"/>
        </w:rPr>
      </w:pPr>
      <w:r>
        <w:rPr>
          <w:rFonts w:hint="eastAsia"/>
          <w:color w:val="auto"/>
          <w:sz w:val="52"/>
          <w:szCs w:val="52"/>
          <w:lang w:val="en-US" w:eastAsia="zh-CN"/>
        </w:rPr>
        <w:t>延安市公共资源交易中心</w:t>
      </w:r>
    </w:p>
    <w:p w14:paraId="36BA1B0A">
      <w:pPr>
        <w:spacing w:line="240" w:lineRule="auto"/>
        <w:jc w:val="center"/>
        <w:rPr>
          <w:color w:val="auto"/>
          <w:sz w:val="52"/>
          <w:szCs w:val="52"/>
        </w:rPr>
      </w:pPr>
      <w:r>
        <w:rPr>
          <w:rFonts w:hint="eastAsia"/>
          <w:color w:val="auto"/>
          <w:sz w:val="52"/>
          <w:szCs w:val="52"/>
          <w:lang w:val="en-US" w:eastAsia="zh-CN"/>
        </w:rPr>
        <w:t>（延安市市直单位政府采购中心）</w:t>
      </w:r>
    </w:p>
    <w:p w14:paraId="79230076">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7F6D7464">
      <w:pPr>
        <w:spacing w:line="240" w:lineRule="auto"/>
        <w:jc w:val="center"/>
        <w:rPr>
          <w:color w:val="auto"/>
          <w:sz w:val="36"/>
          <w:szCs w:val="36"/>
        </w:rPr>
      </w:pPr>
      <w:r>
        <w:rPr>
          <w:rFonts w:hint="eastAsia"/>
          <w:color w:val="auto"/>
          <w:sz w:val="36"/>
          <w:szCs w:val="36"/>
        </w:rPr>
        <w:t>（</w:t>
      </w:r>
      <w:r>
        <w:rPr>
          <w:rFonts w:hint="eastAsia"/>
          <w:color w:val="auto"/>
          <w:sz w:val="36"/>
          <w:szCs w:val="36"/>
          <w:lang w:eastAsia="zh-CN"/>
        </w:rPr>
        <w:t>不专门面向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2172E58A">
      <w:pPr>
        <w:spacing w:line="240" w:lineRule="auto"/>
        <w:jc w:val="center"/>
        <w:rPr>
          <w:color w:val="auto"/>
          <w:sz w:val="36"/>
          <w:szCs w:val="36"/>
        </w:rPr>
      </w:pPr>
    </w:p>
    <w:p w14:paraId="7D6B576E">
      <w:pPr>
        <w:pStyle w:val="28"/>
        <w:ind w:firstLine="727"/>
        <w:rPr>
          <w:color w:val="auto"/>
          <w:sz w:val="36"/>
          <w:szCs w:val="36"/>
        </w:rPr>
      </w:pPr>
    </w:p>
    <w:p w14:paraId="5DB3651E">
      <w:pPr>
        <w:pStyle w:val="28"/>
        <w:spacing w:line="240" w:lineRule="auto"/>
        <w:ind w:right="424" w:rightChars="150" w:firstLine="727"/>
        <w:rPr>
          <w:color w:val="auto"/>
          <w:sz w:val="36"/>
          <w:szCs w:val="36"/>
        </w:rPr>
      </w:pPr>
    </w:p>
    <w:p w14:paraId="552589E5">
      <w:pPr>
        <w:spacing w:line="240" w:lineRule="auto"/>
        <w:ind w:left="2539" w:leftChars="256" w:right="707" w:rightChars="250" w:hanging="1815" w:hangingChars="500"/>
        <w:rPr>
          <w:rFonts w:hint="eastAsia"/>
          <w:b/>
          <w:bCs/>
          <w:color w:val="auto"/>
          <w:sz w:val="36"/>
          <w:szCs w:val="36"/>
          <w:lang w:val="en-US" w:eastAsia="zh-CN"/>
        </w:rPr>
      </w:pPr>
      <w:r>
        <w:rPr>
          <w:rFonts w:hint="eastAsia"/>
          <w:b/>
          <w:bCs/>
          <w:color w:val="auto"/>
          <w:sz w:val="36"/>
          <w:szCs w:val="36"/>
        </w:rPr>
        <w:t>项目名称：</w:t>
      </w:r>
      <w:bookmarkStart w:id="311" w:name="_GoBack"/>
      <w:r>
        <w:rPr>
          <w:rFonts w:hint="eastAsia"/>
          <w:b/>
          <w:bCs/>
          <w:color w:val="auto"/>
          <w:sz w:val="36"/>
          <w:szCs w:val="36"/>
          <w:lang w:eastAsia="zh-CN"/>
        </w:rPr>
        <w:t>延安市机关事务服务中心为民服务中心电梯维保和中大型维修</w:t>
      </w:r>
      <w:bookmarkEnd w:id="311"/>
    </w:p>
    <w:p w14:paraId="72BA5FB3">
      <w:pPr>
        <w:spacing w:line="240" w:lineRule="auto"/>
        <w:ind w:left="2539" w:leftChars="256" w:right="707" w:rightChars="250" w:hanging="1815" w:hangingChars="500"/>
        <w:rPr>
          <w:rFonts w:hint="eastAsia" w:eastAsia="华文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lang w:eastAsia="zh-CN"/>
        </w:rPr>
        <w:t>YAZCJC2026-35</w:t>
      </w:r>
    </w:p>
    <w:p w14:paraId="5F7CC2A0">
      <w:pPr>
        <w:spacing w:line="240" w:lineRule="auto"/>
        <w:ind w:right="707" w:rightChars="250" w:firstLine="726" w:firstLineChars="200"/>
        <w:jc w:val="left"/>
        <w:rPr>
          <w:rFonts w:hint="eastAsia" w:eastAsia="华文仿宋"/>
          <w:b/>
          <w:bCs/>
          <w:color w:val="auto"/>
          <w:sz w:val="36"/>
          <w:szCs w:val="36"/>
          <w:lang w:eastAsia="zh-CN"/>
        </w:rPr>
      </w:pPr>
      <w:r>
        <w:rPr>
          <w:rFonts w:hint="eastAsia"/>
          <w:b/>
          <w:bCs/>
          <w:color w:val="auto"/>
          <w:sz w:val="36"/>
          <w:szCs w:val="36"/>
        </w:rPr>
        <w:t>采 购 人：</w:t>
      </w:r>
      <w:r>
        <w:rPr>
          <w:rFonts w:hint="eastAsia"/>
          <w:b/>
          <w:bCs/>
          <w:color w:val="auto"/>
          <w:sz w:val="36"/>
          <w:szCs w:val="36"/>
          <w:lang w:eastAsia="zh-CN"/>
        </w:rPr>
        <w:t xml:space="preserve">延安市机关事务服务中心 </w:t>
      </w:r>
    </w:p>
    <w:p w14:paraId="207CE4A3">
      <w:pPr>
        <w:spacing w:line="240" w:lineRule="auto"/>
        <w:ind w:right="707" w:rightChars="250" w:firstLine="726" w:firstLineChars="2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延安市公共资源交易中心</w:t>
      </w:r>
    </w:p>
    <w:p w14:paraId="1CB2B525">
      <w:pPr>
        <w:spacing w:line="240" w:lineRule="auto"/>
        <w:ind w:right="707" w:rightChars="250" w:firstLine="2904" w:firstLineChars="800"/>
        <w:rPr>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38165466">
      <w:pPr>
        <w:spacing w:line="240" w:lineRule="auto"/>
        <w:rPr>
          <w:color w:val="auto"/>
          <w:sz w:val="36"/>
          <w:szCs w:val="36"/>
        </w:rPr>
      </w:pPr>
    </w:p>
    <w:p w14:paraId="1E5D8843">
      <w:pPr>
        <w:spacing w:line="240" w:lineRule="auto"/>
        <w:jc w:val="center"/>
        <w:rPr>
          <w:rFonts w:ascii="黑体" w:hAnsi="黑体" w:eastAsia="黑体"/>
          <w:color w:val="auto"/>
          <w:sz w:val="44"/>
          <w:szCs w:val="44"/>
          <w:highlight w:val="none"/>
        </w:rPr>
      </w:pPr>
      <w:r>
        <w:rPr>
          <w:rFonts w:hint="eastAsia" w:ascii="仿宋" w:hAnsi="仿宋" w:eastAsia="仿宋" w:cs="仿宋"/>
          <w:b/>
          <w:bCs/>
          <w:color w:val="auto"/>
          <w:sz w:val="36"/>
          <w:szCs w:val="36"/>
          <w:highlight w:val="none"/>
        </w:rPr>
        <w:t>20</w:t>
      </w:r>
      <w:r>
        <w:rPr>
          <w:rFonts w:hint="eastAsia" w:ascii="仿宋" w:hAnsi="仿宋" w:eastAsia="仿宋" w:cs="仿宋"/>
          <w:b/>
          <w:bCs/>
          <w:color w:val="auto"/>
          <w:sz w:val="36"/>
          <w:szCs w:val="36"/>
          <w:highlight w:val="none"/>
          <w:lang w:val="en-US" w:eastAsia="zh-CN"/>
        </w:rPr>
        <w:t>26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10</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9</w:t>
      </w:r>
      <w:r>
        <w:rPr>
          <w:rFonts w:hint="eastAsia" w:ascii="仿宋" w:hAnsi="仿宋" w:eastAsia="仿宋" w:cs="仿宋"/>
          <w:b/>
          <w:bCs/>
          <w:color w:val="auto"/>
          <w:sz w:val="36"/>
          <w:szCs w:val="36"/>
          <w:highlight w:val="none"/>
        </w:rPr>
        <w:t>日</w:t>
      </w:r>
      <w:bookmarkStart w:id="0" w:name="_Toc10222_WPSOffice_Level1"/>
      <w:bookmarkStart w:id="1" w:name="_Toc30102_WPSOffice_Level1"/>
      <w:bookmarkStart w:id="2" w:name="_Toc30340_WPSOffice_Level1"/>
    </w:p>
    <w:p w14:paraId="368C9E40">
      <w:pPr>
        <w:pStyle w:val="15"/>
        <w:tabs>
          <w:tab w:val="right" w:leader="dot" w:pos="9072"/>
        </w:tabs>
        <w:spacing w:beforeLines="50" w:afterLines="50" w:line="500" w:lineRule="exact"/>
        <w:jc w:val="center"/>
        <w:rPr>
          <w:rFonts w:ascii="黑体" w:hAnsi="黑体" w:eastAsia="黑体"/>
          <w:color w:val="auto"/>
          <w:sz w:val="44"/>
          <w:szCs w:val="44"/>
          <w:highlight w:val="none"/>
        </w:rPr>
        <w:sectPr>
          <w:headerReference r:id="rId5" w:type="default"/>
          <w:footerReference r:id="rId6" w:type="default"/>
          <w:pgSz w:w="11906" w:h="16838"/>
          <w:pgMar w:top="1417" w:right="1247" w:bottom="1417" w:left="1304" w:header="850" w:footer="992" w:gutter="0"/>
          <w:pgBorders>
            <w:top w:val="none" w:sz="0" w:space="0"/>
            <w:left w:val="none" w:sz="0" w:space="0"/>
            <w:bottom w:val="none" w:sz="0" w:space="0"/>
            <w:right w:val="none" w:sz="0" w:space="0"/>
          </w:pgBorders>
          <w:pgNumType w:start="1"/>
          <w:cols w:space="720" w:num="1"/>
          <w:docGrid w:type="linesAndChars" w:linePitch="381" w:charSpace="704"/>
        </w:sectPr>
      </w:pPr>
    </w:p>
    <w:p w14:paraId="32F0CB60">
      <w:pPr>
        <w:pStyle w:val="15"/>
        <w:tabs>
          <w:tab w:val="right" w:leader="dot" w:pos="9072"/>
        </w:tabs>
        <w:spacing w:beforeLines="50" w:afterLines="50" w:line="500" w:lineRule="exact"/>
        <w:jc w:val="center"/>
        <w:rPr>
          <w:rFonts w:hint="eastAsia" w:ascii="黑体" w:hAnsi="黑体" w:eastAsia="黑体"/>
          <w:color w:val="auto"/>
          <w:sz w:val="44"/>
          <w:szCs w:val="44"/>
        </w:rPr>
      </w:pPr>
    </w:p>
    <w:p w14:paraId="60B44477">
      <w:pPr>
        <w:pStyle w:val="15"/>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B783573">
      <w:pPr>
        <w:pStyle w:val="15"/>
        <w:tabs>
          <w:tab w:val="right" w:leader="dot" w:pos="9072"/>
        </w:tabs>
        <w:spacing w:line="500" w:lineRule="exact"/>
        <w:ind w:firstLine="566" w:firstLineChars="200"/>
        <w:rPr>
          <w:rFonts w:hint="eastAsia" w:ascii="黑体" w:hAnsi="黑体" w:eastAsia="黑体" w:cs="黑体"/>
          <w:color w:val="auto"/>
        </w:rPr>
      </w:pPr>
    </w:p>
    <w:p w14:paraId="1F151F9E">
      <w:pPr>
        <w:pStyle w:val="15"/>
        <w:tabs>
          <w:tab w:val="right" w:leader="dot" w:pos="9072"/>
        </w:tabs>
        <w:spacing w:line="500" w:lineRule="exact"/>
        <w:ind w:firstLine="566" w:firstLineChars="200"/>
        <w:rPr>
          <w:rFonts w:hint="eastAsia" w:ascii="黑体" w:hAnsi="黑体" w:eastAsia="黑体" w:cs="黑体"/>
          <w:color w:val="auto"/>
          <w:lang w:eastAsia="zh-CN"/>
        </w:rPr>
      </w:pPr>
      <w:r>
        <w:rPr>
          <w:rFonts w:hint="eastAsia" w:ascii="黑体" w:hAnsi="黑体" w:eastAsia="黑体" w:cs="黑体"/>
          <w:color w:val="auto"/>
        </w:rPr>
        <w:t>第一章  磋商邀请函</w:t>
      </w:r>
    </w:p>
    <w:p w14:paraId="6996D849">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第二章  供应商须知</w:t>
      </w:r>
    </w:p>
    <w:p w14:paraId="394B8D77">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一、定义</w:t>
      </w:r>
    </w:p>
    <w:p w14:paraId="152E06A0">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二、供应商注意事项</w:t>
      </w:r>
    </w:p>
    <w:p w14:paraId="4EC69D1F">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三、电子磋商文件</w:t>
      </w:r>
    </w:p>
    <w:p w14:paraId="5B9DD4A4">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四、磋商报价</w:t>
      </w:r>
    </w:p>
    <w:p w14:paraId="7E0776E0">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五、电子响应文件</w:t>
      </w:r>
    </w:p>
    <w:p w14:paraId="430356CF">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六、开启电子响应文件</w:t>
      </w:r>
    </w:p>
    <w:p w14:paraId="5F884CA6">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七、组织评审</w:t>
      </w:r>
    </w:p>
    <w:p w14:paraId="08F95BC0">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八、成交</w:t>
      </w:r>
    </w:p>
    <w:p w14:paraId="6A94991B">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九、签订政府采购合同</w:t>
      </w:r>
    </w:p>
    <w:p w14:paraId="25AE9D44">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十、其他</w:t>
      </w:r>
    </w:p>
    <w:p w14:paraId="642372E1">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第三章  磋商内容及采购要求</w:t>
      </w:r>
    </w:p>
    <w:p w14:paraId="60283621">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第四章  合同草案条款</w:t>
      </w:r>
    </w:p>
    <w:p w14:paraId="4D6E7C5B">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第五章  电子响应文件构成及格式</w:t>
      </w:r>
    </w:p>
    <w:p w14:paraId="7F471759">
      <w:pPr>
        <w:pStyle w:val="15"/>
        <w:tabs>
          <w:tab w:val="right" w:leader="dot" w:pos="9072"/>
        </w:tabs>
        <w:spacing w:line="500" w:lineRule="exact"/>
        <w:ind w:firstLine="566" w:firstLineChars="200"/>
        <w:rPr>
          <w:rFonts w:hint="eastAsia" w:ascii="黑体" w:hAnsi="黑体" w:eastAsia="黑体" w:cs="黑体"/>
          <w:color w:val="auto"/>
        </w:rPr>
      </w:pPr>
      <w:r>
        <w:rPr>
          <w:rFonts w:hint="eastAsia" w:ascii="黑体" w:hAnsi="黑体" w:eastAsia="黑体" w:cs="黑体"/>
          <w:color w:val="auto"/>
        </w:rPr>
        <w:t>第一部分  资格证明文件</w:t>
      </w:r>
    </w:p>
    <w:p w14:paraId="3FD1613C">
      <w:pPr>
        <w:pStyle w:val="15"/>
        <w:tabs>
          <w:tab w:val="right" w:leader="dot" w:pos="9072"/>
        </w:tabs>
        <w:spacing w:line="500" w:lineRule="exact"/>
        <w:ind w:firstLine="566" w:firstLineChars="200"/>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p>
    <w:p w14:paraId="4F9AB707">
      <w:pPr>
        <w:pStyle w:val="17"/>
        <w:tabs>
          <w:tab w:val="right" w:leader="dot" w:pos="9072"/>
        </w:tabs>
        <w:spacing w:line="500" w:lineRule="exact"/>
        <w:ind w:left="0" w:leftChars="0" w:firstLine="566" w:firstLineChars="200"/>
        <w:rPr>
          <w:rFonts w:hint="default" w:ascii="黑体" w:hAnsi="黑体" w:eastAsia="黑体"/>
          <w:color w:val="auto"/>
          <w:szCs w:val="32"/>
          <w:lang w:val="en-US" w:eastAsia="zh-CN"/>
        </w:rPr>
      </w:pPr>
      <w:r>
        <w:rPr>
          <w:rFonts w:hint="eastAsia" w:ascii="黑体" w:hAnsi="黑体" w:eastAsia="黑体" w:cs="黑体"/>
          <w:color w:val="auto"/>
        </w:rPr>
        <w:t>第三部分  响应方案</w:t>
      </w:r>
    </w:p>
    <w:p w14:paraId="7752CA9C">
      <w:pPr>
        <w:tabs>
          <w:tab w:val="center" w:pos="60"/>
        </w:tabs>
        <w:rPr>
          <w:rFonts w:hint="eastAsia" w:eastAsia="华文仿宋"/>
          <w:color w:val="auto"/>
          <w:lang w:eastAsia="zh-CN"/>
        </w:rPr>
      </w:pPr>
      <w:r>
        <w:rPr>
          <w:rFonts w:hint="eastAsia"/>
          <w:color w:val="auto"/>
          <w:lang w:eastAsia="zh-CN"/>
        </w:rPr>
        <w:tab/>
      </w:r>
    </w:p>
    <w:p w14:paraId="1EA40971">
      <w:pPr>
        <w:outlineLvl w:val="9"/>
        <w:rPr>
          <w:rFonts w:hint="eastAsia" w:ascii="黑体" w:hAnsi="黑体" w:eastAsia="黑体"/>
          <w:b w:val="0"/>
          <w:color w:val="auto"/>
          <w:szCs w:val="32"/>
          <w:lang w:eastAsia="zh-CN"/>
        </w:rPr>
        <w:sectPr>
          <w:footerReference r:id="rId7" w:type="default"/>
          <w:pgSz w:w="11906" w:h="16838"/>
          <w:pgMar w:top="1417" w:right="1417" w:bottom="1417" w:left="1417" w:header="850" w:footer="992" w:gutter="0"/>
          <w:pgBorders>
            <w:top w:val="none" w:sz="0" w:space="0"/>
            <w:left w:val="none" w:sz="0" w:space="0"/>
            <w:bottom w:val="none" w:sz="0" w:space="0"/>
            <w:right w:val="none" w:sz="0" w:space="0"/>
          </w:pgBorders>
          <w:pgNumType w:start="1"/>
          <w:cols w:space="720" w:num="1"/>
          <w:docGrid w:type="linesAndChars" w:linePitch="381" w:charSpace="704"/>
        </w:sectPr>
      </w:pPr>
      <w:r>
        <w:rPr>
          <w:rFonts w:hint="eastAsia" w:ascii="黑体" w:hAnsi="黑体"/>
          <w:b w:val="0"/>
          <w:color w:val="auto"/>
          <w:szCs w:val="32"/>
          <w:lang w:eastAsia="zh-CN"/>
        </w:rPr>
        <w:tab/>
      </w:r>
    </w:p>
    <w:p w14:paraId="0A68E95F">
      <w:pPr>
        <w:pStyle w:val="3"/>
        <w:spacing w:line="500" w:lineRule="exact"/>
        <w:rPr>
          <w:rFonts w:ascii="黑体" w:hAnsi="黑体"/>
          <w:b w:val="0"/>
          <w:color w:val="auto"/>
          <w:szCs w:val="32"/>
        </w:rPr>
      </w:pPr>
      <w:bookmarkStart w:id="3" w:name="_Toc26235"/>
      <w:bookmarkStart w:id="4" w:name="_Toc24418"/>
      <w:bookmarkStart w:id="5" w:name="_Toc21489"/>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0AE3E9EA">
      <w:pPr>
        <w:pStyle w:val="29"/>
        <w:spacing w:line="500" w:lineRule="exact"/>
        <w:ind w:firstLine="567"/>
        <w:rPr>
          <w:rFonts w:ascii="华文仿宋" w:hAnsi="华文仿宋" w:cs="华文仿宋"/>
          <w:color w:val="auto"/>
          <w:highlight w:val="none"/>
        </w:rPr>
      </w:pPr>
      <w:bookmarkStart w:id="6" w:name="_Toc6471"/>
      <w:bookmarkStart w:id="7" w:name="_Toc22804_WPSOffice_Level2"/>
      <w:bookmarkStart w:id="8" w:name="_Toc15046_WPSOffice_Level2"/>
      <w:bookmarkStart w:id="9" w:name="_Toc8775_WPSOffice_Level2"/>
      <w:r>
        <w:rPr>
          <w:rFonts w:hint="eastAsia" w:ascii="华文仿宋" w:hAnsi="华文仿宋" w:cs="华文仿宋"/>
          <w:b/>
          <w:bCs/>
          <w:color w:val="auto"/>
          <w:lang w:eastAsia="zh-CN"/>
        </w:rPr>
        <w:t>延安市机关事务服务中心为民服务中心电梯维保和中大型维修</w:t>
      </w:r>
      <w:r>
        <w:rPr>
          <w:rFonts w:hint="eastAsia" w:ascii="华文仿宋" w:hAnsi="华文仿宋" w:cs="华文仿宋"/>
          <w:color w:val="auto"/>
        </w:rPr>
        <w:t>潜在的供应商可在全国公共资源</w:t>
      </w:r>
      <w:r>
        <w:rPr>
          <w:rFonts w:hint="eastAsia" w:ascii="华文仿宋" w:hAnsi="华文仿宋" w:cs="华文仿宋"/>
          <w:color w:val="auto"/>
          <w:highlight w:val="none"/>
        </w:rPr>
        <w:t>交易平台（陕西省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 xml:space="preserve">10-23  9：00 </w:t>
      </w:r>
      <w:r>
        <w:rPr>
          <w:rFonts w:hint="eastAsia" w:ascii="华文仿宋" w:hAnsi="华文仿宋" w:cs="华文仿宋"/>
          <w:color w:val="auto"/>
          <w:highlight w:val="none"/>
        </w:rPr>
        <w:t>前递交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723032EE">
      <w:pPr>
        <w:numPr>
          <w:ilvl w:val="0"/>
          <w:numId w:val="0"/>
        </w:numPr>
        <w:spacing w:line="500" w:lineRule="exact"/>
        <w:ind w:left="2547" w:leftChars="200" w:hanging="1981" w:hangingChars="700"/>
        <w:rPr>
          <w:rFonts w:hint="eastAsia" w:ascii="华文仿宋" w:hAnsi="华文仿宋" w:eastAsia="华文仿宋" w:cs="华文仿宋"/>
          <w:color w:val="auto"/>
          <w:kern w:val="0"/>
          <w:lang w:eastAsia="zh-CN"/>
        </w:rPr>
      </w:pPr>
      <w:r>
        <w:rPr>
          <w:rFonts w:hint="eastAsia"/>
          <w:b/>
          <w:bCs/>
          <w:color w:val="auto"/>
          <w:highlight w:val="none"/>
        </w:rPr>
        <w:t>一、项目名称：</w:t>
      </w:r>
      <w:bookmarkEnd w:id="6"/>
      <w:bookmarkEnd w:id="7"/>
      <w:bookmarkEnd w:id="8"/>
      <w:bookmarkEnd w:id="9"/>
      <w:bookmarkStart w:id="10" w:name="_Toc7698"/>
      <w:bookmarkStart w:id="11" w:name="_Toc619_WPSOffice_Level2"/>
      <w:bookmarkStart w:id="12" w:name="_Toc181_WPSOffice_Level2"/>
      <w:bookmarkStart w:id="13" w:name="_Toc28286_WPSOffice_Level2"/>
      <w:r>
        <w:rPr>
          <w:rFonts w:hint="eastAsia"/>
          <w:b w:val="0"/>
          <w:bCs w:val="0"/>
          <w:color w:val="auto"/>
          <w:highlight w:val="none"/>
          <w:lang w:eastAsia="zh-CN"/>
        </w:rPr>
        <w:t>延安市机关事务服务中心为民服务中心电梯维保和中大型维修</w:t>
      </w:r>
    </w:p>
    <w:p w14:paraId="79BAD204">
      <w:pPr>
        <w:spacing w:line="500" w:lineRule="exact"/>
        <w:ind w:firstLine="566" w:firstLineChars="200"/>
        <w:rPr>
          <w:rFonts w:hint="eastAsia" w:eastAsia="华文仿宋"/>
          <w:b/>
          <w:bCs/>
          <w:color w:val="auto"/>
          <w:lang w:val="en-US" w:eastAsia="zh-CN"/>
        </w:rPr>
      </w:pPr>
      <w:r>
        <w:rPr>
          <w:rFonts w:hint="eastAsia"/>
          <w:b/>
          <w:bCs/>
          <w:color w:val="auto"/>
        </w:rPr>
        <w:t>二、项目编号：</w:t>
      </w:r>
      <w:bookmarkEnd w:id="10"/>
      <w:bookmarkEnd w:id="11"/>
      <w:bookmarkEnd w:id="12"/>
      <w:bookmarkEnd w:id="13"/>
      <w:bookmarkStart w:id="14" w:name="_Toc23148_WPSOffice_Level2"/>
      <w:bookmarkStart w:id="15" w:name="_Toc22627_WPSOffice_Level2"/>
      <w:bookmarkStart w:id="16" w:name="_Toc7884"/>
      <w:bookmarkStart w:id="17" w:name="_Toc8221_WPSOffice_Level2"/>
      <w:r>
        <w:rPr>
          <w:rFonts w:hint="eastAsia" w:ascii="仿宋" w:hAnsi="仿宋" w:eastAsia="仿宋" w:cs="仿宋"/>
          <w:color w:val="auto"/>
          <w:highlight w:val="none"/>
          <w:lang w:eastAsia="zh-CN"/>
        </w:rPr>
        <w:t>YAZCJC2026-35</w:t>
      </w:r>
    </w:p>
    <w:bookmarkEnd w:id="14"/>
    <w:bookmarkEnd w:id="15"/>
    <w:bookmarkEnd w:id="16"/>
    <w:bookmarkEnd w:id="17"/>
    <w:p w14:paraId="1A16177A">
      <w:pPr>
        <w:spacing w:line="500" w:lineRule="exact"/>
        <w:ind w:firstLine="566" w:firstLineChars="200"/>
        <w:rPr>
          <w:rFonts w:hint="eastAsia" w:ascii="华文仿宋" w:hAnsi="华文仿宋" w:eastAsia="华文仿宋" w:cs="华文仿宋"/>
          <w:color w:val="auto"/>
          <w:lang w:eastAsia="zh-CN"/>
        </w:rPr>
      </w:pPr>
      <w:bookmarkStart w:id="18" w:name="_Toc31311_WPSOffice_Level2"/>
      <w:bookmarkStart w:id="19" w:name="_Toc29947_WPSOffice_Level2"/>
      <w:bookmarkStart w:id="20" w:name="_Toc27211"/>
      <w:bookmarkStart w:id="21" w:name="_Toc30103_WPSOffice_Level2"/>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 xml:space="preserve">延安市机关事务服务中心 </w:t>
      </w:r>
    </w:p>
    <w:p w14:paraId="3080F3B3">
      <w:pPr>
        <w:pStyle w:val="30"/>
        <w:spacing w:line="500" w:lineRule="exact"/>
        <w:rPr>
          <w:rFonts w:hint="default" w:ascii="华文仿宋" w:hAnsi="华文仿宋" w:cs="华文仿宋"/>
          <w:color w:val="auto"/>
          <w:lang w:val="en-US"/>
        </w:rPr>
      </w:pPr>
      <w:r>
        <w:rPr>
          <w:rFonts w:hint="eastAsia" w:ascii="华文仿宋" w:hAnsi="华文仿宋" w:cs="华文仿宋"/>
          <w:color w:val="auto"/>
        </w:rPr>
        <w:t>地  址：</w:t>
      </w:r>
      <w:r>
        <w:rPr>
          <w:rFonts w:hint="eastAsia" w:ascii="华文仿宋" w:hAnsi="华文仿宋" w:cs="华文仿宋"/>
          <w:color w:val="auto"/>
          <w:lang w:val="en-US" w:eastAsia="zh-CN"/>
        </w:rPr>
        <w:t>延安市宝塔区新区为民服务中心七号楼</w:t>
      </w:r>
    </w:p>
    <w:p w14:paraId="432BA5F2">
      <w:pPr>
        <w:pStyle w:val="30"/>
        <w:spacing w:line="500" w:lineRule="exact"/>
        <w:rPr>
          <w:rFonts w:hint="eastAsia" w:ascii="华文仿宋" w:hAnsi="华文仿宋" w:eastAsia="华文仿宋" w:cs="华文仿宋"/>
          <w:color w:val="000000" w:themeColor="text1"/>
          <w:highlight w:val="none"/>
          <w:lang w:val="en-US" w:eastAsia="zh-CN"/>
          <w14:textFill>
            <w14:solidFill>
              <w14:schemeClr w14:val="tx1"/>
            </w14:solidFill>
          </w14:textFill>
        </w:rPr>
      </w:pPr>
      <w:r>
        <w:rPr>
          <w:rFonts w:ascii="华文仿宋" w:hAnsi="华文仿宋" w:cs="华文仿宋"/>
          <w:color w:val="000000" w:themeColor="text1"/>
          <w:highlight w:val="none"/>
          <w14:textFill>
            <w14:solidFill>
              <w14:schemeClr w14:val="tx1"/>
            </w14:solidFill>
          </w14:textFill>
        </w:rPr>
        <w:t>联系人：</w:t>
      </w:r>
      <w:r>
        <w:rPr>
          <w:rFonts w:hint="eastAsia" w:ascii="华文仿宋" w:hAnsi="华文仿宋" w:cs="华文仿宋"/>
          <w:color w:val="000000" w:themeColor="text1"/>
          <w:highlight w:val="none"/>
          <w:lang w:val="en-US" w:eastAsia="zh-CN"/>
          <w14:textFill>
            <w14:solidFill>
              <w14:schemeClr w14:val="tx1"/>
            </w14:solidFill>
          </w14:textFill>
        </w:rPr>
        <w:t>张先生</w:t>
      </w:r>
    </w:p>
    <w:p w14:paraId="35AD16CC">
      <w:pPr>
        <w:spacing w:line="500" w:lineRule="exact"/>
        <w:ind w:firstLine="1132" w:firstLineChars="400"/>
        <w:rPr>
          <w:rFonts w:hint="default" w:ascii="仿宋" w:hAnsi="仿宋" w:eastAsia="仿宋" w:cs="仿宋"/>
          <w:bCs/>
          <w:color w:val="000000" w:themeColor="text1"/>
          <w:szCs w:val="21"/>
          <w:highlight w:val="none"/>
          <w:lang w:val="en-US"/>
          <w14:textFill>
            <w14:solidFill>
              <w14:schemeClr w14:val="tx1"/>
            </w14:solidFill>
          </w14:textFill>
        </w:rPr>
      </w:pPr>
      <w:r>
        <w:rPr>
          <w:rFonts w:hint="eastAsia" w:ascii="华文仿宋" w:hAnsi="华文仿宋" w:cs="华文仿宋"/>
          <w:color w:val="000000" w:themeColor="text1"/>
          <w:highlight w:val="none"/>
          <w14:textFill>
            <w14:solidFill>
              <w14:schemeClr w14:val="tx1"/>
            </w14:solidFill>
          </w14:textFill>
        </w:rPr>
        <w:t>联系方式</w:t>
      </w:r>
      <w:r>
        <w:rPr>
          <w:rFonts w:hint="eastAsia" w:ascii="仿宋" w:hAnsi="仿宋" w:eastAsia="仿宋" w:cs="仿宋"/>
          <w:color w:val="000000" w:themeColor="text1"/>
          <w:highlight w:val="none"/>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15029119190</w:t>
      </w:r>
    </w:p>
    <w:p w14:paraId="276A0F00">
      <w:pPr>
        <w:numPr>
          <w:ilvl w:val="0"/>
          <w:numId w:val="2"/>
        </w:numPr>
        <w:tabs>
          <w:tab w:val="left" w:pos="1620"/>
        </w:tabs>
        <w:snapToGrid w:val="0"/>
        <w:spacing w:line="500" w:lineRule="exact"/>
        <w:ind w:left="3113" w:leftChars="200" w:hanging="2547" w:hangingChars="900"/>
        <w:rPr>
          <w:rFonts w:hint="eastAsia" w:ascii="华文仿宋" w:hAnsi="华文仿宋" w:cs="华文仿宋"/>
          <w:color w:val="auto"/>
          <w:lang w:val="zh-CN"/>
        </w:rPr>
      </w:pPr>
      <w:r>
        <w:rPr>
          <w:rFonts w:hint="eastAsia" w:ascii="华文仿宋" w:hAnsi="华文仿宋" w:cs="华文仿宋"/>
          <w:b/>
          <w:color w:val="auto"/>
        </w:rPr>
        <w:t>采购代理机构</w:t>
      </w:r>
      <w:r>
        <w:rPr>
          <w:rFonts w:hint="eastAsia" w:ascii="华文仿宋" w:hAnsi="华文仿宋" w:cs="华文仿宋"/>
          <w:color w:val="auto"/>
        </w:rPr>
        <w:t>：</w:t>
      </w:r>
      <w:r>
        <w:rPr>
          <w:rFonts w:hint="eastAsia" w:ascii="华文仿宋" w:hAnsi="华文仿宋" w:cs="华文仿宋"/>
          <w:color w:val="auto"/>
          <w:lang w:val="en-US" w:eastAsia="zh-CN"/>
        </w:rPr>
        <w:t xml:space="preserve"> </w:t>
      </w:r>
      <w:r>
        <w:rPr>
          <w:rFonts w:hint="eastAsia" w:ascii="华文仿宋" w:hAnsi="华文仿宋" w:cs="华文仿宋"/>
          <w:color w:val="auto"/>
          <w:lang w:val="zh-CN"/>
        </w:rPr>
        <w:t>延安市公共资源交易中心</w:t>
      </w:r>
    </w:p>
    <w:p w14:paraId="3A86085E">
      <w:pPr>
        <w:numPr>
          <w:ilvl w:val="0"/>
          <w:numId w:val="0"/>
        </w:numPr>
        <w:tabs>
          <w:tab w:val="left" w:pos="1620"/>
        </w:tabs>
        <w:snapToGrid w:val="0"/>
        <w:spacing w:line="500" w:lineRule="exact"/>
        <w:ind w:leftChars="-700" w:firstLine="4811" w:firstLineChars="1700"/>
        <w:rPr>
          <w:rFonts w:ascii="华文仿宋" w:hAnsi="华文仿宋" w:cs="华文仿宋"/>
          <w:color w:val="auto"/>
        </w:rPr>
      </w:pPr>
      <w:r>
        <w:rPr>
          <w:rFonts w:hint="eastAsia" w:ascii="华文仿宋" w:hAnsi="华文仿宋" w:cs="华文仿宋"/>
          <w:color w:val="auto"/>
          <w:lang w:val="zh-CN"/>
        </w:rPr>
        <w:t>（延安市市直单位政府采购中心）</w:t>
      </w:r>
    </w:p>
    <w:p w14:paraId="618631F0">
      <w:pPr>
        <w:tabs>
          <w:tab w:val="left" w:pos="1620"/>
        </w:tabs>
        <w:snapToGrid w:val="0"/>
        <w:spacing w:line="500" w:lineRule="exact"/>
        <w:ind w:firstLine="1132"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地址：延安市新区为民服务中心南区东楼（7号楼）A2楼</w:t>
      </w:r>
    </w:p>
    <w:p w14:paraId="6FF2B944">
      <w:pPr>
        <w:numPr>
          <w:ilvl w:val="0"/>
          <w:numId w:val="0"/>
        </w:numPr>
        <w:tabs>
          <w:tab w:val="left" w:pos="1620"/>
        </w:tabs>
        <w:snapToGrid w:val="0"/>
        <w:spacing w:line="500" w:lineRule="exact"/>
        <w:ind w:firstLine="1132" w:firstLineChars="400"/>
        <w:rPr>
          <w:rFonts w:hint="default"/>
          <w:b w:val="0"/>
          <w:bCs w:val="0"/>
          <w:color w:val="auto"/>
          <w:lang w:val="en-US"/>
        </w:rPr>
      </w:pPr>
      <w:r>
        <w:rPr>
          <w:rFonts w:hint="eastAsia"/>
          <w:b w:val="0"/>
          <w:bCs w:val="0"/>
          <w:color w:val="auto"/>
        </w:rPr>
        <w:t>磋商文件联系人：</w:t>
      </w:r>
      <w:r>
        <w:rPr>
          <w:rFonts w:hint="eastAsia"/>
          <w:b w:val="0"/>
          <w:bCs w:val="0"/>
          <w:color w:val="auto"/>
          <w:lang w:val="en-US" w:eastAsia="zh-CN"/>
        </w:rPr>
        <w:t>刘</w:t>
      </w:r>
      <w:r>
        <w:rPr>
          <w:rFonts w:hint="eastAsia"/>
          <w:b w:val="0"/>
          <w:bCs w:val="0"/>
          <w:color w:val="auto"/>
        </w:rPr>
        <w:t xml:space="preserve">先生   </w:t>
      </w:r>
      <w:r>
        <w:rPr>
          <w:rFonts w:hint="eastAsia"/>
          <w:b w:val="0"/>
          <w:bCs w:val="0"/>
          <w:color w:val="auto"/>
          <w:lang w:val="en-US" w:eastAsia="zh-CN"/>
        </w:rPr>
        <w:t>魏女士</w:t>
      </w:r>
    </w:p>
    <w:p w14:paraId="3E883AE1">
      <w:pPr>
        <w:spacing w:line="500" w:lineRule="exact"/>
        <w:ind w:firstLine="1132"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 xml:space="preserve">0911-7092224   </w:t>
      </w:r>
    </w:p>
    <w:p w14:paraId="4821DBEE">
      <w:pPr>
        <w:numPr>
          <w:ilvl w:val="0"/>
          <w:numId w:val="0"/>
        </w:numPr>
        <w:tabs>
          <w:tab w:val="left" w:pos="1620"/>
        </w:tabs>
        <w:snapToGrid w:val="0"/>
        <w:spacing w:line="500" w:lineRule="exact"/>
        <w:ind w:firstLine="566"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56CDC7D8">
      <w:pPr>
        <w:spacing w:line="500" w:lineRule="exact"/>
        <w:ind w:firstLine="566"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延安市机关事务服务中心为民服务中心电梯维保和中大型维修</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2E42DAA2">
      <w:pPr>
        <w:spacing w:line="500" w:lineRule="exact"/>
        <w:ind w:firstLine="566" w:firstLineChars="200"/>
        <w:rPr>
          <w:rFonts w:hint="default" w:ascii="华文仿宋" w:hAnsi="华文仿宋" w:eastAsia="华文仿宋" w:cs="华文仿宋"/>
          <w:color w:val="auto"/>
          <w:highlight w:val="yellow"/>
          <w:lang w:val="en-US" w:eastAsia="zh-CN"/>
        </w:rPr>
      </w:pPr>
      <w:bookmarkStart w:id="22" w:name="_Toc6459_WPSOffice_Level2"/>
      <w:bookmarkStart w:id="23" w:name="_Toc25753"/>
      <w:bookmarkStart w:id="24" w:name="_Toc9917_WPSOffice_Level2"/>
      <w:bookmarkStart w:id="25" w:name="_Toc14570_WPSOffice_Level2"/>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2440D14F">
      <w:pPr>
        <w:spacing w:line="500" w:lineRule="exact"/>
        <w:ind w:firstLine="566" w:firstLineChars="200"/>
        <w:rPr>
          <w:rFonts w:ascii="仿宋" w:hAnsi="仿宋" w:cs="仿宋"/>
          <w:b/>
          <w:color w:val="auto"/>
        </w:rPr>
      </w:pPr>
      <w:r>
        <w:rPr>
          <w:rFonts w:hint="eastAsia" w:ascii="华文仿宋" w:hAnsi="华文仿宋" w:cs="华文仿宋"/>
          <w:b/>
          <w:color w:val="auto"/>
        </w:rPr>
        <w:t>七、采购预算：</w:t>
      </w:r>
      <w:r>
        <w:rPr>
          <w:rFonts w:hint="eastAsia" w:ascii="华文仿宋" w:hAnsi="华文仿宋" w:cs="华文仿宋"/>
          <w:b/>
          <w:color w:val="auto"/>
          <w:lang w:val="en-US" w:eastAsia="zh-CN"/>
        </w:rPr>
        <w:t>501600.00</w:t>
      </w:r>
      <w:r>
        <w:rPr>
          <w:rFonts w:hint="eastAsia" w:ascii="华文仿宋" w:hAnsi="华文仿宋" w:cs="华文仿宋"/>
          <w:b/>
          <w:bCs w:val="0"/>
          <w:color w:val="auto"/>
        </w:rPr>
        <w:t>元</w:t>
      </w:r>
      <w:r>
        <w:rPr>
          <w:rFonts w:hint="eastAsia" w:ascii="华文仿宋" w:hAnsi="华文仿宋" w:cs="华文仿宋"/>
          <w:b/>
          <w:bCs w:val="0"/>
          <w:color w:val="auto"/>
          <w:lang w:val="en-US" w:eastAsia="zh-CN"/>
        </w:rPr>
        <w:t>/年</w:t>
      </w:r>
      <w:r>
        <w:rPr>
          <w:rFonts w:hint="eastAsia" w:ascii="仿宋" w:hAnsi="仿宋" w:eastAsia="仿宋" w:cs="仿宋"/>
          <w:b/>
          <w:bCs w:val="0"/>
          <w:color w:val="auto"/>
          <w:kern w:val="0"/>
          <w:lang w:val="en-US" w:eastAsia="zh-CN"/>
        </w:rPr>
        <w:t>(大写：伍拾万零壹仟陆佰元整)</w:t>
      </w:r>
    </w:p>
    <w:p w14:paraId="61A54E5C">
      <w:pPr>
        <w:spacing w:line="500" w:lineRule="exact"/>
        <w:ind w:firstLine="566" w:firstLineChars="200"/>
        <w:rPr>
          <w:rFonts w:hint="eastAsia" w:ascii="华文仿宋" w:hAnsi="华文仿宋" w:cs="华文仿宋"/>
          <w:b w:val="0"/>
          <w:bCs/>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其他未列明行业</w:t>
      </w:r>
    </w:p>
    <w:p w14:paraId="2AAEB57C">
      <w:pPr>
        <w:spacing w:line="500" w:lineRule="exact"/>
        <w:ind w:firstLine="566"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479F92C3">
      <w:pPr>
        <w:spacing w:line="500" w:lineRule="exact"/>
        <w:ind w:firstLine="566" w:firstLineChars="200"/>
        <w:rPr>
          <w:b/>
          <w:bCs/>
          <w:color w:val="auto"/>
        </w:rPr>
      </w:pPr>
      <w:r>
        <w:rPr>
          <w:rFonts w:hint="eastAsia"/>
          <w:b/>
          <w:bCs/>
          <w:color w:val="auto"/>
        </w:rPr>
        <w:t>十、供应商资格要求</w:t>
      </w:r>
      <w:bookmarkEnd w:id="22"/>
      <w:bookmarkEnd w:id="23"/>
      <w:bookmarkEnd w:id="24"/>
      <w:bookmarkEnd w:id="25"/>
    </w:p>
    <w:p w14:paraId="02AC93E3">
      <w:pPr>
        <w:spacing w:line="500" w:lineRule="exact"/>
        <w:ind w:firstLine="566"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557ACBD2">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/事业单位法人证书/专业服务机构执业许可证/民办非企业单位登记证书。</w:t>
      </w:r>
    </w:p>
    <w:p w14:paraId="6244A338">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2.投</w:t>
      </w:r>
      <w:r>
        <w:rPr>
          <w:rFonts w:hint="eastAsia" w:ascii="华文仿宋" w:hAnsi="华文仿宋" w:cs="华文仿宋"/>
          <w:color w:val="auto"/>
        </w:rPr>
        <w:t>标人需提供财务状况、缴纳税收和社保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三项符合要求的承诺函（无需另行提供证明文件）。</w:t>
      </w:r>
    </w:p>
    <w:p w14:paraId="7DFF7775">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383231A6">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6F56F14A">
      <w:pPr>
        <w:widowControl w:val="0"/>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597DADDD">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52365D9A">
      <w:pPr>
        <w:spacing w:line="500" w:lineRule="exact"/>
        <w:ind w:firstLine="566"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78813A98">
      <w:pPr>
        <w:numPr>
          <w:ilvl w:val="0"/>
          <w:numId w:val="3"/>
        </w:numPr>
        <w:spacing w:line="500" w:lineRule="exact"/>
        <w:ind w:firstLine="566" w:firstLineChars="200"/>
        <w:rPr>
          <w:rFonts w:hint="eastAsia"/>
        </w:rPr>
      </w:pP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highlight w:val="none"/>
        </w:rPr>
        <w:t>供应商提供《非联合体不分包投标声明》，视为独立</w:t>
      </w:r>
      <w:r>
        <w:rPr>
          <w:rFonts w:hint="eastAsia" w:ascii="华文仿宋" w:hAnsi="华文仿宋" w:cs="华文仿宋"/>
          <w:color w:val="auto"/>
          <w:highlight w:val="none"/>
          <w:lang w:eastAsia="zh-CN"/>
        </w:rPr>
        <w:t>响应</w:t>
      </w:r>
      <w:r>
        <w:rPr>
          <w:rFonts w:hint="eastAsia" w:ascii="华文仿宋" w:hAnsi="华文仿宋" w:cs="华文仿宋"/>
          <w:color w:val="auto"/>
          <w:highlight w:val="none"/>
        </w:rPr>
        <w:t>，不分包。</w:t>
      </w:r>
    </w:p>
    <w:p w14:paraId="097F3858">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rPr>
        <w:t>8.投标人须具备有效期内《中华人民共和国特种设备生产许可证》，许可范围包含电梯修理。拟派项目负责人、技术负责人须持有有效的《特种设备安全管理和作业人员证》（电梯修理T证或特种设备安全管理A证），持证上岗。</w:t>
      </w:r>
    </w:p>
    <w:p w14:paraId="5BF19B4E">
      <w:pPr>
        <w:spacing w:line="240" w:lineRule="auto"/>
        <w:ind w:firstLine="639" w:firstLineChars="300"/>
        <w:rPr>
          <w:rFonts w:ascii="宋体" w:hAnsi="宋体" w:eastAsia="宋体" w:cs="宋体"/>
          <w:b/>
          <w:bCs/>
          <w:color w:val="auto"/>
          <w:sz w:val="21"/>
          <w:szCs w:val="21"/>
        </w:rPr>
      </w:pPr>
      <w:bookmarkStart w:id="26" w:name="_Toc31685_WPSOffice_Level2"/>
      <w:bookmarkStart w:id="27" w:name="_Toc8219_WPSOffice_Level2"/>
      <w:bookmarkStart w:id="28" w:name="_Toc8666"/>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74255028">
      <w:pPr>
        <w:spacing w:line="240" w:lineRule="auto"/>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170F0396">
      <w:pPr>
        <w:spacing w:line="240" w:lineRule="auto"/>
        <w:ind w:firstLine="42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2245CF80">
      <w:pPr>
        <w:pStyle w:val="12"/>
        <w:ind w:firstLine="426" w:firstLineChars="200"/>
        <w:rPr>
          <w:rFonts w:hint="default" w:eastAsia="宋体"/>
          <w:lang w:val="en-US" w:eastAsia="zh-CN"/>
        </w:rPr>
      </w:pPr>
      <w:r>
        <w:rPr>
          <w:rFonts w:hint="eastAsia" w:hAnsi="宋体" w:eastAsia="宋体" w:cs="宋体"/>
          <w:b/>
          <w:bCs/>
          <w:color w:val="auto"/>
          <w:sz w:val="21"/>
          <w:szCs w:val="21"/>
          <w:highlight w:val="none"/>
          <w:lang w:val="en-US" w:eastAsia="zh-CN"/>
        </w:rPr>
        <w:t>4.本项目不专门面向中小企业。</w:t>
      </w:r>
    </w:p>
    <w:p w14:paraId="1D57074B">
      <w:pPr>
        <w:spacing w:line="500" w:lineRule="exact"/>
        <w:ind w:firstLine="566" w:firstLineChars="200"/>
        <w:jc w:val="left"/>
        <w:rPr>
          <w:b/>
          <w:bCs/>
          <w:color w:val="auto"/>
        </w:rPr>
      </w:pPr>
      <w:r>
        <w:rPr>
          <w:rFonts w:hint="eastAsia"/>
          <w:b/>
          <w:bCs/>
          <w:color w:val="auto"/>
        </w:rPr>
        <w:t>十一、执行的政府采购政策</w:t>
      </w:r>
      <w:bookmarkEnd w:id="26"/>
      <w:bookmarkEnd w:id="27"/>
      <w:bookmarkEnd w:id="28"/>
    </w:p>
    <w:p w14:paraId="612D2D87">
      <w:pPr>
        <w:spacing w:line="500" w:lineRule="exact"/>
        <w:ind w:firstLine="566" w:firstLineChars="200"/>
        <w:jc w:val="left"/>
        <w:rPr>
          <w:rFonts w:hint="eastAsia" w:ascii="华文仿宋" w:hAnsi="华文仿宋" w:cs="华文仿宋"/>
          <w:color w:val="auto"/>
          <w:lang w:val="en-US" w:eastAsia="zh-CN"/>
        </w:rPr>
      </w:pPr>
      <w:bookmarkStart w:id="30" w:name="_Toc30400_WPSOffice_Level2"/>
      <w:bookmarkStart w:id="31" w:name="_Toc20141_WPSOffice_Level2"/>
      <w:bookmarkStart w:id="32" w:name="_Toc21125"/>
      <w:r>
        <w:rPr>
          <w:rFonts w:hint="eastAsia" w:ascii="华文仿宋" w:hAnsi="华文仿宋" w:cs="华文仿宋"/>
          <w:color w:val="auto"/>
          <w:lang w:val="en-US" w:eastAsia="zh-CN"/>
        </w:rPr>
        <w:t>1.《关于在政府采购活动中查询及使用信用记录有关问题的通知》（财库〔2016〕125号）。</w:t>
      </w:r>
    </w:p>
    <w:p w14:paraId="1378EC66">
      <w:pPr>
        <w:spacing w:line="500" w:lineRule="exact"/>
        <w:ind w:firstLine="566" w:firstLineChars="200"/>
        <w:jc w:val="left"/>
        <w:rPr>
          <w:rFonts w:hint="eastAsia" w:ascii="华文仿宋" w:hAnsi="华文仿宋" w:cs="华文仿宋"/>
          <w:color w:val="auto"/>
          <w:lang w:val="en-US" w:eastAsia="zh-CN"/>
        </w:rPr>
      </w:pPr>
      <w:r>
        <w:rPr>
          <w:rFonts w:hint="eastAsia" w:ascii="华文仿宋" w:hAnsi="华文仿宋" w:cs="华文仿宋"/>
          <w:color w:val="auto"/>
          <w:lang w:val="en-US" w:eastAsia="zh-CN"/>
        </w:rPr>
        <w:t>2.《政府采购促进中小企业发展管理办法》（财库〔2020〕46号）、《关于政府采购支持监狱企业发展有关问题的通知》（财库〔2014〕68号）以及《关于促进残疾人就业政府采购政策的通知》（财库〔2017〕141号）。</w:t>
      </w:r>
    </w:p>
    <w:p w14:paraId="3A9CB03E">
      <w:pPr>
        <w:spacing w:line="500" w:lineRule="exact"/>
        <w:ind w:firstLine="566" w:firstLineChars="200"/>
        <w:jc w:val="left"/>
        <w:rPr>
          <w:rFonts w:hint="eastAsia" w:ascii="华文仿宋" w:hAnsi="华文仿宋" w:cs="华文仿宋"/>
          <w:color w:val="auto"/>
          <w:lang w:val="en-US" w:eastAsia="zh-CN"/>
        </w:rPr>
      </w:pPr>
      <w:r>
        <w:rPr>
          <w:rFonts w:hint="eastAsia" w:ascii="华文仿宋" w:hAnsi="华文仿宋" w:cs="华文仿宋"/>
          <w:color w:val="auto"/>
          <w:lang w:val="en-US" w:eastAsia="zh-CN"/>
        </w:rPr>
        <w:t>3.国务院办公厅《关于建立政府强制采购节能产品制度的通知》（国办发〔2007〕51号）。财政部、国家发改委、生态环境部、市场监管总局联合印发《关于调整优化节能产品、环境标志产品政府采购执行机制的通知》（财库〔2019〕9号）。</w:t>
      </w:r>
    </w:p>
    <w:p w14:paraId="4A4805BA">
      <w:pPr>
        <w:spacing w:line="500" w:lineRule="exact"/>
        <w:ind w:firstLine="566" w:firstLineChars="200"/>
        <w:jc w:val="left"/>
        <w:rPr>
          <w:rFonts w:hint="eastAsia" w:ascii="华文仿宋" w:hAnsi="华文仿宋" w:cs="华文仿宋"/>
          <w:color w:val="auto"/>
          <w:lang w:val="en-US" w:eastAsia="zh-CN"/>
        </w:rPr>
      </w:pPr>
      <w:r>
        <w:rPr>
          <w:rFonts w:hint="eastAsia" w:ascii="华文仿宋" w:hAnsi="华文仿宋" w:cs="华文仿宋"/>
          <w:color w:val="auto"/>
          <w:lang w:val="en-US" w:eastAsia="zh-CN"/>
        </w:rPr>
        <w:t>4.《财政部农业农村部 国家乡村振兴局关于运用政府采购政策支持乡村产业振兴的通知》（财库〔2021〕19号）、《财政部农业农村部 国家乡村振兴局 中华全国供销合作总社关于印发&lt;关于深入开展政府采购脱贫地区农副产品工作推进乡村产业振兴的实施意见&gt;的通知》（财库〔2021〕20号）。</w:t>
      </w:r>
    </w:p>
    <w:p w14:paraId="3CB346F8">
      <w:pPr>
        <w:spacing w:line="500" w:lineRule="exact"/>
        <w:ind w:firstLine="566" w:firstLineChars="200"/>
        <w:jc w:val="left"/>
        <w:rPr>
          <w:rFonts w:hint="eastAsia" w:ascii="华文仿宋" w:hAnsi="华文仿宋" w:cs="华文仿宋"/>
          <w:color w:val="auto"/>
          <w:lang w:val="en-US" w:eastAsia="zh-CN"/>
        </w:rPr>
      </w:pPr>
      <w:r>
        <w:rPr>
          <w:rFonts w:hint="eastAsia" w:ascii="华文仿宋" w:hAnsi="华文仿宋" w:cs="华文仿宋"/>
          <w:color w:val="auto"/>
          <w:lang w:val="en-US" w:eastAsia="zh-CN"/>
        </w:rPr>
        <w:t>5.《陕西省财政厅关于加快推进我省中小企业政府采购信用融资工作的通知》（陕财办采〔2020〕15号）、陕西省财政厅关于印发《陕西省中小企业政府采购信用融资办法》（陕财办采〔2018〕23号）。</w:t>
      </w:r>
    </w:p>
    <w:p w14:paraId="74396B84">
      <w:pPr>
        <w:spacing w:line="500" w:lineRule="exact"/>
        <w:ind w:firstLine="566" w:firstLineChars="200"/>
        <w:jc w:val="left"/>
        <w:rPr>
          <w:rFonts w:hint="eastAsia"/>
          <w:b w:val="0"/>
          <w:bCs w:val="0"/>
          <w:color w:val="auto"/>
        </w:rPr>
      </w:pPr>
      <w:r>
        <w:rPr>
          <w:rFonts w:hint="eastAsia" w:ascii="华文仿宋" w:hAnsi="华文仿宋" w:cs="华文仿宋"/>
          <w:color w:val="auto"/>
          <w:lang w:val="en-US" w:eastAsia="zh-CN"/>
        </w:rPr>
        <w:t>6.详见《投标人须知》中“相关政府采购政策文件”有关内容。</w:t>
      </w:r>
    </w:p>
    <w:p w14:paraId="6C908059">
      <w:pPr>
        <w:spacing w:line="500" w:lineRule="exact"/>
        <w:ind w:firstLine="566"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3238FF5E">
      <w:pPr>
        <w:wordWrap w:val="0"/>
        <w:spacing w:line="500" w:lineRule="exact"/>
        <w:ind w:firstLine="566" w:firstLineChars="200"/>
        <w:jc w:val="left"/>
        <w:rPr>
          <w:rFonts w:hint="eastAsia" w:ascii="仿宋" w:hAnsi="仿宋" w:eastAsia="仿宋" w:cs="仿宋"/>
          <w:bCs/>
          <w:color w:val="auto"/>
        </w:rPr>
      </w:pPr>
      <w:bookmarkStart w:id="33" w:name="_Toc26863_WPSOffice_Level2"/>
      <w:bookmarkStart w:id="34" w:name="_Toc26982_WPSOffice_Level2"/>
      <w:bookmarkStart w:id="35" w:name="_Toc20847"/>
      <w:bookmarkStart w:id="36" w:name="_Toc27420_WPSOffice_Level2"/>
      <w:r>
        <w:rPr>
          <w:rFonts w:hint="eastAsia" w:ascii="仿宋" w:hAnsi="仿宋" w:eastAsia="仿宋" w:cs="仿宋"/>
          <w:bCs/>
          <w:color w:val="auto"/>
        </w:rPr>
        <w:t>1.获取方式：投标人可登录全国公共资源交易平台（陕西省·延安市）（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315C23B9">
      <w:pPr>
        <w:wordWrap w:val="0"/>
        <w:spacing w:line="500" w:lineRule="exact"/>
        <w:ind w:firstLine="566"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CA锁）认证及企业信息绑定。相关操作流程详见全国公共资源交易平台（陕西省·延安市）网站〖首页·〉服务指南·〉下载专区〗中的《延安市公共资源交易中心政府采购电子招投标全流程操作手册》。</w:t>
      </w:r>
    </w:p>
    <w:p w14:paraId="697EFC62">
      <w:pPr>
        <w:wordWrap w:val="0"/>
        <w:spacing w:line="500" w:lineRule="exact"/>
        <w:ind w:firstLine="566" w:firstLineChars="200"/>
        <w:jc w:val="left"/>
        <w:rPr>
          <w:rFonts w:ascii="仿宋" w:hAnsi="仿宋" w:eastAsia="仿宋" w:cs="仿宋"/>
          <w:bCs/>
          <w:color w:val="auto"/>
        </w:rPr>
      </w:pPr>
      <w:r>
        <w:rPr>
          <w:rFonts w:hint="eastAsia" w:ascii="仿宋" w:hAnsi="仿宋" w:eastAsia="仿宋" w:cs="仿宋"/>
          <w:bCs/>
          <w:color w:val="auto"/>
        </w:rPr>
        <w:t>3.数字认证证书（CA锁）办理流程可参照https://www.snca.com.cn/notice/show/533.html，现场办理地址：延安市新区为民服务中心南区东楼（7号楼）A2楼，咨询电话：0911-2162266。</w:t>
      </w:r>
    </w:p>
    <w:p w14:paraId="5395B751">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 xml:space="preserve">6 </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10月9日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 xml:space="preserve">6 </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14</w:t>
      </w:r>
      <w:r>
        <w:rPr>
          <w:rFonts w:hint="eastAsia" w:ascii="仿宋" w:hAnsi="仿宋" w:eastAsia="仿宋" w:cs="仿宋"/>
          <w:b/>
          <w:bCs/>
          <w:color w:val="auto"/>
          <w:highlight w:val="none"/>
        </w:rPr>
        <w:t>日</w:t>
      </w:r>
      <w:r>
        <w:rPr>
          <w:rFonts w:hint="eastAsia" w:ascii="仿宋" w:hAnsi="仿宋" w:eastAsia="仿宋" w:cs="仿宋"/>
          <w:b/>
          <w:bCs/>
          <w:color w:val="auto"/>
          <w:highlight w:val="none"/>
        </w:rPr>
        <w:t>，每天上午08: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rPr>
        <w:t>0:00（北京时间,法定节假日除外）</w:t>
      </w:r>
    </w:p>
    <w:p w14:paraId="5D583DD4">
      <w:pPr>
        <w:spacing w:line="500" w:lineRule="exact"/>
        <w:ind w:firstLine="566" w:firstLineChars="200"/>
        <w:rPr>
          <w:b/>
          <w:bCs/>
          <w:color w:val="auto"/>
          <w:highlight w:val="none"/>
        </w:rPr>
      </w:pPr>
      <w:r>
        <w:rPr>
          <w:rFonts w:hint="eastAsia"/>
          <w:b/>
          <w:bCs/>
          <w:color w:val="auto"/>
          <w:highlight w:val="none"/>
        </w:rPr>
        <w:t>十三、磋商保证金</w:t>
      </w:r>
      <w:bookmarkEnd w:id="33"/>
      <w:bookmarkEnd w:id="34"/>
      <w:bookmarkEnd w:id="35"/>
      <w:bookmarkEnd w:id="36"/>
    </w:p>
    <w:p w14:paraId="3CCDE61E">
      <w:pPr>
        <w:spacing w:line="500" w:lineRule="exact"/>
        <w:ind w:firstLine="566"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787DC534">
      <w:pPr>
        <w:spacing w:line="500" w:lineRule="exact"/>
        <w:ind w:firstLine="566"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65166D49">
      <w:pPr>
        <w:spacing w:line="500" w:lineRule="exact"/>
        <w:ind w:firstLine="566"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5D2EC8FE">
      <w:pPr>
        <w:spacing w:line="500" w:lineRule="exact"/>
        <w:ind w:firstLine="566" w:firstLineChars="200"/>
        <w:rPr>
          <w:color w:val="auto"/>
          <w:highlight w:val="none"/>
        </w:rPr>
      </w:pPr>
      <w:r>
        <w:rPr>
          <w:rFonts w:hint="eastAsia"/>
          <w:color w:val="auto"/>
          <w:highlight w:val="none"/>
        </w:rPr>
        <w:t>电子响应文件（*.SXSTF）可于提交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D36AAB8">
      <w:pPr>
        <w:spacing w:line="500" w:lineRule="exact"/>
        <w:ind w:firstLine="566"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10</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23</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00</w:t>
      </w:r>
    </w:p>
    <w:p w14:paraId="54B0F82D">
      <w:pPr>
        <w:spacing w:line="500" w:lineRule="exact"/>
        <w:ind w:firstLine="542"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highlight w:val="none"/>
          <w:lang w:val="en-US" w:eastAsia="zh-CN"/>
        </w:rPr>
        <w:t>电子</w:t>
      </w:r>
      <w:r>
        <w:rPr>
          <w:rFonts w:hint="eastAsia"/>
          <w:b/>
          <w:bCs/>
          <w:color w:val="auto"/>
          <w:highlight w:val="none"/>
        </w:rPr>
        <w:t>响应文件</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4EC9B4A4">
      <w:pPr>
        <w:keepNext w:val="0"/>
        <w:keepLines w:val="0"/>
        <w:pageBreakBefore w:val="0"/>
        <w:widowControl/>
        <w:kinsoku/>
        <w:wordWrap/>
        <w:overflowPunct/>
        <w:topLinePunct w:val="0"/>
        <w:autoSpaceDE/>
        <w:autoSpaceDN/>
        <w:bidi w:val="0"/>
        <w:adjustRightInd/>
        <w:snapToGrid/>
        <w:spacing w:line="500" w:lineRule="exact"/>
        <w:ind w:left="0" w:leftChars="0" w:firstLine="566" w:firstLineChars="200"/>
        <w:textAlignment w:val="auto"/>
        <w:rPr>
          <w:rFonts w:hint="default" w:eastAsia="华文仿宋"/>
          <w:b/>
          <w:bCs/>
          <w:color w:val="auto"/>
          <w:highlight w:val="none"/>
          <w:lang w:val="en-US"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lang w:val="en-US" w:eastAsia="zh-CN"/>
        </w:rPr>
        <w:t>电子</w:t>
      </w:r>
      <w:r>
        <w:rPr>
          <w:rFonts w:hint="eastAsia"/>
          <w:b/>
          <w:bCs/>
          <w:color w:val="auto"/>
          <w:highlight w:val="none"/>
        </w:rPr>
        <w:t>响应文件开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开标5室</w:t>
      </w:r>
    </w:p>
    <w:p w14:paraId="120FCCD1">
      <w:pPr>
        <w:keepNext w:val="0"/>
        <w:keepLines w:val="0"/>
        <w:pageBreakBefore w:val="0"/>
        <w:widowControl/>
        <w:kinsoku/>
        <w:wordWrap/>
        <w:overflowPunct/>
        <w:topLinePunct w:val="0"/>
        <w:autoSpaceDE/>
        <w:autoSpaceDN/>
        <w:bidi w:val="0"/>
        <w:adjustRightInd/>
        <w:snapToGrid/>
        <w:spacing w:line="500" w:lineRule="exact"/>
        <w:ind w:left="0" w:leftChars="0" w:firstLine="566" w:firstLineChars="200"/>
        <w:textAlignment w:val="auto"/>
        <w:rPr>
          <w:rFonts w:hint="eastAsia"/>
          <w:b/>
          <w:bCs/>
          <w:color w:val="auto"/>
          <w:highlight w:val="none"/>
          <w:lang w:val="en-US" w:eastAsia="zh-CN"/>
        </w:rPr>
      </w:pPr>
      <w:r>
        <w:rPr>
          <w:rFonts w:hint="eastAsia"/>
          <w:b/>
          <w:bCs/>
          <w:color w:val="auto"/>
          <w:highlight w:val="none"/>
          <w:lang w:val="en-US" w:eastAsia="zh-CN"/>
        </w:rPr>
        <w:t>评标地点：延安市新区为民服务中心南区东楼二楼公共资源交易中心评标室</w:t>
      </w:r>
    </w:p>
    <w:p w14:paraId="42BAEAF7">
      <w:pPr>
        <w:keepNext w:val="0"/>
        <w:keepLines w:val="0"/>
        <w:pageBreakBefore w:val="0"/>
        <w:widowControl/>
        <w:kinsoku/>
        <w:wordWrap w:val="0"/>
        <w:overflowPunct/>
        <w:topLinePunct w:val="0"/>
        <w:autoSpaceDE/>
        <w:autoSpaceDN/>
        <w:bidi w:val="0"/>
        <w:adjustRightInd/>
        <w:snapToGrid/>
        <w:spacing w:line="500" w:lineRule="exact"/>
        <w:ind w:firstLine="566" w:firstLineChars="200"/>
        <w:textAlignment w:val="auto"/>
        <w:rPr>
          <w:rFonts w:hint="default" w:ascii="宋体" w:hAnsi="宋体" w:eastAsia="华文仿宋" w:cs="宋体"/>
          <w:color w:val="000000"/>
          <w:sz w:val="21"/>
          <w:szCs w:val="21"/>
          <w:lang w:val="en-US" w:eastAsia="zh-CN"/>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lang w:val="en-US" w:eastAsia="zh-CN"/>
        </w:rPr>
        <w:t>0512-58188039</w:t>
      </w:r>
    </w:p>
    <w:p w14:paraId="6A09BB28">
      <w:pPr>
        <w:spacing w:line="500" w:lineRule="exact"/>
        <w:ind w:firstLine="566"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D376141">
      <w:pPr>
        <w:spacing w:line="500" w:lineRule="exact"/>
        <w:ind w:firstLine="566" w:firstLineChars="200"/>
        <w:rPr>
          <w:b/>
          <w:bCs/>
          <w:color w:val="000000"/>
        </w:rPr>
      </w:pPr>
      <w:bookmarkStart w:id="37" w:name="_Toc17917"/>
      <w:bookmarkStart w:id="38" w:name="_Toc22849_WPSOffice_Level2"/>
      <w:bookmarkStart w:id="39" w:name="_Toc20005"/>
      <w:bookmarkStart w:id="40" w:name="_Toc10758_WPSOffice_Level2"/>
      <w:bookmarkStart w:id="41" w:name="_Toc14110_WPSOffice_Level2"/>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117C8AE4">
      <w:pPr>
        <w:spacing w:line="500" w:lineRule="exact"/>
        <w:ind w:firstLine="566" w:firstLineChars="200"/>
        <w:rPr>
          <w:rFonts w:hint="eastAsia" w:ascii="宋体" w:hAnsi="宋体" w:eastAsia="宋体" w:cs="宋体"/>
          <w:b/>
          <w:bCs/>
          <w:color w:val="000000"/>
        </w:rPr>
      </w:pPr>
    </w:p>
    <w:p w14:paraId="24D02F7D">
      <w:pPr>
        <w:spacing w:line="500" w:lineRule="exact"/>
        <w:ind w:firstLine="566" w:firstLineChars="200"/>
        <w:rPr>
          <w:rFonts w:hint="eastAsia" w:ascii="宋体" w:hAnsi="宋体" w:eastAsia="宋体" w:cs="宋体"/>
          <w:b/>
          <w:bCs/>
          <w:color w:val="000000"/>
        </w:rPr>
      </w:pPr>
    </w:p>
    <w:p w14:paraId="69A4DA50">
      <w:pPr>
        <w:spacing w:line="500" w:lineRule="exact"/>
        <w:ind w:firstLine="566" w:firstLineChars="200"/>
        <w:rPr>
          <w:rFonts w:hint="eastAsia" w:ascii="宋体" w:hAnsi="宋体" w:eastAsia="宋体" w:cs="宋体"/>
          <w:b/>
          <w:bCs/>
          <w:color w:val="000000"/>
        </w:rPr>
      </w:pPr>
    </w:p>
    <w:p w14:paraId="05B238A2">
      <w:pPr>
        <w:spacing w:line="500" w:lineRule="exact"/>
        <w:ind w:firstLine="566" w:firstLineChars="200"/>
        <w:rPr>
          <w:rFonts w:ascii="宋体" w:hAnsi="宋体" w:eastAsia="宋体" w:cs="宋体"/>
          <w:b/>
          <w:bCs/>
          <w:color w:val="000000"/>
        </w:rPr>
      </w:pPr>
      <w:r>
        <w:rPr>
          <w:rFonts w:hint="eastAsia" w:ascii="宋体" w:hAnsi="宋体" w:eastAsia="宋体" w:cs="宋体"/>
          <w:b/>
          <w:bCs/>
          <w:color w:val="000000"/>
        </w:rPr>
        <w:t>特别提醒：</w:t>
      </w:r>
    </w:p>
    <w:p w14:paraId="3DE374F6">
      <w:pPr>
        <w:numPr>
          <w:ilvl w:val="-1"/>
          <w:numId w:val="0"/>
        </w:numPr>
        <w:wordWrap w:val="0"/>
        <w:spacing w:line="500" w:lineRule="exact"/>
        <w:ind w:left="0" w:leftChars="0" w:firstLine="426" w:firstLineChars="200"/>
        <w:rPr>
          <w:rFonts w:ascii="宋体" w:hAnsi="宋体" w:eastAsia="宋体" w:cs="宋体"/>
          <w:b/>
          <w:bCs/>
          <w:color w:val="auto"/>
          <w:sz w:val="21"/>
          <w:szCs w:val="21"/>
          <w:highlight w:val="none"/>
        </w:rPr>
      </w:pPr>
      <w:bookmarkStart w:id="42" w:name="_Toc495014953"/>
      <w:bookmarkStart w:id="43" w:name="_Toc495014584"/>
      <w:bookmarkStart w:id="44" w:name="_Toc495014919"/>
      <w:bookmarkStart w:id="45" w:name="_Toc495014648"/>
      <w:bookmarkStart w:id="46" w:name="_Toc15046_WPSOffice_Level1"/>
      <w:bookmarkStart w:id="47" w:name="_Toc4326"/>
      <w:bookmarkStart w:id="48" w:name="_Toc19337_WPSOffice_Level1"/>
      <w:bookmarkStart w:id="49" w:name="_Toc445306492"/>
      <w:bookmarkStart w:id="50" w:name="_Toc495012770"/>
      <w:bookmarkStart w:id="51" w:name="_Toc7814"/>
      <w:bookmarkStart w:id="52" w:name="_Toc495012820"/>
      <w:bookmarkStart w:id="53" w:name="_Toc495014610"/>
      <w:bookmarkStart w:id="54" w:name="_Toc22804_WPSOffice_Level1"/>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01F21DAF">
      <w:pPr>
        <w:spacing w:line="460" w:lineRule="exact"/>
        <w:ind w:firstLine="426"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陕西省·延安市）（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3F67FFB6">
      <w:pPr>
        <w:wordWrap w:val="0"/>
        <w:spacing w:line="460" w:lineRule="exact"/>
        <w:ind w:firstLine="426"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72B53ADC">
      <w:pPr>
        <w:keepNext/>
        <w:keepLines/>
        <w:rPr>
          <w:rFonts w:ascii="黑体" w:hAnsi="黑体" w:eastAsia="黑体"/>
          <w:b/>
          <w:bCs/>
          <w:color w:val="000000"/>
          <w:sz w:val="32"/>
          <w:szCs w:val="32"/>
        </w:rPr>
      </w:pPr>
    </w:p>
    <w:p w14:paraId="22766AE2">
      <w:pPr>
        <w:pStyle w:val="3"/>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4C962DE6">
      <w:pPr>
        <w:pStyle w:val="4"/>
        <w:ind w:firstLine="567"/>
        <w:rPr>
          <w:color w:val="000000"/>
          <w:sz w:val="28"/>
          <w:szCs w:val="28"/>
        </w:rPr>
      </w:pPr>
      <w:bookmarkStart w:id="56" w:name="_Toc18466_WPSOffice_Level2"/>
      <w:bookmarkStart w:id="57" w:name="_Toc3858_WPSOffice_Level2"/>
      <w:bookmarkStart w:id="58" w:name="_Toc12337"/>
      <w:bookmarkStart w:id="59" w:name="_Toc11989"/>
      <w:bookmarkStart w:id="60" w:name="_Toc16238"/>
      <w:bookmarkStart w:id="61" w:name="_Toc24451_WPSOffice_Level2"/>
      <w:r>
        <w:rPr>
          <w:rFonts w:hint="eastAsia"/>
          <w:color w:val="000000"/>
          <w:sz w:val="28"/>
          <w:szCs w:val="28"/>
        </w:rPr>
        <w:t>一、定义</w:t>
      </w:r>
      <w:bookmarkEnd w:id="56"/>
      <w:bookmarkEnd w:id="57"/>
      <w:bookmarkEnd w:id="58"/>
      <w:bookmarkEnd w:id="59"/>
      <w:bookmarkEnd w:id="60"/>
      <w:bookmarkEnd w:id="61"/>
    </w:p>
    <w:p w14:paraId="5C7087AF">
      <w:pPr>
        <w:spacing w:line="500" w:lineRule="exact"/>
        <w:ind w:firstLine="606" w:firstLineChars="200"/>
        <w:rPr>
          <w:rFonts w:hint="eastAsia" w:ascii="华文仿宋" w:hAnsi="华文仿宋" w:eastAsia="华文仿宋" w:cs="华文仿宋"/>
          <w:color w:val="000000"/>
          <w:sz w:val="30"/>
          <w:szCs w:val="30"/>
          <w:lang w:eastAsia="zh-CN"/>
        </w:rPr>
      </w:pPr>
      <w:bookmarkStart w:id="62" w:name="_Toc11840_WPSOffice_Level3"/>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lang w:eastAsia="zh-CN"/>
        </w:rPr>
        <w:t xml:space="preserve">延安市机关事务服务中心 </w:t>
      </w:r>
    </w:p>
    <w:p w14:paraId="7053C58F">
      <w:pPr>
        <w:spacing w:line="500" w:lineRule="exact"/>
        <w:ind w:firstLine="606"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6F71C268">
      <w:pPr>
        <w:spacing w:line="500" w:lineRule="exact"/>
        <w:ind w:firstLine="606" w:firstLineChars="200"/>
        <w:rPr>
          <w:rFonts w:hint="eastAsia" w:ascii="华文仿宋" w:hAnsi="华文仿宋" w:cs="华文仿宋"/>
          <w:color w:val="000000"/>
          <w:sz w:val="30"/>
          <w:szCs w:val="30"/>
          <w:lang w:val="en-US" w:eastAsia="zh-CN"/>
        </w:rPr>
      </w:pPr>
      <w:r>
        <w:rPr>
          <w:rFonts w:hint="eastAsia" w:ascii="华文仿宋" w:hAnsi="华文仿宋" w:cs="华文仿宋"/>
          <w:color w:val="000000"/>
          <w:sz w:val="30"/>
          <w:szCs w:val="30"/>
        </w:rPr>
        <w:t>（三）集中采购机构：</w:t>
      </w:r>
      <w:bookmarkStart w:id="63" w:name="_Toc20141_WPSOffice_Level3"/>
      <w:r>
        <w:rPr>
          <w:rFonts w:hint="eastAsia" w:ascii="华文仿宋" w:hAnsi="华文仿宋" w:cs="华文仿宋"/>
          <w:color w:val="000000"/>
          <w:sz w:val="30"/>
          <w:szCs w:val="30"/>
          <w:lang w:val="en-US" w:eastAsia="zh-CN"/>
        </w:rPr>
        <w:t>延安市公共资源交易中心（延安市市直单位政府采购中心）（以下简称：中心）</w:t>
      </w:r>
    </w:p>
    <w:p w14:paraId="05B9AD03">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46E23D9F">
      <w:pPr>
        <w:pStyle w:val="4"/>
        <w:ind w:firstLine="567"/>
        <w:rPr>
          <w:rFonts w:ascii="华文仿宋" w:hAnsi="华文仿宋" w:cs="华文仿宋"/>
          <w:color w:val="000000"/>
          <w:sz w:val="28"/>
          <w:szCs w:val="28"/>
        </w:rPr>
      </w:pPr>
      <w:bookmarkStart w:id="64" w:name="_Toc27278_WPSOffice_Level2"/>
      <w:bookmarkStart w:id="65" w:name="_Toc11745_WPSOffice_Level2"/>
      <w:bookmarkStart w:id="66" w:name="_Toc20906_WPSOffice_Level2"/>
      <w:bookmarkStart w:id="67" w:name="_Toc1878"/>
      <w:bookmarkStart w:id="68" w:name="_Toc9291"/>
      <w:bookmarkStart w:id="69" w:name="_Toc4606"/>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75ACD71A">
      <w:pPr>
        <w:spacing w:line="500" w:lineRule="exact"/>
        <w:ind w:firstLine="566" w:firstLineChars="200"/>
        <w:rPr>
          <w:b/>
          <w:bCs/>
          <w:color w:val="000000"/>
        </w:rPr>
      </w:pPr>
      <w:bookmarkStart w:id="70" w:name="_Toc21291"/>
      <w:bookmarkStart w:id="71" w:name="_Toc26982_WPSOffice_Level3"/>
      <w:r>
        <w:rPr>
          <w:rFonts w:hint="eastAsia"/>
          <w:b/>
          <w:bCs/>
          <w:color w:val="000000"/>
        </w:rPr>
        <w:t>（一）询问</w:t>
      </w:r>
      <w:bookmarkEnd w:id="70"/>
      <w:bookmarkEnd w:id="71"/>
    </w:p>
    <w:p w14:paraId="6EE8C09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应告知采购人并协助采购人做出答复。</w:t>
      </w:r>
    </w:p>
    <w:p w14:paraId="765680F3">
      <w:pPr>
        <w:spacing w:line="500" w:lineRule="exact"/>
        <w:ind w:firstLine="566" w:firstLineChars="200"/>
        <w:rPr>
          <w:b/>
          <w:bCs/>
          <w:color w:val="000000"/>
        </w:rPr>
      </w:pPr>
      <w:r>
        <w:rPr>
          <w:rFonts w:hint="eastAsia" w:ascii="华文仿宋" w:hAnsi="华文仿宋" w:cs="华文仿宋"/>
          <w:color w:val="000000"/>
        </w:rPr>
        <w:t>供应商对采购过程、中标（成交）结果，向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3828ED9B">
      <w:pPr>
        <w:spacing w:line="500" w:lineRule="exact"/>
        <w:ind w:firstLine="566" w:firstLineChars="200"/>
        <w:rPr>
          <w:rFonts w:ascii="华文仿宋" w:hAnsi="华文仿宋" w:cs="华文仿宋"/>
          <w:b/>
          <w:color w:val="000000"/>
        </w:rPr>
      </w:pPr>
      <w:bookmarkStart w:id="72" w:name="_Toc669_WPSOffice_Level3"/>
      <w:r>
        <w:rPr>
          <w:rFonts w:hint="eastAsia" w:ascii="华文仿宋" w:hAnsi="华文仿宋" w:cs="华文仿宋"/>
          <w:b/>
          <w:color w:val="000000"/>
        </w:rPr>
        <w:t>（二）现场踏勘及标前答疑会</w:t>
      </w:r>
      <w:bookmarkEnd w:id="72"/>
    </w:p>
    <w:p w14:paraId="5340E636">
      <w:pPr>
        <w:pStyle w:val="7"/>
        <w:spacing w:line="500" w:lineRule="exact"/>
        <w:ind w:firstLine="566" w:firstLineChars="200"/>
        <w:rPr>
          <w:color w:val="000000"/>
        </w:rPr>
      </w:pPr>
      <w:bookmarkStart w:id="73" w:name="_Toc9412_WPSOffice_Level3"/>
      <w:r>
        <w:rPr>
          <w:rFonts w:hint="eastAsia"/>
          <w:color w:val="000000"/>
        </w:rPr>
        <w:t>采购项目安排现场考察和标前答疑的，采购人应尽量在现场予以解答（口头提问可口头答复），现场不能做出解答的，应在三个工作日内书面答复，并交由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4C44C976">
      <w:pPr>
        <w:spacing w:line="500" w:lineRule="exact"/>
        <w:ind w:firstLine="566"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245A1C9A">
      <w:pPr>
        <w:spacing w:line="500" w:lineRule="exact"/>
        <w:ind w:firstLine="566"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58D91BA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（三）质疑和投诉</w:t>
      </w:r>
      <w:bookmarkEnd w:id="73"/>
    </w:p>
    <w:p w14:paraId="256EB272">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1233E1A">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gks.mof.gov.cn）】网站〖首页•〉政府采购管理〗栏目中的《政府采购供应商质疑函范本》。</w:t>
      </w:r>
    </w:p>
    <w:p w14:paraId="32348573">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69AAADEB">
      <w:pPr>
        <w:spacing w:line="500" w:lineRule="exact"/>
        <w:ind w:firstLine="566"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76B541BF">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74E0F1D0">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或采购人将在收到书面质疑后7个工作日内做出答复，并以书面形式通知质疑人和其他有关供应商。</w:t>
      </w:r>
    </w:p>
    <w:p w14:paraId="64444E77">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272F9AA5">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（1）质疑人不是参与本次政府采购项目的供应商或潜在供应商；</w:t>
      </w:r>
    </w:p>
    <w:p w14:paraId="13B3B28D">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（2）质疑人与质疑事项不存在利害关系的；</w:t>
      </w:r>
    </w:p>
    <w:p w14:paraId="15B29827">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（3）未在法定期限内提出质疑的；</w:t>
      </w:r>
    </w:p>
    <w:p w14:paraId="65E0F5AF">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（4）质疑未以书面形式提出，或质疑函主要内容构成不完整的，或缺乏必要的证明材料及证明材料不完整的；</w:t>
      </w:r>
    </w:p>
    <w:p w14:paraId="533F441D">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（5）质疑函没有合法有效的签字、盖章或授权的；</w:t>
      </w:r>
    </w:p>
    <w:p w14:paraId="0A8E8849">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（6）以非法手段取得证据、材料的；</w:t>
      </w:r>
    </w:p>
    <w:p w14:paraId="4747E63D">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（7）质疑答复后，同一质疑人就同一事项再次提出质疑的；</w:t>
      </w:r>
    </w:p>
    <w:p w14:paraId="5A4D1693">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（8）不符合法律、法规、规章和政府采购监管机构规定的其他条件的。</w:t>
      </w:r>
    </w:p>
    <w:p w14:paraId="4269959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或采购人未在规定时间内做出答复的，可以在答复期满后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1F3110A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1998907F">
      <w:pPr>
        <w:spacing w:line="500" w:lineRule="exact"/>
        <w:ind w:firstLine="566"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CAB428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E7876FB">
      <w:pPr>
        <w:spacing w:line="500" w:lineRule="exact"/>
        <w:ind w:firstLine="566"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1BB5F47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0BAA307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546C8424">
      <w:pPr>
        <w:numPr>
          <w:ilvl w:val="0"/>
          <w:numId w:val="0"/>
        </w:numPr>
        <w:spacing w:line="500" w:lineRule="exact"/>
        <w:ind w:firstLine="566"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中心</w:t>
      </w:r>
    </w:p>
    <w:p w14:paraId="6DC7ED62">
      <w:pPr>
        <w:spacing w:line="500" w:lineRule="exact"/>
        <w:ind w:firstLine="566"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4858F69F">
      <w:pPr>
        <w:spacing w:line="500" w:lineRule="exact"/>
        <w:ind w:firstLine="566"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013800F2">
      <w:pPr>
        <w:spacing w:line="500" w:lineRule="exact"/>
        <w:ind w:firstLine="566"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15212E4">
      <w:pPr>
        <w:spacing w:line="500" w:lineRule="exact"/>
        <w:ind w:firstLine="566"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rPr>
        <w:t>（四）关于信用记录的查询和使用</w:t>
      </w:r>
    </w:p>
    <w:p w14:paraId="3684B56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w:t>
      </w:r>
      <w:r>
        <w:rPr>
          <w:rFonts w:hint="eastAsia" w:ascii="仿宋" w:hAnsi="仿宋" w:eastAsia="仿宋" w:cs="仿宋"/>
          <w:color w:val="000000"/>
        </w:rPr>
        <w:t>〔2016〕125号）</w:t>
      </w:r>
      <w:r>
        <w:rPr>
          <w:rFonts w:hint="eastAsia" w:ascii="华文仿宋" w:hAnsi="华文仿宋" w:cs="华文仿宋"/>
          <w:color w:val="000000"/>
        </w:rPr>
        <w:t>的第二条第（三）款规定，其磋商或成交资格将被取消。</w:t>
      </w:r>
    </w:p>
    <w:p w14:paraId="0859408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7408C03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含当日）”。信用记录查询的结果，可以纸质截图或将截图保存至电子介质的形式留存。供应商未如实填报《供应商信用记录书面声明函》的，视为“供应商提供虚假材料谋取中标、成交的”行为。</w:t>
      </w:r>
    </w:p>
    <w:p w14:paraId="694AAB2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0E2DD9FC">
      <w:pPr>
        <w:spacing w:line="500" w:lineRule="exact"/>
        <w:ind w:firstLine="566"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62FA5760">
      <w:pPr>
        <w:spacing w:line="500" w:lineRule="exact"/>
        <w:ind w:firstLine="566" w:firstLineChars="200"/>
        <w:rPr>
          <w:rFonts w:ascii="华文仿宋" w:hAnsi="华文仿宋" w:cs="华文仿宋"/>
          <w:color w:val="auto"/>
          <w:highlight w:val="none"/>
        </w:rPr>
      </w:pPr>
      <w:bookmarkStart w:id="75" w:name="_Toc3858_WPSOffice_Level3"/>
      <w:r>
        <w:rPr>
          <w:rFonts w:ascii="华文仿宋" w:hAnsi="华文仿宋" w:cs="华文仿宋"/>
          <w:color w:val="auto"/>
          <w:highlight w:val="none"/>
        </w:rPr>
        <w:t>1</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根据《政府采购促进中小企业发展管理办法》（财库</w:t>
      </w:r>
      <w:r>
        <w:rPr>
          <w:rFonts w:hint="eastAsia" w:ascii="仿宋" w:hAnsi="仿宋" w:eastAsia="仿宋" w:cs="仿宋"/>
          <w:color w:val="auto"/>
          <w:highlight w:val="none"/>
        </w:rPr>
        <w:t>〔</w:t>
      </w:r>
      <w:r>
        <w:rPr>
          <w:rFonts w:ascii="仿宋" w:hAnsi="仿宋" w:eastAsia="仿宋" w:cs="仿宋"/>
          <w:color w:val="auto"/>
          <w:highlight w:val="none"/>
        </w:rPr>
        <w:t>20</w:t>
      </w:r>
      <w:r>
        <w:rPr>
          <w:rFonts w:hint="eastAsia" w:ascii="仿宋" w:hAnsi="仿宋" w:eastAsia="仿宋" w:cs="仿宋"/>
          <w:color w:val="auto"/>
          <w:highlight w:val="none"/>
        </w:rPr>
        <w:t>20〕46</w:t>
      </w:r>
      <w:r>
        <w:rPr>
          <w:rFonts w:hint="eastAsia" w:ascii="华文仿宋" w:hAnsi="华文仿宋" w:cs="华文仿宋"/>
          <w:color w:val="auto"/>
          <w:highlight w:val="none"/>
        </w:rPr>
        <w:t>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货物和服务项目对小型和微型企业产品的价格给予</w:t>
      </w:r>
      <w:r>
        <w:rPr>
          <w:rFonts w:ascii="仿宋" w:hAnsi="仿宋" w:eastAsia="仿宋" w:cs="仿宋"/>
          <w:color w:val="auto"/>
          <w:highlight w:val="none"/>
        </w:rPr>
        <w:t>6%-10%</w:t>
      </w:r>
      <w:r>
        <w:rPr>
          <w:rFonts w:hint="eastAsia" w:ascii="华文仿宋" w:hAnsi="华文仿宋" w:cs="华文仿宋"/>
          <w:color w:val="auto"/>
          <w:highlight w:val="none"/>
        </w:rPr>
        <w:t>的价格扣除，工程项目给予3</w:t>
      </w:r>
      <w:r>
        <w:rPr>
          <w:rFonts w:ascii="仿宋" w:hAnsi="仿宋" w:eastAsia="仿宋" w:cs="仿宋"/>
          <w:color w:val="auto"/>
          <w:highlight w:val="none"/>
        </w:rPr>
        <w:t>%-</w:t>
      </w:r>
      <w:r>
        <w:rPr>
          <w:rFonts w:hint="eastAsia" w:ascii="仿宋" w:hAnsi="仿宋" w:eastAsia="仿宋" w:cs="仿宋"/>
          <w:color w:val="auto"/>
          <w:highlight w:val="none"/>
        </w:rPr>
        <w:t>5</w:t>
      </w:r>
      <w:r>
        <w:rPr>
          <w:rFonts w:ascii="仿宋" w:hAnsi="仿宋" w:eastAsia="仿宋" w:cs="仿宋"/>
          <w:color w:val="auto"/>
          <w:highlight w:val="none"/>
        </w:rPr>
        <w:t>%</w:t>
      </w:r>
      <w:r>
        <w:rPr>
          <w:rFonts w:hint="eastAsia" w:ascii="华文仿宋" w:hAnsi="华文仿宋" w:cs="华文仿宋"/>
          <w:color w:val="auto"/>
          <w:highlight w:val="none"/>
        </w:rPr>
        <w:t>的价格扣除，用扣除后的价格参与评审。</w:t>
      </w:r>
    </w:p>
    <w:p w14:paraId="4289EFFF">
      <w:pPr>
        <w:spacing w:line="500" w:lineRule="exact"/>
        <w:ind w:firstLine="566" w:firstLineChars="200"/>
        <w:rPr>
          <w:rFonts w:ascii="华文仿宋" w:cs="Times New Roman"/>
          <w:color w:val="auto"/>
          <w:highlight w:val="none"/>
        </w:rPr>
      </w:pPr>
      <w:r>
        <w:rPr>
          <w:rFonts w:hint="eastAsia" w:ascii="华文仿宋" w:hAnsi="华文仿宋" w:cs="华文仿宋"/>
          <w:color w:val="auto"/>
          <w:highlight w:val="none"/>
        </w:rPr>
        <w:t>在货物采购项目中，供应商提供的货物既有中小企业制造货物，也有大型企业制造货物的，不享受政府采购价格扣除优惠政策。</w:t>
      </w:r>
    </w:p>
    <w:p w14:paraId="2568E96B">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接受大中型企业与小微企业组成联合体或者允许大中型企业向一家或者多家小微企业分包的采购项目，对于联合协议或者分包意向协议约定小微企业的合同份额占到合同总金额</w:t>
      </w:r>
      <w:r>
        <w:rPr>
          <w:rFonts w:hint="eastAsia" w:ascii="仿宋" w:hAnsi="仿宋" w:eastAsia="仿宋" w:cs="仿宋"/>
          <w:color w:val="auto"/>
          <w:highlight w:val="none"/>
        </w:rPr>
        <w:t>30%</w:t>
      </w:r>
      <w:r>
        <w:rPr>
          <w:rFonts w:hint="eastAsia" w:ascii="华文仿宋" w:hAnsi="华文仿宋" w:cs="华文仿宋"/>
          <w:color w:val="auto"/>
          <w:highlight w:val="none"/>
        </w:rPr>
        <w:t>以上的，货物和服务项目可给予联合体或者大中型企业的报价</w:t>
      </w:r>
      <w:r>
        <w:rPr>
          <w:rFonts w:hint="eastAsia" w:ascii="仿宋" w:hAnsi="仿宋" w:eastAsia="仿宋" w:cs="仿宋"/>
          <w:color w:val="auto"/>
          <w:highlight w:val="none"/>
        </w:rPr>
        <w:t>2%-3%</w:t>
      </w:r>
      <w:r>
        <w:rPr>
          <w:rFonts w:hint="eastAsia" w:ascii="华文仿宋" w:hAnsi="华文仿宋" w:cs="华文仿宋"/>
          <w:color w:val="auto"/>
          <w:highlight w:val="none"/>
        </w:rPr>
        <w:t>的扣除，工程项目为</w:t>
      </w:r>
      <w:r>
        <w:rPr>
          <w:rFonts w:hint="eastAsia" w:ascii="仿宋" w:hAnsi="仿宋" w:eastAsia="仿宋" w:cs="仿宋"/>
          <w:color w:val="auto"/>
          <w:highlight w:val="none"/>
        </w:rPr>
        <w:t>1%-2%</w:t>
      </w:r>
      <w:r>
        <w:rPr>
          <w:rFonts w:hint="eastAsia" w:ascii="华文仿宋" w:hAnsi="华文仿宋" w:cs="华文仿宋"/>
          <w:color w:val="auto"/>
          <w:highlight w:val="none"/>
        </w:rPr>
        <w:t>的扣除。联合体各方均为小型、微型企业的，联合体视同为小型、微型企业。组成联合体或者接受分包的小微企业与联合体内其他企业、分包企业之间存在直接控股、管理关系的，不享受价格扣除优惠政策。</w:t>
      </w:r>
    </w:p>
    <w:p w14:paraId="4EEC2727">
      <w:pPr>
        <w:spacing w:line="500" w:lineRule="exact"/>
        <w:ind w:firstLine="566" w:firstLineChars="200"/>
        <w:rPr>
          <w:rFonts w:ascii="华文仿宋" w:hAnsi="华文仿宋" w:cs="华文仿宋"/>
          <w:b/>
          <w:bCs/>
          <w:color w:val="auto"/>
          <w:highlight w:val="none"/>
        </w:rPr>
      </w:pPr>
      <w:r>
        <w:rPr>
          <w:rFonts w:hint="eastAsia" w:ascii="华文仿宋" w:hAnsi="华文仿宋" w:cs="华文仿宋"/>
          <w:color w:val="auto"/>
          <w:highlight w:val="none"/>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458002A9">
      <w:pPr>
        <w:spacing w:line="500" w:lineRule="exact"/>
        <w:ind w:firstLine="566" w:firstLineChars="200"/>
        <w:rPr>
          <w:rFonts w:ascii="华文仿宋" w:hAnsi="华文仿宋" w:cs="华文仿宋"/>
          <w:b/>
          <w:bCs/>
          <w:color w:val="auto"/>
          <w:highlight w:val="none"/>
        </w:rPr>
      </w:pPr>
      <w:r>
        <w:rPr>
          <w:rFonts w:hint="eastAsia" w:ascii="华文仿宋" w:hAnsi="华文仿宋" w:cs="华文仿宋"/>
          <w:b/>
          <w:bCs/>
          <w:color w:val="auto"/>
          <w:highlight w:val="none"/>
        </w:rPr>
        <w:t>参加政府采购活动的中小企业应提供《中小企业声明函》原件。未提供上述声明函原件的，不能享受招标文件规定的价格扣除，但不影响投标文件的有效性。</w:t>
      </w:r>
    </w:p>
    <w:p w14:paraId="7EB147A8">
      <w:pPr>
        <w:pStyle w:val="7"/>
        <w:ind w:firstLine="486" w:firstLineChars="200"/>
        <w:rPr>
          <w:color w:val="auto"/>
          <w:sz w:val="24"/>
          <w:szCs w:val="24"/>
          <w:highlight w:val="none"/>
        </w:rPr>
      </w:pPr>
      <w:r>
        <w:rPr>
          <w:rFonts w:hint="eastAsia" w:ascii="华文仿宋" w:hAnsi="华文仿宋" w:cs="华文仿宋"/>
          <w:color w:val="auto"/>
          <w:sz w:val="24"/>
          <w:szCs w:val="24"/>
          <w:highlight w:val="none"/>
        </w:rPr>
        <w:t>备注：中小企业划分标准参照《中小企业划型标准规定》（工信部联企业</w:t>
      </w:r>
      <w:r>
        <w:rPr>
          <w:rFonts w:hint="eastAsia" w:ascii="仿宋" w:hAnsi="仿宋" w:eastAsia="仿宋" w:cs="仿宋"/>
          <w:color w:val="auto"/>
          <w:sz w:val="24"/>
          <w:szCs w:val="24"/>
          <w:highlight w:val="none"/>
        </w:rPr>
        <w:t>〔2011〕300</w:t>
      </w:r>
      <w:r>
        <w:rPr>
          <w:rFonts w:hint="eastAsia" w:ascii="华文仿宋" w:hAnsi="华文仿宋" w:cs="华文仿宋"/>
          <w:color w:val="auto"/>
          <w:sz w:val="24"/>
          <w:szCs w:val="24"/>
          <w:highlight w:val="none"/>
        </w:rPr>
        <w:t>号）执行。</w:t>
      </w:r>
    </w:p>
    <w:p w14:paraId="1172F33F">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2</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lang w:val="zh-CN"/>
        </w:rPr>
        <w:t>监狱企业应符合《财政部</w:t>
      </w:r>
      <w:r>
        <w:rPr>
          <w:rFonts w:hint="eastAsia" w:ascii="华文仿宋" w:hAnsi="华文仿宋" w:cs="华文仿宋"/>
          <w:color w:val="auto"/>
          <w:highlight w:val="none"/>
        </w:rPr>
        <w:t>司法部关于政府采购支持监狱企业发展有关问题的通知》（财库</w:t>
      </w:r>
      <w:r>
        <w:rPr>
          <w:rFonts w:hint="eastAsia" w:ascii="仿宋" w:hAnsi="仿宋" w:eastAsia="仿宋" w:cs="仿宋"/>
          <w:color w:val="auto"/>
          <w:highlight w:val="none"/>
        </w:rPr>
        <w:t>〔2014〕68</w:t>
      </w:r>
      <w:r>
        <w:rPr>
          <w:rFonts w:hint="eastAsia" w:ascii="华文仿宋" w:hAnsi="华文仿宋" w:cs="华文仿宋"/>
          <w:color w:val="auto"/>
          <w:highlight w:val="none"/>
        </w:rPr>
        <w:t>号）文件规定</w:t>
      </w:r>
      <w:r>
        <w:rPr>
          <w:rFonts w:hint="eastAsia" w:ascii="华文仿宋" w:hAnsi="华文仿宋" w:cs="华文仿宋"/>
          <w:color w:val="auto"/>
          <w:highlight w:val="none"/>
          <w:lang w:val="zh-CN"/>
        </w:rPr>
        <w:t>，并提供由省级以上监狱管理局、戒毒管理局</w:t>
      </w:r>
      <w:r>
        <w:rPr>
          <w:rFonts w:ascii="华文仿宋" w:hAnsi="华文仿宋" w:cs="华文仿宋"/>
          <w:color w:val="auto"/>
          <w:highlight w:val="none"/>
          <w:lang w:val="zh-CN"/>
        </w:rPr>
        <w:t>(</w:t>
      </w:r>
      <w:r>
        <w:rPr>
          <w:rFonts w:hint="eastAsia" w:ascii="华文仿宋" w:hAnsi="华文仿宋" w:cs="华文仿宋"/>
          <w:color w:val="auto"/>
          <w:highlight w:val="none"/>
          <w:lang w:val="zh-CN"/>
        </w:rPr>
        <w:t>含新疆生产建设兵团</w:t>
      </w:r>
      <w:r>
        <w:rPr>
          <w:rFonts w:ascii="华文仿宋" w:hAnsi="华文仿宋" w:cs="华文仿宋"/>
          <w:color w:val="auto"/>
          <w:highlight w:val="none"/>
          <w:lang w:val="zh-CN"/>
        </w:rPr>
        <w:t>)</w:t>
      </w:r>
      <w:r>
        <w:rPr>
          <w:rFonts w:hint="eastAsia" w:ascii="华文仿宋" w:hAnsi="华文仿宋" w:cs="华文仿宋"/>
          <w:color w:val="auto"/>
          <w:highlight w:val="none"/>
          <w:lang w:val="zh-CN"/>
        </w:rPr>
        <w:t>出具的属于</w:t>
      </w:r>
      <w:r>
        <w:rPr>
          <w:rFonts w:hint="eastAsia" w:ascii="华文仿宋" w:hAnsi="华文仿宋" w:cs="华文仿宋"/>
          <w:b/>
          <w:bCs/>
          <w:color w:val="auto"/>
          <w:highlight w:val="none"/>
          <w:lang w:val="zh-CN"/>
        </w:rPr>
        <w:t>监狱企业的证明文件</w:t>
      </w:r>
      <w:r>
        <w:rPr>
          <w:rFonts w:hint="eastAsia" w:ascii="华文仿宋" w:hAnsi="华文仿宋" w:cs="华文仿宋"/>
          <w:color w:val="auto"/>
          <w:highlight w:val="none"/>
          <w:lang w:val="zh-CN"/>
        </w:rPr>
        <w:t>复印件，监狱和戒毒企业</w:t>
      </w:r>
      <w:r>
        <w:rPr>
          <w:rFonts w:hint="eastAsia" w:ascii="华文仿宋" w:hAnsi="华文仿宋" w:cs="华文仿宋"/>
          <w:color w:val="auto"/>
          <w:highlight w:val="none"/>
        </w:rPr>
        <w:t>视同小型、微型企业。</w:t>
      </w:r>
    </w:p>
    <w:p w14:paraId="3A34DCB2">
      <w:pPr>
        <w:spacing w:line="500" w:lineRule="exact"/>
        <w:ind w:firstLine="566" w:firstLineChars="200"/>
        <w:rPr>
          <w:rFonts w:ascii="华文仿宋" w:cs="Times New Roman"/>
          <w:color w:val="auto"/>
          <w:highlight w:val="none"/>
        </w:rPr>
      </w:pPr>
      <w:r>
        <w:rPr>
          <w:rFonts w:ascii="华文仿宋" w:hAnsi="华文仿宋" w:cs="华文仿宋"/>
          <w:color w:val="auto"/>
          <w:highlight w:val="none"/>
        </w:rPr>
        <w:t>3</w:t>
      </w:r>
      <w:r>
        <w:rPr>
          <w:rFonts w:hint="eastAsia" w:ascii="华文仿宋" w:hAnsi="华文仿宋" w:cs="华文仿宋"/>
          <w:color w:val="auto"/>
          <w:highlight w:val="none"/>
          <w:lang w:val="en-US" w:eastAsia="zh-CN"/>
        </w:rPr>
        <w:t>.</w:t>
      </w:r>
      <w:r>
        <w:rPr>
          <w:rFonts w:hint="eastAsia" w:ascii="华文仿宋" w:hAnsi="华文仿宋" w:cs="华文仿宋"/>
          <w:color w:val="auto"/>
          <w:highlight w:val="none"/>
        </w:rPr>
        <w:t>根据财政部、民政部、中国残疾人联合会下发的《关于促进残疾人就业政府采购政策的通知》（财库</w:t>
      </w:r>
      <w:r>
        <w:rPr>
          <w:rFonts w:hint="eastAsia" w:ascii="仿宋" w:hAnsi="仿宋" w:eastAsia="仿宋" w:cs="仿宋"/>
          <w:color w:val="auto"/>
          <w:highlight w:val="none"/>
        </w:rPr>
        <w:t>〔</w:t>
      </w:r>
      <w:r>
        <w:rPr>
          <w:rFonts w:ascii="仿宋" w:hAnsi="仿宋" w:eastAsia="仿宋" w:cs="仿宋"/>
          <w:color w:val="auto"/>
          <w:highlight w:val="none"/>
        </w:rPr>
        <w:t>2017</w:t>
      </w:r>
      <w:r>
        <w:rPr>
          <w:rFonts w:hint="eastAsia" w:ascii="仿宋" w:hAnsi="仿宋" w:eastAsia="仿宋" w:cs="仿宋"/>
          <w:color w:val="auto"/>
          <w:highlight w:val="none"/>
        </w:rPr>
        <w:t>〕</w:t>
      </w:r>
      <w:r>
        <w:rPr>
          <w:rFonts w:ascii="仿宋" w:hAnsi="仿宋" w:eastAsia="仿宋" w:cs="仿宋"/>
          <w:color w:val="auto"/>
          <w:highlight w:val="none"/>
        </w:rPr>
        <w:t>141</w:t>
      </w:r>
      <w:r>
        <w:rPr>
          <w:rFonts w:hint="eastAsia" w:ascii="华文仿宋" w:hAnsi="华文仿宋" w:cs="华文仿宋"/>
          <w:color w:val="auto"/>
          <w:highlight w:val="none"/>
        </w:rPr>
        <w:t>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4EC82A4B">
      <w:pPr>
        <w:spacing w:line="500" w:lineRule="exact"/>
        <w:ind w:firstLine="566" w:firstLineChars="200"/>
        <w:rPr>
          <w:rFonts w:ascii="华文仿宋" w:cs="Times New Roman"/>
          <w:b/>
          <w:bCs/>
          <w:color w:val="auto"/>
          <w:highlight w:val="none"/>
        </w:rPr>
      </w:pPr>
      <w:r>
        <w:rPr>
          <w:rFonts w:hint="eastAsia" w:ascii="华文仿宋" w:hAnsi="华文仿宋" w:cs="华文仿宋"/>
          <w:b/>
          <w:bCs/>
          <w:color w:val="auto"/>
          <w:highlight w:val="none"/>
        </w:rPr>
        <w:t>参加政府采购活动的残疾人单位应提供《残疾人福利性单位声明函》原件。未提供上述声明函原件，不能享受招标文件规定的价格扣除，但不影响投标文件的有效性。</w:t>
      </w:r>
    </w:p>
    <w:p w14:paraId="62AA27BE">
      <w:pPr>
        <w:pStyle w:val="13"/>
        <w:spacing w:line="500" w:lineRule="exact"/>
        <w:ind w:firstLine="566" w:firstLineChars="200"/>
        <w:rPr>
          <w:rFonts w:ascii="华文仿宋" w:hAnsi="华文仿宋" w:eastAsia="华文仿宋" w:cs="华文仿宋"/>
          <w:color w:val="auto"/>
          <w:sz w:val="28"/>
          <w:szCs w:val="28"/>
          <w:highlight w:val="none"/>
        </w:rPr>
      </w:pPr>
      <w:r>
        <w:rPr>
          <w:rFonts w:ascii="华文仿宋" w:hAnsi="华文仿宋" w:eastAsia="华文仿宋" w:cs="华文仿宋"/>
          <w:color w:val="auto"/>
          <w:kern w:val="2"/>
          <w:sz w:val="28"/>
          <w:szCs w:val="28"/>
          <w:highlight w:val="none"/>
          <w:lang w:val="en-US" w:eastAsia="zh-CN" w:bidi="ar-SA"/>
        </w:rPr>
        <w:t>4</w:t>
      </w:r>
      <w:r>
        <w:rPr>
          <w:rFonts w:hint="eastAsia" w:ascii="华文仿宋" w:hAnsi="华文仿宋" w:eastAsia="华文仿宋" w:cs="华文仿宋"/>
          <w:color w:val="auto"/>
          <w:kern w:val="2"/>
          <w:sz w:val="28"/>
          <w:szCs w:val="28"/>
          <w:highlight w:val="none"/>
          <w:lang w:val="en-US" w:eastAsia="zh-CN" w:bidi="ar-SA"/>
        </w:rPr>
        <w:t>.</w:t>
      </w:r>
      <w:r>
        <w:rPr>
          <w:rFonts w:hint="eastAsia" w:ascii="华文仿宋" w:hAnsi="华文仿宋" w:eastAsia="华文仿宋" w:cs="华文仿宋"/>
          <w:color w:val="auto"/>
          <w:sz w:val="28"/>
          <w:szCs w:val="28"/>
          <w:highlight w:val="none"/>
        </w:rPr>
        <w:t>根据财政部、国家发改委、生态环境部、市场监管总局联合印发《关于调整优化节能产品、环境标志产品政府采购执行机制的通知》（财库</w:t>
      </w:r>
      <w:r>
        <w:rPr>
          <w:rFonts w:hint="eastAsia" w:ascii="仿宋" w:hAnsi="仿宋" w:eastAsia="仿宋" w:cs="仿宋"/>
          <w:color w:val="auto"/>
          <w:sz w:val="28"/>
          <w:szCs w:val="28"/>
          <w:highlight w:val="none"/>
        </w:rPr>
        <w:t>〔2019〕9</w:t>
      </w:r>
      <w:r>
        <w:rPr>
          <w:rFonts w:hint="eastAsia" w:ascii="华文仿宋" w:hAnsi="华文仿宋" w:eastAsia="华文仿宋" w:cs="华文仿宋"/>
          <w:color w:val="auto"/>
          <w:sz w:val="28"/>
          <w:szCs w:val="28"/>
          <w:highlight w:val="none"/>
        </w:rPr>
        <w:t>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4062F395">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lang w:val="en-US" w:eastAsia="zh-CN"/>
        </w:rPr>
        <w:t>5.</w:t>
      </w:r>
      <w:r>
        <w:rPr>
          <w:rFonts w:hint="eastAsia" w:ascii="华文仿宋" w:hAnsi="华文仿宋" w:cs="华文仿宋"/>
          <w:color w:val="auto"/>
          <w:kern w:val="0"/>
          <w:highlight w:val="none"/>
        </w:rPr>
        <w:t>根据国务院办公厅《关于建立政府强制采购节能产品制度的通知》（国办发</w:t>
      </w:r>
      <w:r>
        <w:rPr>
          <w:rFonts w:hint="eastAsia" w:ascii="仿宋" w:hAnsi="仿宋" w:eastAsia="仿宋" w:cs="仿宋"/>
          <w:color w:val="auto"/>
          <w:kern w:val="0"/>
          <w:highlight w:val="none"/>
        </w:rPr>
        <w:t>〔2007〕51</w:t>
      </w:r>
      <w:r>
        <w:rPr>
          <w:rFonts w:hint="eastAsia" w:ascii="华文仿宋" w:hAnsi="华文仿宋" w:cs="华文仿宋"/>
          <w:color w:val="auto"/>
          <w:kern w:val="0"/>
          <w:highlight w:val="none"/>
        </w:rPr>
        <w:t>号）有关要求，在技术、服务等指标满足采购需求的前提下，要优先采购节能产品，对部分节能效果、性能等达到要求的产品，实行强制采购。</w:t>
      </w:r>
    </w:p>
    <w:p w14:paraId="1FD69654">
      <w:pPr>
        <w:pStyle w:val="7"/>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6.</w:t>
      </w:r>
      <w:r>
        <w:rPr>
          <w:rFonts w:hint="eastAsia" w:ascii="华文仿宋" w:hAnsi="华文仿宋" w:cs="华文仿宋"/>
          <w:color w:val="auto"/>
          <w:kern w:val="0"/>
          <w:highlight w:val="none"/>
        </w:rPr>
        <w:t>节能产品政府采购品目清单详见财政部、发展改革委《关于印发节能产品政府采购品目清单的通知》（财库</w:t>
      </w:r>
      <w:r>
        <w:rPr>
          <w:rFonts w:ascii="仿宋" w:hAnsi="仿宋" w:eastAsia="仿宋" w:cs="仿宋"/>
          <w:color w:val="auto"/>
          <w:highlight w:val="none"/>
        </w:rPr>
        <w:t>〔2019〕19</w:t>
      </w:r>
      <w:r>
        <w:rPr>
          <w:rFonts w:hint="eastAsia" w:ascii="华文仿宋" w:hAnsi="华文仿宋" w:cs="华文仿宋"/>
          <w:color w:val="auto"/>
          <w:kern w:val="0"/>
          <w:highlight w:val="none"/>
        </w:rPr>
        <w:t>号）。</w:t>
      </w:r>
    </w:p>
    <w:p w14:paraId="45571364">
      <w:pPr>
        <w:pStyle w:val="7"/>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7.</w:t>
      </w:r>
      <w:r>
        <w:rPr>
          <w:rFonts w:hint="eastAsia" w:ascii="华文仿宋" w:hAnsi="华文仿宋" w:cs="华文仿宋"/>
          <w:color w:val="auto"/>
          <w:kern w:val="0"/>
          <w:highlight w:val="none"/>
        </w:rPr>
        <w:t>环境标志产品政府采购品目清单详见财政部、生态环境部《关于印发环境标志产品政府采购品目清单的通知》（财库</w:t>
      </w:r>
      <w:r>
        <w:rPr>
          <w:rFonts w:ascii="仿宋" w:hAnsi="仿宋" w:eastAsia="仿宋" w:cs="仿宋"/>
          <w:color w:val="auto"/>
          <w:highlight w:val="none"/>
        </w:rPr>
        <w:t>〔2019〕18</w:t>
      </w:r>
      <w:r>
        <w:rPr>
          <w:rFonts w:hint="eastAsia" w:ascii="华文仿宋" w:hAnsi="华文仿宋" w:cs="华文仿宋"/>
          <w:color w:val="auto"/>
          <w:kern w:val="0"/>
          <w:highlight w:val="none"/>
        </w:rPr>
        <w:t>号）。</w:t>
      </w:r>
    </w:p>
    <w:p w14:paraId="36D30C33">
      <w:pPr>
        <w:pStyle w:val="7"/>
        <w:spacing w:line="500" w:lineRule="exact"/>
        <w:ind w:firstLine="566" w:firstLineChars="200"/>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8.</w:t>
      </w:r>
      <w:r>
        <w:rPr>
          <w:rFonts w:hint="eastAsia" w:ascii="华文仿宋" w:hAnsi="华文仿宋" w:cs="华文仿宋"/>
          <w:color w:val="auto"/>
          <w:kern w:val="0"/>
          <w:highlight w:val="none"/>
        </w:rPr>
        <w:t>国家确定的节能产品、环境标志产品认证机构详见市场监管总局《关于发布参与实施政府采购节能产品、环境标志产品认证机构名录的公告》（</w:t>
      </w:r>
      <w:r>
        <w:rPr>
          <w:rFonts w:ascii="仿宋" w:hAnsi="仿宋" w:eastAsia="仿宋" w:cs="仿宋"/>
          <w:color w:val="auto"/>
          <w:highlight w:val="none"/>
        </w:rPr>
        <w:t>2019</w:t>
      </w:r>
      <w:r>
        <w:rPr>
          <w:rFonts w:hint="eastAsia" w:ascii="华文仿宋" w:hAnsi="华文仿宋" w:cs="华文仿宋"/>
          <w:color w:val="auto"/>
          <w:kern w:val="0"/>
          <w:highlight w:val="none"/>
        </w:rPr>
        <w:t>年第</w:t>
      </w:r>
      <w:r>
        <w:rPr>
          <w:rFonts w:ascii="仿宋" w:hAnsi="仿宋" w:eastAsia="仿宋" w:cs="仿宋"/>
          <w:color w:val="auto"/>
          <w:highlight w:val="none"/>
        </w:rPr>
        <w:t>16</w:t>
      </w:r>
      <w:r>
        <w:rPr>
          <w:rFonts w:hint="eastAsia" w:ascii="华文仿宋" w:hAnsi="华文仿宋" w:cs="华文仿宋"/>
          <w:color w:val="auto"/>
          <w:kern w:val="0"/>
          <w:highlight w:val="none"/>
        </w:rPr>
        <w:t>号）。</w:t>
      </w:r>
    </w:p>
    <w:p w14:paraId="7750AAE9">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lang w:val="en-US" w:eastAsia="zh-CN"/>
        </w:rPr>
        <w:t>9.</w:t>
      </w:r>
      <w:r>
        <w:rPr>
          <w:rFonts w:hint="eastAsia" w:ascii="华文仿宋" w:hAnsi="华文仿宋" w:cs="华文仿宋"/>
          <w:color w:val="auto"/>
          <w:kern w:val="0"/>
          <w:highlight w:val="none"/>
        </w:rPr>
        <w:t xml:space="preserve">根据《财政部 农业农村部 国家乡村振兴局关于运用政府采购政 </w:t>
      </w:r>
    </w:p>
    <w:p w14:paraId="5B29C481">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策支持乡村产业振兴的通知》（财库</w:t>
      </w:r>
      <w:r>
        <w:rPr>
          <w:rFonts w:ascii="仿宋" w:hAnsi="仿宋" w:eastAsia="仿宋" w:cs="仿宋"/>
          <w:color w:val="auto"/>
          <w:highlight w:val="none"/>
        </w:rPr>
        <w:t>〔2021〕19</w:t>
      </w:r>
      <w:r>
        <w:rPr>
          <w:rFonts w:hint="eastAsia" w:ascii="华文仿宋" w:hAnsi="华文仿宋" w:cs="华文仿宋"/>
          <w:color w:val="auto"/>
          <w:kern w:val="0"/>
          <w:highlight w:val="none"/>
        </w:rPr>
        <w:t>号），自</w:t>
      </w:r>
      <w:r>
        <w:rPr>
          <w:rFonts w:ascii="仿宋" w:hAnsi="仿宋" w:eastAsia="仿宋" w:cs="仿宋"/>
          <w:color w:val="auto"/>
          <w:highlight w:val="none"/>
        </w:rPr>
        <w:t>2021</w:t>
      </w:r>
      <w:r>
        <w:rPr>
          <w:rFonts w:hint="eastAsia" w:ascii="华文仿宋" w:hAnsi="华文仿宋" w:cs="华文仿宋"/>
          <w:color w:val="auto"/>
          <w:kern w:val="0"/>
          <w:highlight w:val="none"/>
        </w:rPr>
        <w:t>年起，各级预算单位应当按照不低于</w:t>
      </w:r>
      <w:r>
        <w:rPr>
          <w:rFonts w:ascii="仿宋" w:hAnsi="仿宋" w:eastAsia="仿宋" w:cs="仿宋"/>
          <w:color w:val="auto"/>
          <w:highlight w:val="none"/>
        </w:rPr>
        <w:t>10%</w:t>
      </w:r>
      <w:r>
        <w:rPr>
          <w:rFonts w:hint="eastAsia" w:ascii="华文仿宋" w:hAnsi="华文仿宋" w:cs="华文仿宋"/>
          <w:color w:val="auto"/>
          <w:kern w:val="0"/>
          <w:highlight w:val="none"/>
        </w:rPr>
        <w:t xml:space="preserve">的比例预留年度食堂食材采购份额，通过脱贫地区农副产品网络销售平台采购脱贫地区农副产品。 </w:t>
      </w:r>
    </w:p>
    <w:p w14:paraId="78816C7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1</w:t>
      </w:r>
      <w:r>
        <w:rPr>
          <w:rFonts w:hint="eastAsia" w:ascii="华文仿宋" w:hAnsi="华文仿宋" w:cs="华文仿宋"/>
          <w:color w:val="auto"/>
          <w:kern w:val="0"/>
          <w:highlight w:val="none"/>
          <w:lang w:val="en-US" w:eastAsia="zh-CN"/>
        </w:rPr>
        <w:t>0.</w:t>
      </w:r>
      <w:r>
        <w:rPr>
          <w:rFonts w:hint="eastAsia" w:ascii="华文仿宋" w:hAnsi="华文仿宋" w:cs="华文仿宋"/>
          <w:color w:val="auto"/>
          <w:kern w:val="0"/>
          <w:highlight w:val="none"/>
        </w:rPr>
        <w:t xml:space="preserve">根据《财政部 农业农村部 国家乡村振兴局 中华全国供销合作总 </w:t>
      </w:r>
    </w:p>
    <w:p w14:paraId="1D1DC94F">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社关于印发&lt;关于深入开展政府采购脱贫地区农副产品工作推进乡村产业 </w:t>
      </w:r>
    </w:p>
    <w:p w14:paraId="3245FD00">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振兴的实施意见&gt;的通知》（财库</w:t>
      </w:r>
      <w:r>
        <w:rPr>
          <w:rFonts w:ascii="仿宋" w:hAnsi="仿宋" w:eastAsia="仿宋" w:cs="仿宋"/>
          <w:color w:val="auto"/>
          <w:highlight w:val="none"/>
        </w:rPr>
        <w:t>〔2021〕20</w:t>
      </w:r>
      <w:r>
        <w:rPr>
          <w:rFonts w:hint="eastAsia" w:ascii="华文仿宋" w:hAnsi="华文仿宋" w:cs="华文仿宋"/>
          <w:color w:val="auto"/>
          <w:kern w:val="0"/>
          <w:highlight w:val="none"/>
        </w:rPr>
        <w:t>号），各级预算单位要按照不低于 10%的预留比例在“</w:t>
      </w:r>
      <w:r>
        <w:rPr>
          <w:rFonts w:ascii="仿宋" w:hAnsi="仿宋" w:eastAsia="仿宋" w:cs="仿宋"/>
          <w:color w:val="auto"/>
          <w:highlight w:val="none"/>
        </w:rPr>
        <w:t>832</w:t>
      </w:r>
      <w:r>
        <w:rPr>
          <w:rFonts w:hint="eastAsia" w:ascii="华文仿宋" w:hAnsi="华文仿宋" w:cs="华文仿宋"/>
          <w:color w:val="auto"/>
          <w:kern w:val="0"/>
          <w:highlight w:val="none"/>
        </w:rPr>
        <w:t>平台”填报预留份额。鼓励各级预算单位工会组织通过“</w:t>
      </w:r>
      <w:r>
        <w:rPr>
          <w:rFonts w:ascii="仿宋" w:hAnsi="仿宋" w:eastAsia="仿宋" w:cs="仿宋"/>
          <w:color w:val="auto"/>
          <w:highlight w:val="none"/>
        </w:rPr>
        <w:t>832</w:t>
      </w:r>
      <w:r>
        <w:rPr>
          <w:rFonts w:hint="eastAsia" w:ascii="华文仿宋" w:hAnsi="华文仿宋" w:cs="华文仿宋"/>
          <w:color w:val="auto"/>
          <w:kern w:val="0"/>
          <w:highlight w:val="none"/>
        </w:rPr>
        <w:t xml:space="preserve">平台”采购工会福利、慰问品等，有关采购金额计入本单位年度采购总额。 </w:t>
      </w:r>
    </w:p>
    <w:p w14:paraId="4FDB821D">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1</w:t>
      </w:r>
      <w:r>
        <w:rPr>
          <w:rFonts w:hint="eastAsia" w:ascii="华文仿宋" w:hAnsi="华文仿宋" w:cs="华文仿宋"/>
          <w:color w:val="auto"/>
          <w:kern w:val="0"/>
          <w:highlight w:val="none"/>
          <w:lang w:val="en-US" w:eastAsia="zh-CN"/>
        </w:rPr>
        <w:t>1.</w:t>
      </w:r>
      <w:r>
        <w:rPr>
          <w:rFonts w:hint="eastAsia" w:ascii="华文仿宋" w:hAnsi="华文仿宋" w:cs="华文仿宋"/>
          <w:color w:val="auto"/>
          <w:kern w:val="0"/>
          <w:highlight w:val="none"/>
        </w:rPr>
        <w:t xml:space="preserve">根据《陕西省财政厅关于加快推进我省中小企业政府采购信用融 </w:t>
      </w:r>
    </w:p>
    <w:p w14:paraId="6217A925">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资工作的通知》（陕财办采</w:t>
      </w:r>
      <w:r>
        <w:rPr>
          <w:rFonts w:hint="eastAsia" w:ascii="仿宋" w:hAnsi="仿宋" w:eastAsia="仿宋" w:cs="仿宋"/>
          <w:color w:val="auto"/>
          <w:kern w:val="0"/>
          <w:highlight w:val="none"/>
        </w:rPr>
        <w:t>〔2020〕15</w:t>
      </w:r>
      <w:r>
        <w:rPr>
          <w:rFonts w:hint="eastAsia" w:ascii="华文仿宋" w:hAnsi="华文仿宋" w:cs="华文仿宋"/>
          <w:color w:val="auto"/>
          <w:kern w:val="0"/>
          <w:highlight w:val="none"/>
        </w:rPr>
        <w:t xml:space="preserve">号）规定“有融资需求的供应商可根据自身情况，在陕西省政府采购信用融资平台（含各市分平台）自主选 </w:t>
      </w:r>
    </w:p>
    <w:p w14:paraId="595C04A4">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择金融机构及其融资产品，凭政府采购中标（成交）通知书或政府采购合 </w:t>
      </w:r>
    </w:p>
    <w:p w14:paraId="537941DA">
      <w:pPr>
        <w:spacing w:line="500" w:lineRule="exact"/>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同向金融机构提出融资申请。” </w:t>
      </w:r>
    </w:p>
    <w:p w14:paraId="4B8560B3">
      <w:pPr>
        <w:spacing w:line="500" w:lineRule="exact"/>
        <w:ind w:firstLine="566" w:firstLineChars="200"/>
        <w:jc w:val="left"/>
        <w:rPr>
          <w:rFonts w:hint="eastAsia" w:ascii="华文仿宋" w:hAnsi="华文仿宋" w:eastAsia="华文仿宋" w:cs="华文仿宋"/>
          <w:color w:val="auto"/>
          <w:kern w:val="0"/>
          <w:highlight w:val="none"/>
        </w:rPr>
      </w:pPr>
      <w:r>
        <w:rPr>
          <w:rFonts w:hint="eastAsia" w:ascii="华文仿宋" w:hAnsi="华文仿宋" w:eastAsia="华文仿宋" w:cs="华文仿宋"/>
          <w:color w:val="auto"/>
          <w:kern w:val="0"/>
          <w:highlight w:val="none"/>
        </w:rPr>
        <w:t>1</w:t>
      </w:r>
      <w:r>
        <w:rPr>
          <w:rFonts w:hint="eastAsia" w:ascii="华文仿宋" w:hAnsi="华文仿宋" w:eastAsia="华文仿宋" w:cs="华文仿宋"/>
          <w:color w:val="auto"/>
          <w:kern w:val="0"/>
          <w:highlight w:val="none"/>
          <w:lang w:val="en-US" w:eastAsia="zh-CN"/>
        </w:rPr>
        <w:t>2.</w:t>
      </w:r>
      <w:r>
        <w:rPr>
          <w:rFonts w:hint="eastAsia" w:ascii="华文仿宋" w:hAnsi="华文仿宋" w:eastAsia="华文仿宋" w:cs="华文仿宋"/>
          <w:color w:val="auto"/>
          <w:kern w:val="0"/>
          <w:highlight w:val="none"/>
        </w:rPr>
        <w:t xml:space="preserve">根据陕西省财政厅关于印发《陕西省中小企业政府采购信用融资 </w:t>
      </w:r>
    </w:p>
    <w:p w14:paraId="7CF7A2F8">
      <w:pPr>
        <w:keepNext w:val="0"/>
        <w:keepLines w:val="0"/>
        <w:pageBreakBefore w:val="0"/>
        <w:widowControl/>
        <w:kinsoku/>
        <w:wordWrap w:val="0"/>
        <w:overflowPunct/>
        <w:topLinePunct w:val="0"/>
        <w:autoSpaceDE/>
        <w:autoSpaceDN/>
        <w:bidi w:val="0"/>
        <w:adjustRightInd/>
        <w:snapToGrid/>
        <w:spacing w:line="440" w:lineRule="exact"/>
        <w:jc w:val="left"/>
        <w:textAlignment w:val="auto"/>
        <w:rPr>
          <w:rFonts w:hint="eastAsia" w:ascii="华文仿宋" w:hAnsi="华文仿宋" w:eastAsia="华文仿宋" w:cs="华文仿宋"/>
          <w:color w:val="auto"/>
          <w:highlight w:val="none"/>
        </w:rPr>
      </w:pPr>
      <w:r>
        <w:rPr>
          <w:rFonts w:hint="eastAsia" w:ascii="华文仿宋" w:hAnsi="华文仿宋" w:eastAsia="华文仿宋" w:cs="华文仿宋"/>
          <w:color w:val="auto"/>
          <w:kern w:val="0"/>
          <w:highlight w:val="none"/>
        </w:rPr>
        <w:t>办法》（陕财办采〔2018〕23号）规定“</w:t>
      </w:r>
      <w:r>
        <w:rPr>
          <w:rFonts w:hint="eastAsia" w:ascii="华文仿宋" w:hAnsi="华文仿宋" w:eastAsia="华文仿宋" w:cs="华文仿宋"/>
          <w:color w:val="auto"/>
          <w:highlight w:val="none"/>
        </w:rPr>
        <w:t>中小企业可根据各银行提供的方案，自行选择符合自身情况的金融产品，并根据方案中列明的联系方式和要求向相关银行提出信用融资申请。银行根据中小企业的申请开展尽职调查，合理确定融资授信额度。</w:t>
      </w:r>
    </w:p>
    <w:p w14:paraId="44108F76">
      <w:pPr>
        <w:pStyle w:val="10"/>
        <w:ind w:firstLine="566" w:firstLineChars="20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13.根据财政部《关于推动解决政府采购异常低价问题的通知》（财库〔2026〕2号）有关要求，（一）政府采购评审中出现下列情形之一的，评审委员会应当启动异常低价投标（响应）审查程序：</w:t>
      </w:r>
    </w:p>
    <w:p w14:paraId="5E306956">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1.投标（响应）报价低于全部通过符合性审查供应商投标（响应）报价平均值50%的，即投标（响应）报价&lt;全部通过符合性审查供应商投标（响应）报价平均值×50%；</w:t>
      </w:r>
    </w:p>
    <w:p w14:paraId="3FFEEEE7">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2.投标（响应）报价低于通过符合性审查的次低报价供应商投标（响应）报价50%的，即投标（响应）报价&lt;通过符合性审查的次低报价供应商投标（响应）报价×50%；</w:t>
      </w:r>
    </w:p>
    <w:p w14:paraId="494E7E8B">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3.投标（响应）报价低于采购项目最高限价45%的，即投标（响应）报价&lt;采购项目最高限价×45%；</w:t>
      </w:r>
    </w:p>
    <w:p w14:paraId="1365D277">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4.评审委员会基于专业判断，认为供应商报价过低，有可能影响产品质量或者不能诚信履约的其他情形。</w:t>
      </w:r>
    </w:p>
    <w:p w14:paraId="32CBFF1E">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采购人可以结合具体项目实际情况，提高上述第1项至第3项中启动异常低价投标（响应）审查的数值标准，但是最高不得超过65%。</w:t>
      </w:r>
    </w:p>
    <w:p w14:paraId="438D848E">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　相关法律法规对供应商报价有规定的，从其规定。</w:t>
      </w:r>
    </w:p>
    <w:p w14:paraId="52341736">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3296A3B">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AB6221A">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A6665C5">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　　异常低价投标（响应）审查的启动原因、审查意见和审查结果应当在评审报告中记录，并随供应商提供的相关书面说明及证明材料，以及评审委员会有关互联网浏览、查询历史一并归档。</w:t>
      </w:r>
    </w:p>
    <w:p w14:paraId="565735A7">
      <w:pPr>
        <w:pStyle w:val="10"/>
        <w:rPr>
          <w:rFonts w:hint="eastAsia" w:ascii="华文仿宋" w:hAnsi="华文仿宋" w:eastAsia="华文仿宋" w:cs="华文仿宋"/>
          <w:color w:val="auto"/>
          <w:highlight w:val="none"/>
          <w:lang w:val="en-US" w:eastAsia="zh-CN"/>
        </w:rPr>
      </w:pPr>
      <w:r>
        <w:rPr>
          <w:rFonts w:hint="eastAsia" w:ascii="华文仿宋" w:hAnsi="华文仿宋" w:eastAsia="华文仿宋" w:cs="华文仿宋"/>
          <w:color w:val="auto"/>
          <w:highlight w:val="none"/>
          <w:lang w:val="en-US" w:eastAsia="zh-CN"/>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1293AF1">
      <w:pPr>
        <w:pStyle w:val="10"/>
        <w:keepNext w:val="0"/>
        <w:keepLines w:val="0"/>
        <w:pageBreakBefore w:val="0"/>
        <w:widowControl/>
        <w:kinsoku/>
        <w:overflowPunct/>
        <w:topLinePunct w:val="0"/>
        <w:autoSpaceDE/>
        <w:autoSpaceDN/>
        <w:bidi w:val="0"/>
        <w:adjustRightInd/>
        <w:snapToGrid/>
        <w:spacing w:line="440" w:lineRule="exact"/>
        <w:ind w:firstLine="566" w:firstLineChars="200"/>
        <w:textAlignment w:val="auto"/>
        <w:rPr>
          <w:rFonts w:hint="eastAsia" w:ascii="Calibri Light" w:hAnsi="Calibri Light" w:eastAsia="华文仿宋" w:cs="Calibri Light"/>
          <w:b/>
          <w:bCs/>
          <w:color w:val="auto"/>
          <w:kern w:val="2"/>
          <w:sz w:val="28"/>
          <w:szCs w:val="28"/>
          <w:highlight w:val="none"/>
          <w:lang w:val="en-US" w:eastAsia="zh-CN" w:bidi="ar-SA"/>
        </w:rPr>
      </w:pPr>
      <w:r>
        <w:rPr>
          <w:rFonts w:hint="eastAsia" w:ascii="Calibri Light" w:hAnsi="Calibri Light" w:eastAsia="华文仿宋" w:cs="Calibri Light"/>
          <w:b/>
          <w:bCs/>
          <w:color w:val="auto"/>
          <w:kern w:val="2"/>
          <w:sz w:val="28"/>
          <w:szCs w:val="28"/>
          <w:highlight w:val="none"/>
          <w:lang w:val="en-US" w:eastAsia="zh-CN" w:bidi="ar-SA"/>
        </w:rPr>
        <w:t>注：参加投标供应商根据项目具体情况自行响应相关政府采购政策文件。</w:t>
      </w:r>
    </w:p>
    <w:p w14:paraId="2E1B68A9">
      <w:pPr>
        <w:pStyle w:val="10"/>
        <w:keepNext w:val="0"/>
        <w:keepLines w:val="0"/>
        <w:pageBreakBefore w:val="0"/>
        <w:widowControl/>
        <w:kinsoku/>
        <w:overflowPunct/>
        <w:topLinePunct w:val="0"/>
        <w:autoSpaceDE/>
        <w:autoSpaceDN/>
        <w:bidi w:val="0"/>
        <w:adjustRightInd/>
        <w:snapToGrid/>
        <w:spacing w:line="440" w:lineRule="exact"/>
        <w:ind w:firstLine="566" w:firstLineChars="200"/>
        <w:textAlignment w:val="auto"/>
        <w:rPr>
          <w:rFonts w:hint="eastAsia" w:ascii="Calibri Light" w:hAnsi="Calibri Light" w:eastAsia="华文仿宋" w:cs="Calibri Light"/>
          <w:b/>
          <w:bCs/>
          <w:color w:val="auto"/>
          <w:kern w:val="2"/>
          <w:sz w:val="28"/>
          <w:szCs w:val="28"/>
          <w:highlight w:val="none"/>
          <w:lang w:val="en-US" w:eastAsia="zh-CN" w:bidi="ar-SA"/>
        </w:rPr>
      </w:pPr>
      <w:r>
        <w:rPr>
          <w:rFonts w:hint="eastAsia" w:ascii="Calibri Light" w:hAnsi="Calibri Light" w:eastAsia="华文仿宋" w:cs="Calibri Light"/>
          <w:b/>
          <w:bCs/>
          <w:color w:val="auto"/>
          <w:kern w:val="2"/>
          <w:sz w:val="28"/>
          <w:szCs w:val="28"/>
          <w:highlight w:val="none"/>
          <w:lang w:val="en-US" w:eastAsia="zh-CN" w:bidi="ar-SA"/>
        </w:rPr>
        <w:t>本项目采购标的对应的中小企业划分标准所属行业为</w:t>
      </w:r>
      <w:r>
        <w:rPr>
          <w:rFonts w:hint="eastAsia" w:cs="Calibri Light"/>
          <w:b/>
          <w:bCs/>
          <w:color w:val="auto"/>
          <w:kern w:val="2"/>
          <w:sz w:val="28"/>
          <w:szCs w:val="28"/>
          <w:highlight w:val="none"/>
          <w:u w:val="single"/>
          <w:lang w:val="en-US" w:eastAsia="zh-CN" w:bidi="ar-SA"/>
        </w:rPr>
        <w:t>其他未列明行业</w:t>
      </w:r>
      <w:r>
        <w:rPr>
          <w:rFonts w:hint="eastAsia" w:ascii="Calibri Light" w:hAnsi="Calibri Light" w:eastAsia="华文仿宋" w:cs="Calibri Light"/>
          <w:b/>
          <w:bCs/>
          <w:color w:val="auto"/>
          <w:kern w:val="2"/>
          <w:sz w:val="28"/>
          <w:szCs w:val="28"/>
          <w:highlight w:val="none"/>
          <w:lang w:val="en-US" w:eastAsia="zh-CN" w:bidi="ar-SA"/>
        </w:rPr>
        <w:t>。</w:t>
      </w:r>
    </w:p>
    <w:p w14:paraId="46C82858">
      <w:pPr>
        <w:keepNext w:val="0"/>
        <w:keepLines w:val="0"/>
        <w:pageBreakBefore w:val="0"/>
        <w:widowControl/>
        <w:kinsoku/>
        <w:overflowPunct/>
        <w:topLinePunct w:val="0"/>
        <w:autoSpaceDE/>
        <w:autoSpaceDN/>
        <w:bidi w:val="0"/>
        <w:adjustRightInd/>
        <w:snapToGrid/>
        <w:spacing w:line="440" w:lineRule="exact"/>
        <w:ind w:firstLine="566" w:firstLineChars="200"/>
        <w:textAlignment w:val="auto"/>
        <w:rPr>
          <w:rFonts w:ascii="华文仿宋" w:hAnsi="华文仿宋" w:cs="华文仿宋"/>
          <w:color w:val="auto"/>
          <w:highlight w:val="none"/>
        </w:rPr>
      </w:pPr>
      <w:r>
        <w:rPr>
          <w:rFonts w:hint="eastAsia"/>
          <w:color w:val="auto"/>
          <w:highlight w:val="none"/>
          <w:u w:val="single"/>
        </w:rPr>
        <w:t>货物服务采购项目</w:t>
      </w:r>
      <w:r>
        <w:rPr>
          <w:rFonts w:hint="eastAsia"/>
          <w:color w:val="auto"/>
          <w:highlight w:val="none"/>
        </w:rPr>
        <w:t>，</w:t>
      </w:r>
      <w:r>
        <w:rPr>
          <w:rFonts w:hint="eastAsia" w:ascii="华文仿宋" w:hAnsi="华文仿宋" w:cs="华文仿宋"/>
          <w:color w:val="auto"/>
          <w:highlight w:val="none"/>
          <w:u w:val="single"/>
        </w:rPr>
        <w:t>对符合价格扣除条件的小微企业报价给予</w:t>
      </w:r>
      <w:r>
        <w:rPr>
          <w:rFonts w:hint="eastAsia" w:ascii="仿宋" w:hAnsi="仿宋" w:eastAsia="仿宋" w:cs="仿宋"/>
          <w:b/>
          <w:bCs/>
          <w:color w:val="auto"/>
          <w:highlight w:val="none"/>
          <w:u w:val="single"/>
          <w:lang w:val="en-US" w:eastAsia="zh-CN"/>
        </w:rPr>
        <w:t>10</w:t>
      </w:r>
      <w:r>
        <w:rPr>
          <w:rFonts w:hint="eastAsia" w:ascii="华文仿宋" w:hAnsi="华文仿宋" w:cs="华文仿宋"/>
          <w:b/>
          <w:bCs/>
          <w:color w:val="auto"/>
          <w:highlight w:val="none"/>
          <w:u w:val="single"/>
        </w:rPr>
        <w:t xml:space="preserve"> </w:t>
      </w:r>
      <w:r>
        <w:rPr>
          <w:rFonts w:hint="eastAsia" w:ascii="仿宋" w:hAnsi="仿宋" w:eastAsia="仿宋" w:cs="仿宋"/>
          <w:b/>
          <w:bCs/>
          <w:color w:val="auto"/>
          <w:highlight w:val="none"/>
          <w:u w:val="single"/>
        </w:rPr>
        <w:t>%</w:t>
      </w:r>
      <w:r>
        <w:rPr>
          <w:rFonts w:hint="eastAsia" w:ascii="华文仿宋" w:hAnsi="华文仿宋" w:cs="华文仿宋"/>
          <w:color w:val="auto"/>
          <w:highlight w:val="none"/>
          <w:u w:val="single"/>
        </w:rPr>
        <w:t>的扣除，用扣除后的价格参加评审。</w:t>
      </w:r>
      <w:r>
        <w:rPr>
          <w:rFonts w:hint="eastAsia" w:ascii="华文仿宋" w:hAnsi="华文仿宋" w:cs="华文仿宋"/>
          <w:color w:val="auto"/>
          <w:highlight w:val="none"/>
        </w:rPr>
        <w:t>工程项目，对符合价格扣除条件的小微企业报价给予</w:t>
      </w:r>
      <w:r>
        <w:rPr>
          <w:rFonts w:hint="eastAsia" w:ascii="华文仿宋" w:hAnsi="华文仿宋" w:cs="华文仿宋"/>
          <w:color w:val="auto"/>
          <w:highlight w:val="none"/>
          <w:u w:val="single"/>
        </w:rPr>
        <w:t xml:space="preserve"> </w:t>
      </w:r>
      <w:r>
        <w:rPr>
          <w:rFonts w:hint="eastAsia" w:ascii="华文仿宋" w:hAnsi="华文仿宋" w:cs="华文仿宋"/>
          <w:b/>
          <w:bCs/>
          <w:color w:val="auto"/>
          <w:highlight w:val="none"/>
          <w:u w:val="single"/>
        </w:rPr>
        <w:t>/</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%的扣除，用扣除后的价格参加评审。</w:t>
      </w:r>
    </w:p>
    <w:p w14:paraId="2D316FB8">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highlight w:val="none"/>
        </w:rPr>
        <w:t>接受大中型企业与小微企业组成联合体或者允许大中型企业向一家或者多家小微企业分包的采购项目，联合协议或者分包协议约定小微企业的合同份额占到合同总金额30%以上的，对联合体或者大中型企业的报价给予</w:t>
      </w:r>
      <w:r>
        <w:rPr>
          <w:rFonts w:hint="eastAsia" w:ascii="华文仿宋" w:hAnsi="华文仿宋" w:cs="华文仿宋"/>
          <w:b/>
          <w:bCs/>
          <w:color w:val="auto"/>
          <w:highlight w:val="none"/>
          <w:u w:val="single"/>
        </w:rPr>
        <w:t xml:space="preserve"> / </w:t>
      </w:r>
      <w:r>
        <w:rPr>
          <w:rFonts w:hint="eastAsia" w:ascii="华文仿宋" w:hAnsi="华文仿宋" w:cs="华文仿宋"/>
          <w:color w:val="auto"/>
          <w:highlight w:val="none"/>
        </w:rPr>
        <w:t>%（货物服务采购项目为4%-6%，工程项目为1%-2%）的扣除，用扣除后的价格参加评审（如本项目接受联合体或允许分包），除此之外的其他情形均不适用本款规定。未提供中小企业声明函的不享受价格折扣。</w:t>
      </w:r>
    </w:p>
    <w:p w14:paraId="321F36E9">
      <w:pPr>
        <w:spacing w:line="500" w:lineRule="exact"/>
        <w:ind w:firstLine="486" w:firstLineChars="200"/>
        <w:rPr>
          <w:rFonts w:ascii="华文仿宋" w:hAnsi="华文仿宋" w:cs="华文仿宋"/>
          <w:color w:val="auto"/>
          <w:sz w:val="24"/>
          <w:szCs w:val="24"/>
          <w:highlight w:val="none"/>
        </w:rPr>
      </w:pPr>
      <w:r>
        <w:rPr>
          <w:rFonts w:hint="eastAsia" w:ascii="华文仿宋" w:hAnsi="华文仿宋" w:cs="华文仿宋"/>
          <w:color w:val="auto"/>
          <w:sz w:val="24"/>
          <w:szCs w:val="24"/>
          <w:highlight w:val="none"/>
        </w:rPr>
        <w:t>备注：小微企业的定义参照本款第一至三条。</w:t>
      </w:r>
    </w:p>
    <w:p w14:paraId="259999A4">
      <w:pPr>
        <w:spacing w:line="500" w:lineRule="exact"/>
        <w:ind w:firstLine="566" w:firstLineChars="200"/>
        <w:rPr>
          <w:rFonts w:ascii="华文仿宋" w:hAnsi="华文仿宋" w:cs="华文仿宋"/>
          <w:b/>
          <w:color w:val="000000"/>
          <w:kern w:val="0"/>
        </w:rPr>
      </w:pPr>
      <w:r>
        <w:rPr>
          <w:rFonts w:hint="eastAsia" w:ascii="华文仿宋" w:hAnsi="华文仿宋" w:cs="华文仿宋"/>
          <w:b/>
          <w:color w:val="000000"/>
          <w:kern w:val="0"/>
        </w:rPr>
        <w:t>（六）关于产品和服务</w:t>
      </w:r>
      <w:bookmarkEnd w:id="75"/>
    </w:p>
    <w:p w14:paraId="682676C7">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CCC认证）。</w:t>
      </w:r>
    </w:p>
    <w:p w14:paraId="5740B97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05E22E57">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446034E8">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643FCE54">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根据《政府采购进口产品管理办法》（财库〔2007〕119号）与《关于政府采购进口产品管理有关问题的通知》（财办库〔200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402D0E00">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5684A1BC">
      <w:pPr>
        <w:spacing w:line="500" w:lineRule="exact"/>
        <w:ind w:firstLine="566" w:firstLineChars="200"/>
        <w:rPr>
          <w:rFonts w:ascii="华文仿宋" w:hAnsi="华文仿宋" w:cs="华文仿宋"/>
          <w:b/>
          <w:color w:val="000000"/>
        </w:rPr>
      </w:pPr>
      <w:bookmarkStart w:id="76" w:name="_Toc11745_WPSOffice_Level3"/>
      <w:r>
        <w:rPr>
          <w:rFonts w:hint="eastAsia" w:ascii="华文仿宋" w:hAnsi="华文仿宋" w:cs="华文仿宋"/>
          <w:b/>
          <w:color w:val="000000"/>
        </w:rPr>
        <w:t>（七）关于同一品牌产品的处理</w:t>
      </w:r>
    </w:p>
    <w:p w14:paraId="76EABD19">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A69DAC7">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6715FBD">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7A6C5A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（八）知识产权与保密事项</w:t>
      </w:r>
      <w:bookmarkEnd w:id="76"/>
    </w:p>
    <w:p w14:paraId="72B5248C">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75F341D1">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27806762">
      <w:pPr>
        <w:spacing w:line="500" w:lineRule="exact"/>
        <w:ind w:firstLine="566" w:firstLineChars="200"/>
        <w:rPr>
          <w:rFonts w:hint="eastAsia" w:ascii="华文仿宋" w:hAnsi="华文仿宋" w:cs="华文仿宋"/>
          <w:color w:val="000000"/>
          <w:sz w:val="28"/>
          <w:szCs w:val="28"/>
        </w:rPr>
      </w:pPr>
      <w:bookmarkStart w:id="77" w:name="_Toc17240_WPSOffice_Level3"/>
      <w:r>
        <w:rPr>
          <w:rFonts w:hint="eastAsia" w:ascii="华文仿宋" w:hAnsi="华文仿宋" w:cs="华文仿宋"/>
          <w:b/>
          <w:color w:val="000000"/>
        </w:rPr>
        <w:t>（九）供应商的磋商费用自理</w:t>
      </w:r>
      <w:bookmarkEnd w:id="77"/>
    </w:p>
    <w:p w14:paraId="05009F05">
      <w:pPr>
        <w:pStyle w:val="4"/>
        <w:spacing w:line="240" w:lineRule="auto"/>
        <w:ind w:firstLine="0" w:firstLineChars="0"/>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6AE16FC1">
      <w:pPr>
        <w:spacing w:line="500" w:lineRule="exact"/>
        <w:ind w:firstLine="566" w:firstLineChars="200"/>
        <w:rPr>
          <w:rFonts w:ascii="华文仿宋" w:hAnsi="华文仿宋" w:cs="华文仿宋"/>
          <w:b/>
          <w:color w:val="000000"/>
        </w:rPr>
      </w:pPr>
      <w:bookmarkStart w:id="78" w:name="_Toc20873_WPSOffice_Level3"/>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45F4F66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第一章　磋商邀请函</w:t>
      </w:r>
    </w:p>
    <w:p w14:paraId="6F8872F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第二章　供应商须知</w:t>
      </w:r>
    </w:p>
    <w:p w14:paraId="7858F084">
      <w:pPr>
        <w:spacing w:line="500" w:lineRule="exact"/>
        <w:ind w:firstLine="566"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749F113D">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6AAAC68">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64D4C73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2FB9AE6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w:t>
      </w:r>
      <w:r>
        <w:rPr>
          <w:rFonts w:hint="eastAsia" w:ascii="华文仿宋" w:hAnsi="华文仿宋" w:cs="华文仿宋"/>
          <w:color w:val="000000"/>
        </w:rPr>
        <w:t>做出全面的响应，并按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086438B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518D3BB">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03916D78">
      <w:pPr>
        <w:spacing w:line="500" w:lineRule="exact"/>
        <w:ind w:firstLine="566" w:firstLineChars="200"/>
        <w:rPr>
          <w:rFonts w:ascii="华文仿宋" w:hAnsi="华文仿宋" w:cs="华文仿宋"/>
          <w:b/>
          <w:color w:val="000000"/>
        </w:rPr>
      </w:pPr>
      <w:bookmarkStart w:id="80" w:name="_Toc12798_WPSOffice_Level3"/>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402923C2">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5994DDA4">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66AC47E1">
      <w:pPr>
        <w:spacing w:line="500" w:lineRule="exact"/>
        <w:ind w:firstLine="566"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7A7B702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94EC014">
      <w:pPr>
        <w:spacing w:line="500" w:lineRule="exact"/>
        <w:ind w:firstLine="566" w:firstLineChars="200"/>
        <w:rPr>
          <w:rFonts w:ascii="华文仿宋" w:cs="Times New Roman"/>
          <w:color w:val="auto"/>
          <w:highlight w:val="none"/>
        </w:rPr>
      </w:pPr>
      <w:r>
        <w:rPr>
          <w:rFonts w:hint="eastAsia" w:ascii="华文仿宋" w:hAnsi="华文仿宋" w:cs="华文仿宋"/>
          <w:color w:val="auto"/>
          <w:highlight w:val="none"/>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全国公共资源交易平台（陕西省·延安市）（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0DEB1AB6">
      <w:pPr>
        <w:wordWrap w:val="0"/>
        <w:spacing w:line="500" w:lineRule="exact"/>
        <w:ind w:firstLine="566" w:firstLineChars="200"/>
        <w:rPr>
          <w:rFonts w:hint="eastAsia"/>
        </w:rPr>
      </w:pP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val="en-US" w:eastAsia="zh-CN"/>
        </w:rPr>
        <w:t>延安市公共资源交易中心（延安市市直单位政府采购中心）</w:t>
      </w:r>
      <w:r>
        <w:rPr>
          <w:rFonts w:hint="eastAsia" w:ascii="华文仿宋" w:hAnsi="华文仿宋" w:cs="华文仿宋"/>
          <w:b/>
          <w:color w:val="000000"/>
          <w:lang w:eastAsia="zh-CN"/>
        </w:rPr>
        <w:t>。</w:t>
      </w:r>
      <w:bookmarkStart w:id="81" w:name="_Toc22637"/>
      <w:bookmarkStart w:id="82" w:name="_Toc21288_WPSOffice_Level2"/>
      <w:bookmarkStart w:id="83" w:name="_Toc3222"/>
      <w:bookmarkStart w:id="84" w:name="_Toc13240"/>
      <w:bookmarkStart w:id="85" w:name="_Toc16980_WPSOffice_Level2"/>
      <w:bookmarkStart w:id="86" w:name="_Toc17240_WPSOffice_Level2"/>
    </w:p>
    <w:p w14:paraId="5452BEF7">
      <w:pPr>
        <w:pStyle w:val="4"/>
        <w:ind w:firstLine="567"/>
        <w:rPr>
          <w:rFonts w:ascii="华文仿宋" w:hAnsi="华文仿宋" w:cs="华文仿宋"/>
          <w:color w:val="000000"/>
          <w:sz w:val="28"/>
          <w:szCs w:val="28"/>
        </w:rPr>
      </w:pPr>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20873_WPSOffice_Level2"/>
      <w:bookmarkStart w:id="88" w:name="_Toc30415"/>
      <w:bookmarkStart w:id="89" w:name="_Toc22501_WPSOffice_Level2"/>
      <w:bookmarkStart w:id="90" w:name="_Toc15996"/>
      <w:bookmarkStart w:id="91" w:name="_Toc19768_WPSOffice_Level2"/>
      <w:bookmarkStart w:id="92" w:name="_Toc13064"/>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5A4071A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5781BEC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299F4373">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的数字认证证书（CA锁）登录全国公共资源交易平台（陕西省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776EB9F5">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53895D62">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7CC99A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7173475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4C6D16E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（五）磋商报价大小写不一致的以大写为准。</w:t>
      </w:r>
    </w:p>
    <w:p w14:paraId="6E3DE275">
      <w:pPr>
        <w:spacing w:line="500" w:lineRule="exact"/>
        <w:ind w:firstLine="566" w:firstLineChars="200"/>
        <w:rPr>
          <w:rFonts w:hint="eastAsia"/>
        </w:rPr>
      </w:pP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bookmarkStart w:id="93" w:name="_Toc14979"/>
      <w:bookmarkStart w:id="94" w:name="_Toc20041_WPSOffice_Level2"/>
      <w:bookmarkStart w:id="95" w:name="_Toc11009"/>
      <w:bookmarkStart w:id="96" w:name="_Toc29669_WPSOffice_Level2"/>
      <w:bookmarkStart w:id="97" w:name="_Toc23179"/>
      <w:bookmarkStart w:id="98" w:name="_Toc14959_WPSOffice_Level2"/>
    </w:p>
    <w:p w14:paraId="6C88F93A">
      <w:pPr>
        <w:pStyle w:val="4"/>
        <w:ind w:firstLine="567"/>
        <w:rPr>
          <w:rFonts w:ascii="华文仿宋" w:hAnsi="华文仿宋" w:cs="华文仿宋"/>
          <w:color w:val="000000"/>
          <w:sz w:val="28"/>
          <w:szCs w:val="28"/>
        </w:rPr>
      </w:pPr>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3C5E3925">
      <w:pPr>
        <w:spacing w:line="500" w:lineRule="exact"/>
        <w:ind w:firstLine="566" w:firstLineChars="200"/>
        <w:rPr>
          <w:rFonts w:ascii="华文仿宋" w:hAnsi="华文仿宋" w:cs="华文仿宋"/>
          <w:b/>
          <w:bCs/>
          <w:color w:val="000000"/>
        </w:rPr>
      </w:pPr>
      <w:bookmarkStart w:id="99" w:name="_Toc7898_WPSOffice_Level2"/>
      <w:bookmarkStart w:id="100" w:name="_Toc18733_WPSOffice_Level2"/>
      <w:bookmarkStart w:id="101" w:name="_Toc30535_WPSOffice_Level2"/>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0E6575F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5855A92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及专用制作工具进行编制。并使用数字认证证书（CA锁）对电子响应文件进行签署、加密、递交及磋商时解密等相关操作。</w:t>
      </w:r>
    </w:p>
    <w:p w14:paraId="3F4440F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07BB99C9">
      <w:pPr>
        <w:spacing w:line="500" w:lineRule="exact"/>
        <w:ind w:firstLine="566"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1CE26A96">
      <w:pPr>
        <w:spacing w:line="500" w:lineRule="exact"/>
        <w:ind w:firstLine="566"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）网站〖首页·〉服务指南·〉下载专区〗中的《陕西省公共资源交易（政府采购类）投标文件制作软件操作手册》。</w:t>
      </w:r>
    </w:p>
    <w:p w14:paraId="6BEB29E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技术支持热线：4009980000</w:t>
      </w:r>
    </w:p>
    <w:p w14:paraId="24779685">
      <w:pPr>
        <w:spacing w:line="500" w:lineRule="exact"/>
        <w:ind w:firstLine="566" w:firstLineChars="200"/>
        <w:rPr>
          <w:rFonts w:ascii="华文仿宋" w:hAnsi="华文仿宋" w:cs="华文仿宋"/>
          <w:color w:val="000000"/>
        </w:rPr>
      </w:pP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3063F2DE">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2201E86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23B7AD">
      <w:pPr>
        <w:ind w:firstLine="566" w:firstLineChars="200"/>
        <w:rPr>
          <w:rFonts w:ascii="华文仿宋" w:hAnsi="华文仿宋" w:cs="华文仿宋"/>
          <w:b/>
          <w:color w:val="000000"/>
        </w:rPr>
      </w:pP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4046718C">
      <w:pPr>
        <w:spacing w:line="500" w:lineRule="exact"/>
        <w:ind w:firstLine="566"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响应文件”，上传加密的电子响应文件（*.SXSTF）。上传成功后，电子化平台将予以记录。</w:t>
      </w:r>
    </w:p>
    <w:p w14:paraId="1456F101">
      <w:pPr>
        <w:spacing w:line="500" w:lineRule="exact"/>
        <w:ind w:firstLine="566" w:firstLineChars="200"/>
        <w:rPr>
          <w:rFonts w:ascii="仿宋" w:hAnsi="仿宋" w:eastAsia="仿宋" w:cs="仿宋"/>
          <w:b/>
          <w:color w:val="000000"/>
        </w:rPr>
      </w:pPr>
      <w:bookmarkStart w:id="102" w:name="_Toc6095"/>
      <w:bookmarkStart w:id="103" w:name="_Toc15608"/>
      <w:bookmarkStart w:id="104" w:name="_Toc24468"/>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71006E3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11A88542">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5B512DCB">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627F7DA1">
      <w:pPr>
        <w:widowControl w:val="0"/>
        <w:spacing w:line="500" w:lineRule="exact"/>
        <w:ind w:firstLine="566" w:firstLineChars="200"/>
        <w:rPr>
          <w:rFonts w:ascii="仿宋" w:hAnsi="仿宋" w:eastAsia="仿宋" w:cs="仿宋"/>
          <w:color w:val="000000"/>
        </w:rPr>
      </w:pP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5573AE85">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391CFDBB">
      <w:pPr>
        <w:spacing w:line="500" w:lineRule="exact"/>
        <w:ind w:firstLine="566"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3FBC4CE6">
      <w:pPr>
        <w:pStyle w:val="4"/>
        <w:widowControl w:val="0"/>
        <w:ind w:firstLine="567"/>
        <w:rPr>
          <w:rFonts w:ascii="华文仿宋" w:hAnsi="华文仿宋" w:cs="华文仿宋"/>
          <w:color w:val="000000"/>
          <w:sz w:val="28"/>
          <w:szCs w:val="28"/>
        </w:rPr>
      </w:pPr>
      <w:bookmarkStart w:id="105" w:name="_Toc595"/>
      <w:bookmarkStart w:id="106" w:name="_Toc28054"/>
      <w:bookmarkStart w:id="107" w:name="_Toc6837"/>
      <w:bookmarkStart w:id="108" w:name="_Toc10744"/>
      <w:bookmarkStart w:id="109" w:name="_Toc7022"/>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44513159">
      <w:pPr>
        <w:spacing w:line="500" w:lineRule="exact"/>
        <w:ind w:firstLine="566" w:firstLineChars="200"/>
        <w:rPr>
          <w:color w:val="000000"/>
        </w:rPr>
      </w:pP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68227AEA">
      <w:pPr>
        <w:spacing w:line="500" w:lineRule="exact"/>
        <w:ind w:firstLine="566" w:firstLineChars="200"/>
        <w:rPr>
          <w:rFonts w:hint="eastAsia" w:ascii="华文仿宋" w:hAnsi="华文仿宋" w:cs="华文仿宋"/>
          <w:b/>
          <w:bCs/>
          <w:color w:val="auto"/>
          <w:highlight w:val="none"/>
        </w:rPr>
      </w:pP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rPr>
        <w:t>4009980000</w:t>
      </w:r>
      <w:r>
        <w:rPr>
          <w:rFonts w:hint="eastAsia" w:ascii="华文仿宋" w:hAnsi="华文仿宋" w:cs="华文仿宋"/>
          <w:b/>
          <w:bCs/>
          <w:color w:val="auto"/>
          <w:highlight w:val="none"/>
        </w:rPr>
        <w:t>。</w:t>
      </w:r>
    </w:p>
    <w:p w14:paraId="09E42EB9">
      <w:pPr>
        <w:wordWrap w:val="0"/>
        <w:spacing w:line="500" w:lineRule="exact"/>
        <w:ind w:firstLine="566"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309B308D">
      <w:pPr>
        <w:spacing w:line="500" w:lineRule="exact"/>
        <w:ind w:firstLine="566" w:firstLineChars="200"/>
        <w:jc w:val="left"/>
        <w:rPr>
          <w:rFonts w:cs="仿宋"/>
          <w:color w:val="auto"/>
          <w:highlight w:val="none"/>
        </w:rPr>
      </w:pP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3DC43ECE">
      <w:pPr>
        <w:numPr>
          <w:ilvl w:val="0"/>
          <w:numId w:val="4"/>
        </w:numPr>
        <w:spacing w:line="500" w:lineRule="exact"/>
        <w:ind w:firstLine="566"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4D8438E9">
      <w:pPr>
        <w:numPr>
          <w:ilvl w:val="0"/>
          <w:numId w:val="0"/>
        </w:numPr>
        <w:spacing w:line="500" w:lineRule="exact"/>
        <w:ind w:firstLine="566" w:firstLineChars="200"/>
        <w:rPr>
          <w:color w:val="000000"/>
        </w:rPr>
      </w:pPr>
      <w:r>
        <w:rPr>
          <w:rFonts w:hint="eastAsia"/>
          <w:color w:val="000000"/>
        </w:rPr>
        <w:t>（</w:t>
      </w: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E30E20">
      <w:pPr>
        <w:spacing w:line="500" w:lineRule="exact"/>
        <w:ind w:firstLine="566" w:firstLineChars="200"/>
        <w:rPr>
          <w:color w:val="000000"/>
        </w:rPr>
      </w:pPr>
      <w:r>
        <w:rPr>
          <w:rFonts w:hint="eastAsia"/>
          <w:b/>
          <w:bCs/>
          <w:color w:val="000000"/>
        </w:rPr>
        <w:t>（</w:t>
      </w: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0514A7E1">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16FF5611">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1C9B108">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38C2726B">
      <w:pPr>
        <w:spacing w:line="500" w:lineRule="exact"/>
        <w:ind w:firstLine="566"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0EF0B1CA">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w:t>
      </w: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6DBFEAA5">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05941B0B">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238542C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F0A118F">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3149A9E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76C8C0B0">
      <w:pPr>
        <w:spacing w:line="500" w:lineRule="exact"/>
        <w:ind w:firstLine="566"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701F3C8E">
      <w:pPr>
        <w:pStyle w:val="4"/>
        <w:ind w:firstLine="567"/>
        <w:rPr>
          <w:color w:val="000000"/>
          <w:sz w:val="28"/>
          <w:szCs w:val="28"/>
        </w:rPr>
      </w:pPr>
      <w:bookmarkStart w:id="111" w:name="_Toc8460"/>
      <w:bookmarkStart w:id="112" w:name="_Toc20183"/>
      <w:bookmarkStart w:id="113" w:name="_Toc31720"/>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55669DCC">
      <w:pPr>
        <w:pStyle w:val="19"/>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rPr>
        <w:t>（一）采购代理机构负责组织评审工作，并履行下列职责：</w:t>
      </w:r>
      <w:bookmarkEnd w:id="114"/>
    </w:p>
    <w:p w14:paraId="1959DA8E">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28997A60">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6C21DC31">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36039FD4">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2A3A1C6E">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18FAFE81">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5E4BBD65">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038B8A39">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5D38C2D8">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EB1B8F6">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71229FB3">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1AE6B4D7">
      <w:pPr>
        <w:pStyle w:val="19"/>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rPr>
        <w:t>（二）磋商小组负责具体评审事务，并独立履行下列职责：</w:t>
      </w:r>
      <w:bookmarkEnd w:id="115"/>
    </w:p>
    <w:p w14:paraId="53C3EAC8">
      <w:pPr>
        <w:pStyle w:val="19"/>
        <w:spacing w:beforeAutospacing="0" w:afterAutospacing="0" w:line="500" w:lineRule="exact"/>
        <w:ind w:firstLine="566"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B0593E6">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55DFDBF0">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响应文件有关事项做出澄清或者说明；</w:t>
      </w:r>
    </w:p>
    <w:p w14:paraId="5BC4FE62">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1E1DEC6C">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48C31E72">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12A7E2AB">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07CDD828">
      <w:pPr>
        <w:pStyle w:val="19"/>
        <w:spacing w:beforeAutospacing="0" w:afterAutospacing="0" w:line="500" w:lineRule="exact"/>
        <w:ind w:firstLine="566"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70063C94">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（三）成立磋商小组</w:t>
      </w:r>
      <w:bookmarkEnd w:id="116"/>
    </w:p>
    <w:p w14:paraId="243E7FC5">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4162063F">
      <w:pPr>
        <w:spacing w:line="500" w:lineRule="exact"/>
        <w:ind w:firstLine="566"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006975F">
      <w:pPr>
        <w:spacing w:line="500" w:lineRule="exact"/>
        <w:ind w:firstLine="566"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34D367F8">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77C356D8">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应当依法补足后继续评审。被更换的磋商小组成员所做出的评审意见无效。无法及时补足磋商小组成员的，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响应文件和开标、评审资料，依法重新组建磋商小组进行评审。原磋商小组所做出的评审意见无效。</w:t>
      </w:r>
    </w:p>
    <w:p w14:paraId="0BDD6584">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633F45E2">
      <w:pPr>
        <w:spacing w:line="500" w:lineRule="exact"/>
        <w:ind w:firstLine="566" w:firstLineChars="200"/>
        <w:rPr>
          <w:rFonts w:ascii="华文仿宋" w:hAnsi="华文仿宋" w:cs="华文仿宋"/>
          <w:b/>
          <w:color w:val="000000"/>
        </w:rPr>
      </w:pPr>
      <w:bookmarkStart w:id="117" w:name="_Toc4079_WPSOffice_Level3"/>
      <w:r>
        <w:rPr>
          <w:rFonts w:hint="eastAsia" w:ascii="华文仿宋" w:hAnsi="华文仿宋" w:cs="华文仿宋"/>
          <w:b/>
          <w:color w:val="000000"/>
        </w:rPr>
        <w:t>（四）评审方法：综合评分法</w:t>
      </w:r>
      <w:bookmarkEnd w:id="117"/>
    </w:p>
    <w:p w14:paraId="358BDAA9">
      <w:pPr>
        <w:spacing w:line="500" w:lineRule="exact"/>
        <w:ind w:firstLine="566"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2B064C08">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rPr>
        <w:t>（五）评审程序</w:t>
      </w:r>
      <w:bookmarkEnd w:id="118"/>
    </w:p>
    <w:p w14:paraId="5F62AD89">
      <w:pPr>
        <w:spacing w:line="500" w:lineRule="exact"/>
        <w:ind w:firstLine="566"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1875A324">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2BB336AC">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033BAF1B">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1"/>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DE7E9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403430CF">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6DE8DD54">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5BCD6F4F">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13C66A74">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57E8B447">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7CC76D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068AE7ED">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6EBCE09A">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76DCA44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提供有效存续的企业营业执照（副本）/事业单位法人证书/专业服务机构执业许可证/民办非企业单位登记证书。</w:t>
            </w:r>
          </w:p>
        </w:tc>
        <w:tc>
          <w:tcPr>
            <w:tcW w:w="726" w:type="dxa"/>
            <w:vAlign w:val="center"/>
          </w:tcPr>
          <w:p w14:paraId="4DC2D4C2">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4E265ED6">
            <w:pPr>
              <w:spacing w:before="40" w:after="40" w:line="240" w:lineRule="auto"/>
              <w:rPr>
                <w:rFonts w:hint="eastAsia" w:ascii="华文仿宋" w:hAnsi="华文仿宋" w:eastAsia="华文仿宋" w:cs="华文仿宋"/>
                <w:b/>
                <w:color w:val="000000"/>
                <w:sz w:val="24"/>
                <w:szCs w:val="24"/>
              </w:rPr>
            </w:pPr>
          </w:p>
        </w:tc>
      </w:tr>
      <w:tr w14:paraId="5499F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47432940">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5075F98C">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1E503430">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投标人需提供财务状况、缴纳税收和社会保障资金三项符合要求的承诺函（无需另行提供证明文件）。</w:t>
            </w:r>
          </w:p>
        </w:tc>
        <w:tc>
          <w:tcPr>
            <w:tcW w:w="726" w:type="dxa"/>
            <w:vAlign w:val="center"/>
          </w:tcPr>
          <w:p w14:paraId="4EDCFA1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46B8681D">
            <w:pPr>
              <w:spacing w:before="40" w:after="40" w:line="240" w:lineRule="auto"/>
              <w:rPr>
                <w:rFonts w:hint="eastAsia" w:ascii="华文仿宋" w:hAnsi="华文仿宋" w:eastAsia="华文仿宋" w:cs="华文仿宋"/>
                <w:b/>
                <w:color w:val="000000"/>
                <w:sz w:val="24"/>
                <w:szCs w:val="24"/>
              </w:rPr>
            </w:pPr>
          </w:p>
        </w:tc>
      </w:tr>
      <w:tr w14:paraId="0E2A9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F7F03F6">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3F8D795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7D8ED35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3A3BCE3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07748C3B">
            <w:pPr>
              <w:spacing w:before="40" w:after="40" w:line="240" w:lineRule="auto"/>
              <w:rPr>
                <w:rFonts w:hint="eastAsia" w:ascii="华文仿宋" w:hAnsi="华文仿宋" w:eastAsia="华文仿宋" w:cs="华文仿宋"/>
                <w:b/>
                <w:color w:val="000000"/>
                <w:sz w:val="24"/>
                <w:szCs w:val="24"/>
              </w:rPr>
            </w:pPr>
          </w:p>
        </w:tc>
      </w:tr>
      <w:tr w14:paraId="67809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F1573D5">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6BBA2CC">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40DA82F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13130BDC">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A532AB6">
            <w:pPr>
              <w:spacing w:before="40" w:after="40" w:line="240" w:lineRule="auto"/>
              <w:rPr>
                <w:rFonts w:hint="eastAsia" w:ascii="华文仿宋" w:hAnsi="华文仿宋" w:eastAsia="华文仿宋" w:cs="华文仿宋"/>
                <w:b/>
                <w:color w:val="000000"/>
                <w:sz w:val="24"/>
                <w:szCs w:val="24"/>
              </w:rPr>
            </w:pPr>
          </w:p>
        </w:tc>
      </w:tr>
      <w:tr w14:paraId="695A5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39206CA5">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274029C5">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0D2AC86D">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07245DA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171C3DF">
            <w:pPr>
              <w:spacing w:before="40" w:after="40" w:line="240" w:lineRule="auto"/>
              <w:rPr>
                <w:rFonts w:hint="eastAsia" w:ascii="华文仿宋" w:hAnsi="华文仿宋" w:eastAsia="华文仿宋" w:cs="华文仿宋"/>
                <w:b/>
                <w:color w:val="000000"/>
                <w:sz w:val="24"/>
                <w:szCs w:val="24"/>
              </w:rPr>
            </w:pPr>
          </w:p>
        </w:tc>
      </w:tr>
      <w:tr w14:paraId="1FB42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FF92FC2">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61A63C50">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400A818C">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5A3250BD">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6522A56A">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4FA06BF3">
            <w:pPr>
              <w:spacing w:before="40" w:after="40" w:line="240" w:lineRule="auto"/>
              <w:rPr>
                <w:rFonts w:hint="eastAsia" w:ascii="华文仿宋" w:hAnsi="华文仿宋" w:eastAsia="华文仿宋" w:cs="华文仿宋"/>
                <w:b/>
                <w:color w:val="000000"/>
                <w:sz w:val="24"/>
                <w:szCs w:val="24"/>
              </w:rPr>
            </w:pPr>
          </w:p>
        </w:tc>
      </w:tr>
      <w:tr w14:paraId="65F0F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1E42FAB">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6B5C4170">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3880AFC1">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64ECCCD1">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6CA9EC9">
            <w:pPr>
              <w:spacing w:before="40" w:after="40" w:line="240" w:lineRule="auto"/>
              <w:rPr>
                <w:rFonts w:hint="eastAsia" w:ascii="华文仿宋" w:hAnsi="华文仿宋" w:eastAsia="华文仿宋" w:cs="华文仿宋"/>
                <w:b/>
                <w:color w:val="000000"/>
                <w:sz w:val="24"/>
                <w:szCs w:val="24"/>
              </w:rPr>
            </w:pPr>
          </w:p>
        </w:tc>
      </w:tr>
      <w:tr w14:paraId="72683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4949081D">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8</w:t>
            </w:r>
          </w:p>
        </w:tc>
        <w:tc>
          <w:tcPr>
            <w:tcW w:w="1863" w:type="dxa"/>
            <w:vAlign w:val="center"/>
          </w:tcPr>
          <w:p w14:paraId="778A97D0">
            <w:pPr>
              <w:spacing w:line="240" w:lineRule="auto"/>
              <w:jc w:val="center"/>
              <w:rPr>
                <w:rFonts w:hint="eastAsia" w:ascii="华文仿宋" w:hAnsi="华文仿宋" w:eastAsia="华文仿宋" w:cs="华文仿宋"/>
                <w:color w:val="000000"/>
                <w:kern w:val="28"/>
                <w:sz w:val="24"/>
                <w:szCs w:val="24"/>
                <w:lang w:val="en-US" w:eastAsia="zh-CN"/>
              </w:rPr>
            </w:pPr>
            <w:r>
              <w:rPr>
                <w:rFonts w:hint="eastAsia" w:ascii="华文仿宋" w:hAnsi="华文仿宋" w:cs="华文仿宋"/>
                <w:color w:val="000000"/>
                <w:kern w:val="28"/>
                <w:sz w:val="24"/>
                <w:szCs w:val="24"/>
                <w:lang w:val="en-US" w:eastAsia="zh-CN"/>
              </w:rPr>
              <w:t>特定资质要求</w:t>
            </w:r>
          </w:p>
        </w:tc>
        <w:tc>
          <w:tcPr>
            <w:tcW w:w="4565" w:type="dxa"/>
            <w:vAlign w:val="center"/>
          </w:tcPr>
          <w:p w14:paraId="5998B620">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投标人须具备有效期内《中华人民共和国特种设备生产许可证》，许可范围包含电梯修理。拟派项目负责人、技术负责人须持有有效的《特种设备安全管理和作业人员证》（电梯修理T证或特种设备安全管理A证），持证上岗。</w:t>
            </w:r>
          </w:p>
        </w:tc>
        <w:tc>
          <w:tcPr>
            <w:tcW w:w="726" w:type="dxa"/>
            <w:vAlign w:val="center"/>
          </w:tcPr>
          <w:p w14:paraId="76758FB9">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B445FA6">
            <w:pPr>
              <w:spacing w:before="40" w:after="40" w:line="240" w:lineRule="auto"/>
              <w:rPr>
                <w:rFonts w:hint="eastAsia" w:ascii="华文仿宋" w:hAnsi="华文仿宋" w:eastAsia="华文仿宋" w:cs="华文仿宋"/>
                <w:b/>
                <w:color w:val="000000"/>
                <w:sz w:val="24"/>
                <w:szCs w:val="24"/>
              </w:rPr>
            </w:pPr>
          </w:p>
        </w:tc>
      </w:tr>
      <w:tr w14:paraId="56FBF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5548AE5A">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磋商小组成员：（签字或盖章）</w:t>
            </w:r>
          </w:p>
        </w:tc>
      </w:tr>
    </w:tbl>
    <w:p w14:paraId="7F6E5A92">
      <w:pPr>
        <w:spacing w:line="500" w:lineRule="exact"/>
        <w:ind w:firstLine="566"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3BD71842">
      <w:pPr>
        <w:spacing w:line="500" w:lineRule="exact"/>
        <w:ind w:firstLine="566" w:firstLineChars="200"/>
        <w:rPr>
          <w:rFonts w:ascii="Calibri" w:hAnsi="Calibri"/>
          <w:color w:val="000000"/>
        </w:rPr>
      </w:pP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62A5B373">
      <w:pPr>
        <w:spacing w:line="500" w:lineRule="exact"/>
        <w:ind w:firstLine="566" w:firstLineChars="200"/>
        <w:rPr>
          <w:rFonts w:ascii="Calibri" w:hAnsi="Calibri"/>
          <w:color w:val="000000"/>
        </w:rPr>
      </w:pP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3C68B98F">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要求供应商通过公共资源交易平台（以下简称“平台”）或电子邮件（在平台无法支持的情况下）等形式提供更清晰有效的证明文件，供应商不能在规定时限内提供符合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054AD96">
      <w:pPr>
        <w:spacing w:line="500" w:lineRule="exact"/>
        <w:ind w:firstLine="566"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704F38BF">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0F52BCB6">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2CB1A9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的全部实质性要求做出响应。</w:t>
      </w:r>
    </w:p>
    <w:p w14:paraId="3BBD8081">
      <w:pPr>
        <w:tabs>
          <w:tab w:val="center" w:pos="4153"/>
          <w:tab w:val="right" w:pos="8306"/>
        </w:tabs>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2A167125">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1"/>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29204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CD4274">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2D3F2E22">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3615F5F">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5ACC33FA">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08D9EEC2">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672BA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356D2ACF">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539C047">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2A136BAD">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01CB601A">
            <w:pPr>
              <w:spacing w:line="320" w:lineRule="exact"/>
              <w:jc w:val="center"/>
              <w:rPr>
                <w:rFonts w:ascii="仿宋" w:hAnsi="仿宋" w:eastAsia="仿宋" w:cs="仿宋"/>
                <w:b/>
                <w:bCs/>
                <w:color w:val="000000"/>
                <w:kern w:val="0"/>
                <w:sz w:val="24"/>
                <w:szCs w:val="24"/>
              </w:rPr>
            </w:pPr>
          </w:p>
        </w:tc>
        <w:tc>
          <w:tcPr>
            <w:tcW w:w="1042" w:type="dxa"/>
            <w:vAlign w:val="center"/>
          </w:tcPr>
          <w:p w14:paraId="358DA7A4">
            <w:pPr>
              <w:spacing w:line="320" w:lineRule="exact"/>
              <w:jc w:val="center"/>
              <w:rPr>
                <w:rFonts w:ascii="仿宋" w:hAnsi="仿宋" w:eastAsia="仿宋" w:cs="仿宋"/>
                <w:b/>
                <w:bCs/>
                <w:color w:val="000000"/>
                <w:kern w:val="0"/>
                <w:sz w:val="24"/>
                <w:szCs w:val="24"/>
              </w:rPr>
            </w:pPr>
          </w:p>
        </w:tc>
      </w:tr>
      <w:tr w14:paraId="31BE8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55F0A4ED">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E902644">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响应文件封面、响应函、法定代表人授权委托书三处的项目名称、项目编号、标段（如有）</w:t>
            </w:r>
          </w:p>
        </w:tc>
        <w:tc>
          <w:tcPr>
            <w:tcW w:w="3951" w:type="dxa"/>
            <w:vAlign w:val="center"/>
          </w:tcPr>
          <w:p w14:paraId="0EAC133E">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三处均无遗漏，且与所投项目名称、项目编号、标段（如有）一致。</w:t>
            </w:r>
          </w:p>
        </w:tc>
        <w:tc>
          <w:tcPr>
            <w:tcW w:w="714" w:type="dxa"/>
            <w:vAlign w:val="center"/>
          </w:tcPr>
          <w:p w14:paraId="1565EB4E">
            <w:pPr>
              <w:spacing w:line="320" w:lineRule="exact"/>
              <w:jc w:val="center"/>
              <w:rPr>
                <w:rFonts w:ascii="仿宋" w:hAnsi="仿宋" w:eastAsia="仿宋" w:cs="仿宋"/>
                <w:b/>
                <w:bCs/>
                <w:color w:val="000000"/>
                <w:kern w:val="0"/>
                <w:sz w:val="24"/>
                <w:szCs w:val="24"/>
              </w:rPr>
            </w:pPr>
          </w:p>
        </w:tc>
        <w:tc>
          <w:tcPr>
            <w:tcW w:w="1042" w:type="dxa"/>
            <w:vAlign w:val="center"/>
          </w:tcPr>
          <w:p w14:paraId="749C30C6">
            <w:pPr>
              <w:spacing w:line="320" w:lineRule="exact"/>
              <w:jc w:val="center"/>
              <w:rPr>
                <w:rFonts w:ascii="仿宋" w:hAnsi="仿宋" w:eastAsia="仿宋" w:cs="仿宋"/>
                <w:b/>
                <w:bCs/>
                <w:color w:val="000000"/>
                <w:kern w:val="0"/>
                <w:sz w:val="24"/>
                <w:szCs w:val="24"/>
              </w:rPr>
            </w:pPr>
          </w:p>
        </w:tc>
      </w:tr>
      <w:tr w14:paraId="651A9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FB2BB3F">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BD797B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0A35C043">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要求签字、盖章（评分标准中要求提供的证明材料除外）。</w:t>
            </w:r>
          </w:p>
        </w:tc>
        <w:tc>
          <w:tcPr>
            <w:tcW w:w="714" w:type="dxa"/>
            <w:vAlign w:val="center"/>
          </w:tcPr>
          <w:p w14:paraId="22F30FFC">
            <w:pPr>
              <w:spacing w:line="320" w:lineRule="exact"/>
              <w:jc w:val="center"/>
              <w:rPr>
                <w:rFonts w:ascii="仿宋" w:hAnsi="仿宋" w:eastAsia="仿宋" w:cs="仿宋"/>
                <w:b/>
                <w:bCs/>
                <w:color w:val="000000"/>
                <w:kern w:val="0"/>
                <w:sz w:val="24"/>
                <w:szCs w:val="24"/>
              </w:rPr>
            </w:pPr>
          </w:p>
        </w:tc>
        <w:tc>
          <w:tcPr>
            <w:tcW w:w="1042" w:type="dxa"/>
            <w:vAlign w:val="center"/>
          </w:tcPr>
          <w:p w14:paraId="6ABE5A3F">
            <w:pPr>
              <w:spacing w:line="320" w:lineRule="exact"/>
              <w:jc w:val="center"/>
              <w:rPr>
                <w:rFonts w:ascii="仿宋" w:hAnsi="仿宋" w:eastAsia="仿宋" w:cs="仿宋"/>
                <w:b/>
                <w:bCs/>
                <w:color w:val="000000"/>
                <w:kern w:val="0"/>
                <w:sz w:val="24"/>
                <w:szCs w:val="24"/>
              </w:rPr>
            </w:pPr>
          </w:p>
        </w:tc>
      </w:tr>
      <w:tr w14:paraId="16C48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714E1442">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0297AA6A">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57615A16">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w:t>
            </w:r>
            <w:r>
              <w:rPr>
                <w:rFonts w:hint="eastAsia" w:ascii="仿宋" w:hAnsi="仿宋" w:eastAsia="仿宋" w:cs="仿宋"/>
                <w:color w:val="auto"/>
                <w:kern w:val="28"/>
                <w:sz w:val="24"/>
                <w:szCs w:val="24"/>
                <w:lang w:eastAsia="zh-CN"/>
              </w:rPr>
              <w:t>不专门面向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型企、微型业的，提供《中小企业声明函》，且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其他未列明行业</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5454B3F9">
            <w:pPr>
              <w:spacing w:line="320" w:lineRule="exact"/>
              <w:jc w:val="center"/>
              <w:rPr>
                <w:rFonts w:ascii="仿宋" w:hAnsi="仿宋" w:eastAsia="仿宋" w:cs="仿宋"/>
                <w:b/>
                <w:bCs/>
                <w:color w:val="000000"/>
                <w:kern w:val="0"/>
                <w:sz w:val="24"/>
                <w:szCs w:val="24"/>
              </w:rPr>
            </w:pPr>
          </w:p>
        </w:tc>
        <w:tc>
          <w:tcPr>
            <w:tcW w:w="1042" w:type="dxa"/>
            <w:vAlign w:val="center"/>
          </w:tcPr>
          <w:p w14:paraId="51AC8586">
            <w:pPr>
              <w:spacing w:line="320" w:lineRule="exact"/>
              <w:jc w:val="center"/>
              <w:rPr>
                <w:rFonts w:ascii="仿宋" w:hAnsi="仿宋" w:eastAsia="仿宋" w:cs="仿宋"/>
                <w:b/>
                <w:bCs/>
                <w:color w:val="000000"/>
                <w:kern w:val="0"/>
                <w:sz w:val="24"/>
                <w:szCs w:val="24"/>
              </w:rPr>
            </w:pPr>
          </w:p>
        </w:tc>
      </w:tr>
      <w:tr w14:paraId="3535F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3B6E8013">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7BB5A64A">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1DC54D04">
            <w:pPr>
              <w:spacing w:line="320" w:lineRule="exact"/>
              <w:rPr>
                <w:rFonts w:ascii="仿宋" w:hAnsi="仿宋" w:eastAsia="仿宋" w:cs="仿宋"/>
                <w:sz w:val="24"/>
                <w:szCs w:val="24"/>
              </w:rPr>
            </w:pPr>
            <w:r>
              <w:rPr>
                <w:rFonts w:hint="eastAsia" w:ascii="仿宋" w:hAnsi="仿宋" w:eastAsia="仿宋" w:cs="仿宋"/>
                <w:sz w:val="24"/>
                <w:szCs w:val="24"/>
              </w:rPr>
              <w:t>（1）第一次磋商报价表填写符合要求；</w:t>
            </w:r>
          </w:p>
          <w:p w14:paraId="5967FAB2">
            <w:pPr>
              <w:spacing w:line="320" w:lineRule="exact"/>
              <w:rPr>
                <w:rFonts w:ascii="仿宋" w:hAnsi="仿宋" w:eastAsia="仿宋" w:cs="仿宋"/>
                <w:sz w:val="24"/>
                <w:szCs w:val="24"/>
              </w:rPr>
            </w:pP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967355A">
            <w:pPr>
              <w:spacing w:line="320" w:lineRule="exact"/>
              <w:rPr>
                <w:rFonts w:ascii="仿宋" w:hAnsi="仿宋" w:eastAsia="仿宋" w:cs="仿宋"/>
                <w:color w:val="000000"/>
                <w:sz w:val="24"/>
                <w:szCs w:val="24"/>
              </w:rPr>
            </w:pP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31C4443A">
            <w:pPr>
              <w:spacing w:line="320" w:lineRule="exact"/>
              <w:jc w:val="center"/>
              <w:rPr>
                <w:rFonts w:ascii="仿宋" w:hAnsi="仿宋" w:eastAsia="仿宋" w:cs="仿宋"/>
                <w:b/>
                <w:bCs/>
                <w:color w:val="000000"/>
                <w:kern w:val="0"/>
                <w:sz w:val="24"/>
                <w:szCs w:val="24"/>
              </w:rPr>
            </w:pPr>
          </w:p>
        </w:tc>
        <w:tc>
          <w:tcPr>
            <w:tcW w:w="1042" w:type="dxa"/>
            <w:vAlign w:val="center"/>
          </w:tcPr>
          <w:p w14:paraId="3CA8E373">
            <w:pPr>
              <w:spacing w:line="320" w:lineRule="exact"/>
              <w:jc w:val="center"/>
              <w:rPr>
                <w:rFonts w:ascii="仿宋" w:hAnsi="仿宋" w:eastAsia="仿宋" w:cs="仿宋"/>
                <w:b/>
                <w:bCs/>
                <w:color w:val="000000"/>
                <w:kern w:val="0"/>
                <w:sz w:val="24"/>
                <w:szCs w:val="24"/>
              </w:rPr>
            </w:pPr>
          </w:p>
        </w:tc>
      </w:tr>
      <w:tr w14:paraId="66AB2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AA8F6D8">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382F64C2">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2A3DA897">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30C6D398">
            <w:pPr>
              <w:spacing w:line="320" w:lineRule="exact"/>
              <w:jc w:val="center"/>
              <w:rPr>
                <w:rFonts w:ascii="仿宋" w:hAnsi="仿宋" w:eastAsia="仿宋" w:cs="仿宋"/>
                <w:b/>
                <w:bCs/>
                <w:color w:val="000000"/>
                <w:kern w:val="0"/>
                <w:sz w:val="24"/>
                <w:szCs w:val="24"/>
              </w:rPr>
            </w:pPr>
          </w:p>
        </w:tc>
        <w:tc>
          <w:tcPr>
            <w:tcW w:w="1042" w:type="dxa"/>
            <w:vAlign w:val="center"/>
          </w:tcPr>
          <w:p w14:paraId="3097C9E3">
            <w:pPr>
              <w:spacing w:line="320" w:lineRule="exact"/>
              <w:jc w:val="center"/>
              <w:rPr>
                <w:rFonts w:ascii="仿宋" w:hAnsi="仿宋" w:eastAsia="仿宋" w:cs="仿宋"/>
                <w:b/>
                <w:bCs/>
                <w:color w:val="000000"/>
                <w:kern w:val="0"/>
                <w:sz w:val="24"/>
                <w:szCs w:val="24"/>
              </w:rPr>
            </w:pPr>
          </w:p>
        </w:tc>
      </w:tr>
      <w:tr w14:paraId="3AA6A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8A30E38">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34159BAE">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7010C26A">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0118D3A1">
            <w:pPr>
              <w:spacing w:line="320" w:lineRule="exact"/>
              <w:jc w:val="center"/>
              <w:rPr>
                <w:rFonts w:ascii="仿宋" w:hAnsi="仿宋" w:eastAsia="仿宋" w:cs="仿宋"/>
                <w:b/>
                <w:bCs/>
                <w:color w:val="000000"/>
                <w:kern w:val="0"/>
                <w:sz w:val="24"/>
                <w:szCs w:val="24"/>
              </w:rPr>
            </w:pPr>
          </w:p>
        </w:tc>
        <w:tc>
          <w:tcPr>
            <w:tcW w:w="1042" w:type="dxa"/>
            <w:vAlign w:val="center"/>
          </w:tcPr>
          <w:p w14:paraId="75588E64">
            <w:pPr>
              <w:spacing w:line="320" w:lineRule="exact"/>
              <w:jc w:val="center"/>
              <w:rPr>
                <w:rFonts w:ascii="仿宋" w:hAnsi="仿宋" w:eastAsia="仿宋" w:cs="仿宋"/>
                <w:b/>
                <w:bCs/>
                <w:color w:val="000000"/>
                <w:kern w:val="0"/>
                <w:sz w:val="24"/>
                <w:szCs w:val="24"/>
              </w:rPr>
            </w:pPr>
          </w:p>
        </w:tc>
      </w:tr>
      <w:tr w14:paraId="1DD6C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316882DC">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38E18AFC">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32A57F4E">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55AC7533">
            <w:pPr>
              <w:spacing w:line="320" w:lineRule="exact"/>
              <w:jc w:val="center"/>
            </w:pPr>
          </w:p>
        </w:tc>
        <w:tc>
          <w:tcPr>
            <w:tcW w:w="1042" w:type="dxa"/>
            <w:vAlign w:val="center"/>
          </w:tcPr>
          <w:p w14:paraId="4E473717">
            <w:pPr>
              <w:spacing w:line="320" w:lineRule="exact"/>
              <w:jc w:val="center"/>
            </w:pPr>
          </w:p>
        </w:tc>
      </w:tr>
      <w:tr w14:paraId="0FEACE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316181C9">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C4E2CA3">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7036D6F0">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41E00ED5">
            <w:pPr>
              <w:spacing w:line="320" w:lineRule="exact"/>
              <w:jc w:val="center"/>
            </w:pPr>
          </w:p>
        </w:tc>
        <w:tc>
          <w:tcPr>
            <w:tcW w:w="1042" w:type="dxa"/>
            <w:vAlign w:val="center"/>
          </w:tcPr>
          <w:p w14:paraId="534457EF">
            <w:pPr>
              <w:spacing w:line="320" w:lineRule="exact"/>
              <w:jc w:val="center"/>
            </w:pPr>
          </w:p>
        </w:tc>
      </w:tr>
      <w:tr w14:paraId="07A85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CB3C502">
            <w:pPr>
              <w:spacing w:line="320" w:lineRule="exact"/>
            </w:pPr>
            <w:r>
              <w:rPr>
                <w:rFonts w:hint="eastAsia" w:ascii="仿宋" w:hAnsi="仿宋" w:eastAsia="仿宋" w:cs="仿宋"/>
                <w:b/>
                <w:bCs/>
                <w:kern w:val="0"/>
                <w:sz w:val="24"/>
                <w:szCs w:val="24"/>
              </w:rPr>
              <w:t>磋商小组成员：（签字或盖章）</w:t>
            </w:r>
          </w:p>
        </w:tc>
      </w:tr>
    </w:tbl>
    <w:p w14:paraId="1452D5B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566982E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响应文件中含义不明确、同类问题表述不一致或者有明显文字和计算错误的内容等做出必要的澄清、说明或者更正。</w:t>
      </w:r>
    </w:p>
    <w:p w14:paraId="25AF4CF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响应文件做出评判。</w:t>
      </w:r>
    </w:p>
    <w:p w14:paraId="439C59A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响应文件应当以书面形式做出。供应商应当在规定的澄清时限内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7B69C5D6">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02765A5">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65265199">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1DE2A172">
      <w:pPr>
        <w:spacing w:line="500" w:lineRule="exact"/>
        <w:ind w:firstLine="566"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275C0484">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08523D92">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CE1715">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书面形式通知所有参加磋商的供应商。</w:t>
      </w:r>
    </w:p>
    <w:p w14:paraId="597F658D">
      <w:pPr>
        <w:widowControl w:val="0"/>
        <w:spacing w:line="500" w:lineRule="exact"/>
        <w:ind w:firstLine="566" w:firstLineChars="200"/>
        <w:contextualSpacing/>
        <w:rPr>
          <w:color w:val="000000"/>
        </w:rPr>
      </w:pP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响应文件，并用数字认证证书（CA锁）签章或由法定代表人或其授权代表签字或者加盖公章。</w:t>
      </w:r>
    </w:p>
    <w:p w14:paraId="341DAEDD">
      <w:pPr>
        <w:widowControl w:val="0"/>
        <w:spacing w:line="500" w:lineRule="exact"/>
        <w:ind w:firstLine="566" w:firstLineChars="200"/>
        <w:rPr>
          <w:rFonts w:ascii="华文仿宋" w:hAnsi="华文仿宋" w:cs="华文仿宋"/>
          <w:color w:val="000000"/>
          <w:sz w:val="28"/>
          <w:szCs w:val="28"/>
        </w:rPr>
      </w:pPr>
      <w:r>
        <w:rPr>
          <w:rFonts w:hint="eastAsia" w:ascii="华文仿宋" w:hAnsi="华文仿宋" w:cs="华文仿宋"/>
          <w:color w:val="000000"/>
          <w:sz w:val="28"/>
          <w:szCs w:val="28"/>
        </w:rPr>
        <w:t>（4）供应商未能在规定的时间内按照磋商小组的要求通过公共资源交易平台（以下简称“平台”）或电子邮件（在平台无法支持的情况下）等书面形式提交实质性变更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5C498ADA">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2F483A2E">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446CEC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2412AFBE">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财库〔2015〕124号），采购的政府购买服务项目（含政府和社会资本合作项目），在采购过程中符合要求的供应商（社会资本）只有2家的，竞争性磋商采购活动可以继续进行。</w:t>
      </w:r>
    </w:p>
    <w:p w14:paraId="1995FEB9">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F9BDEF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9AE438F">
      <w:pPr>
        <w:spacing w:line="500" w:lineRule="exact"/>
        <w:ind w:firstLine="566" w:firstLineChars="200"/>
        <w:contextualSpacing/>
        <w:rPr>
          <w:rFonts w:ascii="Calibri" w:hAnsi="Calibri"/>
          <w:color w:val="000000"/>
        </w:rPr>
      </w:pP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通过公共资源交易平台（以下简称“平台”）或电子邮件（在平台无法支持的情况下）等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提供说明（必要时提交相关证明材料），供应商不能证明其报价合理性的，按无效响应对待。</w:t>
      </w:r>
    </w:p>
    <w:p w14:paraId="0000CAE7">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1D2719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6AC208D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27187"/>
      <w:bookmarkStart w:id="120" w:name="_Toc27797"/>
      <w:bookmarkStart w:id="121" w:name="_Toc2392"/>
      <w:bookmarkStart w:id="122" w:name="_Toc9626"/>
      <w:r>
        <w:rPr>
          <w:rFonts w:hint="eastAsia" w:ascii="华文仿宋" w:hAnsi="华文仿宋" w:cs="华文仿宋"/>
          <w:color w:val="000000"/>
        </w:rPr>
        <w:t>。</w:t>
      </w:r>
    </w:p>
    <w:bookmarkEnd w:id="119"/>
    <w:bookmarkEnd w:id="120"/>
    <w:bookmarkEnd w:id="121"/>
    <w:bookmarkEnd w:id="122"/>
    <w:p w14:paraId="58AB61C2">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评定内容及打分标准：总分100分，共9项评分因素，每个响应人每项评分因素得分汇总即为最后得分，各项评分因素具体内容及打分标准如下：各项评分因素具体内容及打分标准如下：</w:t>
      </w:r>
    </w:p>
    <w:tbl>
      <w:tblPr>
        <w:tblStyle w:val="2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3"/>
        <w:gridCol w:w="1061"/>
        <w:gridCol w:w="6143"/>
        <w:gridCol w:w="1077"/>
      </w:tblGrid>
      <w:tr w14:paraId="30E88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pct"/>
            <w:noWrap w:val="0"/>
            <w:vAlign w:val="center"/>
          </w:tcPr>
          <w:p w14:paraId="7B5E6CED">
            <w:pPr>
              <w:keepNext w:val="0"/>
              <w:keepLines w:val="0"/>
              <w:pageBreakBefore w:val="0"/>
              <w:widowControl/>
              <w:shd w:val="clear" w:color="auto" w:fill="FFFFFF"/>
              <w:suppressAutoHyphens/>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auto"/>
                <w:kern w:val="2"/>
                <w:sz w:val="28"/>
                <w:szCs w:val="28"/>
                <w:lang w:val="en-US" w:eastAsia="zh-CN" w:bidi="ar-SA"/>
              </w:rPr>
            </w:pPr>
            <w:r>
              <w:rPr>
                <w:rFonts w:hint="eastAsia" w:ascii="华文仿宋" w:hAnsi="华文仿宋" w:eastAsia="华文仿宋" w:cs="华文仿宋"/>
                <w:b w:val="0"/>
                <w:bCs w:val="0"/>
                <w:color w:val="auto"/>
                <w:kern w:val="2"/>
                <w:sz w:val="28"/>
                <w:szCs w:val="28"/>
                <w:lang w:val="en-US" w:eastAsia="zh-CN" w:bidi="ar-SA"/>
              </w:rPr>
              <w:t>名称</w:t>
            </w:r>
          </w:p>
        </w:tc>
        <w:tc>
          <w:tcPr>
            <w:tcW w:w="571" w:type="pct"/>
            <w:noWrap w:val="0"/>
            <w:vAlign w:val="center"/>
          </w:tcPr>
          <w:p w14:paraId="3DDC29BC">
            <w:pPr>
              <w:keepNext w:val="0"/>
              <w:keepLines w:val="0"/>
              <w:pageBreakBefore w:val="0"/>
              <w:widowControl/>
              <w:shd w:val="clear" w:color="auto" w:fill="FFFFFF"/>
              <w:suppressAutoHyphens/>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auto"/>
                <w:kern w:val="2"/>
                <w:sz w:val="28"/>
                <w:szCs w:val="28"/>
                <w:lang w:val="en-US" w:eastAsia="zh-CN" w:bidi="ar-SA"/>
              </w:rPr>
            </w:pPr>
            <w:r>
              <w:rPr>
                <w:rFonts w:hint="eastAsia" w:ascii="华文仿宋" w:hAnsi="华文仿宋" w:eastAsia="华文仿宋" w:cs="华文仿宋"/>
                <w:b w:val="0"/>
                <w:bCs w:val="0"/>
                <w:color w:val="auto"/>
                <w:kern w:val="2"/>
                <w:sz w:val="28"/>
                <w:szCs w:val="28"/>
                <w:lang w:val="en-US" w:eastAsia="zh-CN" w:bidi="ar-SA"/>
              </w:rPr>
              <w:t>分项最高分值</w:t>
            </w:r>
          </w:p>
        </w:tc>
        <w:tc>
          <w:tcPr>
            <w:tcW w:w="3307" w:type="pct"/>
            <w:noWrap w:val="0"/>
            <w:vAlign w:val="center"/>
          </w:tcPr>
          <w:p w14:paraId="445C9064">
            <w:pPr>
              <w:keepNext w:val="0"/>
              <w:keepLines w:val="0"/>
              <w:pageBreakBefore w:val="0"/>
              <w:widowControl/>
              <w:shd w:val="clear" w:color="auto" w:fill="FFFFFF"/>
              <w:suppressAutoHyphens/>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auto"/>
                <w:kern w:val="2"/>
                <w:sz w:val="28"/>
                <w:szCs w:val="28"/>
                <w:lang w:val="en-US" w:eastAsia="zh-CN" w:bidi="ar-SA"/>
              </w:rPr>
            </w:pPr>
            <w:r>
              <w:rPr>
                <w:rFonts w:hint="eastAsia" w:ascii="华文仿宋" w:hAnsi="华文仿宋" w:eastAsia="华文仿宋" w:cs="华文仿宋"/>
                <w:b w:val="0"/>
                <w:bCs w:val="0"/>
                <w:color w:val="auto"/>
                <w:kern w:val="2"/>
                <w:sz w:val="28"/>
                <w:szCs w:val="28"/>
                <w:lang w:val="en-US" w:eastAsia="zh-CN" w:bidi="ar-SA"/>
              </w:rPr>
              <w:t>评分说明</w:t>
            </w:r>
          </w:p>
        </w:tc>
        <w:tc>
          <w:tcPr>
            <w:tcW w:w="580" w:type="pct"/>
            <w:noWrap w:val="0"/>
            <w:vAlign w:val="center"/>
          </w:tcPr>
          <w:p w14:paraId="40B196FB">
            <w:pPr>
              <w:keepNext w:val="0"/>
              <w:keepLines w:val="0"/>
              <w:pageBreakBefore w:val="0"/>
              <w:widowControl/>
              <w:shd w:val="clear" w:color="auto" w:fill="FFFFFF"/>
              <w:suppressAutoHyphens/>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auto"/>
                <w:kern w:val="2"/>
                <w:sz w:val="28"/>
                <w:szCs w:val="28"/>
                <w:lang w:val="en-US" w:eastAsia="zh-CN" w:bidi="ar-SA"/>
              </w:rPr>
            </w:pPr>
            <w:r>
              <w:rPr>
                <w:rFonts w:hint="eastAsia" w:ascii="华文仿宋" w:hAnsi="华文仿宋" w:eastAsia="华文仿宋" w:cs="华文仿宋"/>
                <w:b w:val="0"/>
                <w:bCs w:val="0"/>
                <w:color w:val="auto"/>
                <w:kern w:val="2"/>
                <w:sz w:val="28"/>
                <w:szCs w:val="28"/>
                <w:lang w:val="en-US" w:eastAsia="zh-CN" w:bidi="ar-SA"/>
              </w:rPr>
              <w:t>备注</w:t>
            </w:r>
          </w:p>
        </w:tc>
      </w:tr>
      <w:tr w14:paraId="5EE18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540" w:type="pct"/>
            <w:noWrap w:val="0"/>
            <w:vAlign w:val="center"/>
          </w:tcPr>
          <w:p w14:paraId="26F1E882">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报价</w:t>
            </w:r>
          </w:p>
        </w:tc>
        <w:tc>
          <w:tcPr>
            <w:tcW w:w="571" w:type="pct"/>
            <w:noWrap w:val="0"/>
            <w:vAlign w:val="center"/>
          </w:tcPr>
          <w:p w14:paraId="5F573430">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z w:val="28"/>
                <w:szCs w:val="28"/>
              </w:rPr>
              <w:t>20</w:t>
            </w:r>
            <w:r>
              <w:rPr>
                <w:rFonts w:hint="eastAsia" w:ascii="华文仿宋" w:hAnsi="华文仿宋" w:eastAsia="华文仿宋" w:cs="华文仿宋"/>
                <w:b w:val="0"/>
                <w:bCs w:val="0"/>
                <w:color w:val="000000"/>
                <w:sz w:val="28"/>
                <w:szCs w:val="28"/>
                <w:lang w:eastAsia="zh-CN"/>
              </w:rPr>
              <w:t>分</w:t>
            </w:r>
          </w:p>
        </w:tc>
        <w:tc>
          <w:tcPr>
            <w:tcW w:w="3307" w:type="pct"/>
            <w:noWrap w:val="0"/>
            <w:vAlign w:val="center"/>
          </w:tcPr>
          <w:p w14:paraId="7A8624BA">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pacing w:val="24"/>
                <w:kern w:val="0"/>
                <w:sz w:val="28"/>
                <w:szCs w:val="28"/>
              </w:rPr>
              <w:t>满足磋商文件要求且最后报价最低的供应商的价格为磋商基准价得20分，其他各</w:t>
            </w:r>
            <w:r>
              <w:rPr>
                <w:rFonts w:hint="eastAsia" w:ascii="华文仿宋" w:hAnsi="华文仿宋" w:eastAsia="华文仿宋" w:cs="华文仿宋"/>
                <w:b w:val="0"/>
                <w:color w:val="auto"/>
                <w:kern w:val="2"/>
                <w:sz w:val="28"/>
                <w:szCs w:val="28"/>
                <w:lang w:val="en-US" w:eastAsia="zh-CN" w:bidi="ar-SA"/>
              </w:rPr>
              <w:t>供应</w:t>
            </w:r>
            <w:r>
              <w:rPr>
                <w:rFonts w:hint="eastAsia" w:ascii="华文仿宋" w:hAnsi="华文仿宋" w:eastAsia="华文仿宋" w:cs="华文仿宋"/>
                <w:b w:val="0"/>
                <w:bCs w:val="0"/>
                <w:color w:val="000000"/>
                <w:spacing w:val="24"/>
                <w:kern w:val="0"/>
                <w:sz w:val="28"/>
                <w:szCs w:val="28"/>
              </w:rPr>
              <w:t>商的最后磋商报价得分按下列公式计算：(磋商基准价/最后磋商报价)×20%×100。</w:t>
            </w:r>
          </w:p>
        </w:tc>
        <w:tc>
          <w:tcPr>
            <w:tcW w:w="580" w:type="pct"/>
            <w:noWrap w:val="0"/>
            <w:vAlign w:val="center"/>
          </w:tcPr>
          <w:p w14:paraId="4784E248">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r>
              <w:rPr>
                <w:rFonts w:hint="eastAsia" w:ascii="华文仿宋" w:hAnsi="华文仿宋" w:eastAsia="华文仿宋" w:cs="华文仿宋"/>
                <w:b w:val="0"/>
                <w:bCs w:val="0"/>
                <w:color w:val="000000"/>
                <w:sz w:val="28"/>
                <w:szCs w:val="28"/>
                <w:lang w:val="en-US" w:eastAsia="zh-CN"/>
              </w:rPr>
              <w:t>客</w:t>
            </w:r>
          </w:p>
          <w:p w14:paraId="0A4CC46E">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r>
              <w:rPr>
                <w:rFonts w:hint="eastAsia" w:ascii="华文仿宋" w:hAnsi="华文仿宋" w:eastAsia="华文仿宋" w:cs="华文仿宋"/>
                <w:b w:val="0"/>
                <w:bCs w:val="0"/>
                <w:color w:val="000000"/>
                <w:sz w:val="28"/>
                <w:szCs w:val="28"/>
                <w:lang w:val="en-US" w:eastAsia="zh-CN"/>
              </w:rPr>
              <w:t>观</w:t>
            </w:r>
          </w:p>
          <w:p w14:paraId="39BDC1C2">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283" w:firstLineChars="100"/>
              <w:jc w:val="both"/>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val="en-US" w:eastAsia="zh-CN"/>
              </w:rPr>
              <w:t>分</w:t>
            </w:r>
          </w:p>
        </w:tc>
      </w:tr>
      <w:tr w14:paraId="2DA65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pct"/>
            <w:noWrap w:val="0"/>
            <w:vAlign w:val="center"/>
          </w:tcPr>
          <w:p w14:paraId="53CBCD4C">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商务</w:t>
            </w:r>
          </w:p>
          <w:p w14:paraId="76C69C1F">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rPr>
              <w:t>部分</w:t>
            </w:r>
          </w:p>
        </w:tc>
        <w:tc>
          <w:tcPr>
            <w:tcW w:w="571" w:type="pct"/>
            <w:noWrap w:val="0"/>
            <w:vAlign w:val="center"/>
          </w:tcPr>
          <w:p w14:paraId="4045A50C">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z w:val="28"/>
                <w:szCs w:val="28"/>
                <w:lang w:val="en-US" w:eastAsia="zh-CN"/>
              </w:rPr>
              <w:t>9分</w:t>
            </w:r>
          </w:p>
        </w:tc>
        <w:tc>
          <w:tcPr>
            <w:tcW w:w="3307" w:type="pct"/>
            <w:noWrap w:val="0"/>
            <w:vAlign w:val="center"/>
          </w:tcPr>
          <w:p w14:paraId="48421C0F">
            <w:pPr>
              <w:keepNext w:val="0"/>
              <w:keepLines w:val="0"/>
              <w:pageBreakBefore w:val="0"/>
              <w:widowControl w:val="0"/>
              <w:kinsoku/>
              <w:wordWrap/>
              <w:overflowPunct/>
              <w:topLinePunct w:val="0"/>
              <w:autoSpaceDE/>
              <w:autoSpaceDN/>
              <w:bidi w:val="0"/>
              <w:adjustRightInd/>
              <w:snapToGrid/>
              <w:spacing w:line="400" w:lineRule="exact"/>
              <w:ind w:firstLine="622" w:firstLineChars="200"/>
              <w:textAlignment w:val="auto"/>
              <w:rPr>
                <w:rFonts w:hint="eastAsia" w:ascii="华文仿宋" w:hAnsi="华文仿宋" w:eastAsia="华文仿宋" w:cs="华文仿宋"/>
                <w:b w:val="0"/>
                <w:bCs w:val="0"/>
                <w:color w:val="000000"/>
                <w:spacing w:val="14"/>
                <w:kern w:val="0"/>
                <w:sz w:val="28"/>
                <w:szCs w:val="28"/>
                <w:lang w:val="en-US" w:eastAsia="zh-CN"/>
              </w:rPr>
            </w:pPr>
            <w:r>
              <w:rPr>
                <w:rFonts w:hint="eastAsia" w:ascii="华文仿宋" w:hAnsi="华文仿宋" w:eastAsia="华文仿宋" w:cs="华文仿宋"/>
                <w:b w:val="0"/>
                <w:bCs w:val="0"/>
                <w:color w:val="000000"/>
                <w:spacing w:val="14"/>
                <w:kern w:val="0"/>
                <w:sz w:val="28"/>
                <w:szCs w:val="28"/>
              </w:rPr>
              <w:t>提供202</w:t>
            </w:r>
            <w:r>
              <w:rPr>
                <w:rFonts w:hint="eastAsia" w:ascii="华文仿宋" w:hAnsi="华文仿宋" w:eastAsia="华文仿宋" w:cs="华文仿宋"/>
                <w:b w:val="0"/>
                <w:bCs w:val="0"/>
                <w:color w:val="000000"/>
                <w:spacing w:val="14"/>
                <w:kern w:val="0"/>
                <w:sz w:val="28"/>
                <w:szCs w:val="28"/>
                <w:lang w:val="en-US" w:eastAsia="zh-CN"/>
              </w:rPr>
              <w:t>3</w:t>
            </w:r>
            <w:r>
              <w:rPr>
                <w:rFonts w:hint="eastAsia" w:ascii="华文仿宋" w:hAnsi="华文仿宋" w:eastAsia="华文仿宋" w:cs="华文仿宋"/>
                <w:b w:val="0"/>
                <w:bCs w:val="0"/>
                <w:color w:val="000000"/>
                <w:spacing w:val="14"/>
                <w:kern w:val="0"/>
                <w:sz w:val="28"/>
                <w:szCs w:val="28"/>
              </w:rPr>
              <w:t>年1月1日以来类似项目业绩(以合同签订日期为准)，每份合格业绩合同计</w:t>
            </w:r>
            <w:r>
              <w:rPr>
                <w:rFonts w:hint="eastAsia" w:ascii="华文仿宋" w:hAnsi="华文仿宋" w:eastAsia="华文仿宋" w:cs="华文仿宋"/>
                <w:b w:val="0"/>
                <w:bCs w:val="0"/>
                <w:color w:val="000000"/>
                <w:spacing w:val="14"/>
                <w:kern w:val="0"/>
                <w:sz w:val="28"/>
                <w:szCs w:val="28"/>
                <w:lang w:val="en-US" w:eastAsia="zh-CN"/>
              </w:rPr>
              <w:t>2</w:t>
            </w:r>
            <w:r>
              <w:rPr>
                <w:rFonts w:hint="eastAsia" w:ascii="华文仿宋" w:hAnsi="华文仿宋" w:eastAsia="华文仿宋" w:cs="华文仿宋"/>
                <w:b w:val="0"/>
                <w:bCs w:val="0"/>
                <w:color w:val="000000"/>
                <w:spacing w:val="14"/>
                <w:kern w:val="0"/>
                <w:sz w:val="28"/>
                <w:szCs w:val="28"/>
              </w:rPr>
              <w:t>分，满分</w:t>
            </w:r>
            <w:r>
              <w:rPr>
                <w:rFonts w:hint="eastAsia" w:ascii="华文仿宋" w:hAnsi="华文仿宋" w:eastAsia="华文仿宋" w:cs="华文仿宋"/>
                <w:b w:val="0"/>
                <w:bCs w:val="0"/>
                <w:color w:val="000000"/>
                <w:spacing w:val="14"/>
                <w:kern w:val="0"/>
                <w:sz w:val="28"/>
                <w:szCs w:val="28"/>
                <w:lang w:val="en-US" w:eastAsia="zh-CN"/>
              </w:rPr>
              <w:t>6</w:t>
            </w:r>
            <w:r>
              <w:rPr>
                <w:rFonts w:hint="eastAsia" w:ascii="华文仿宋" w:hAnsi="华文仿宋" w:eastAsia="华文仿宋" w:cs="华文仿宋"/>
                <w:b w:val="0"/>
                <w:bCs w:val="0"/>
                <w:color w:val="000000"/>
                <w:spacing w:val="14"/>
                <w:kern w:val="0"/>
                <w:sz w:val="28"/>
                <w:szCs w:val="28"/>
              </w:rPr>
              <w:t>分；</w:t>
            </w:r>
          </w:p>
          <w:p w14:paraId="3845179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b w:val="0"/>
                <w:bCs w:val="0"/>
                <w:color w:val="000000"/>
                <w:spacing w:val="14"/>
                <w:kern w:val="0"/>
                <w:sz w:val="28"/>
                <w:szCs w:val="28"/>
              </w:rPr>
            </w:pPr>
            <w:r>
              <w:rPr>
                <w:rFonts w:hint="eastAsia" w:ascii="华文仿宋" w:hAnsi="华文仿宋" w:eastAsia="华文仿宋" w:cs="华文仿宋"/>
                <w:b w:val="0"/>
                <w:bCs w:val="0"/>
                <w:color w:val="000000"/>
                <w:spacing w:val="14"/>
                <w:kern w:val="0"/>
                <w:sz w:val="28"/>
                <w:szCs w:val="28"/>
              </w:rPr>
              <w:t>赋分依据：需提供完整合同业绩及对应发票复印件（发票可提供服务期内任意一张），并加盖供应商公章，以上两种证明材料同时提供方可得分，否则不得分。</w:t>
            </w:r>
          </w:p>
          <w:p w14:paraId="7507DEA6">
            <w:pPr>
              <w:keepNext w:val="0"/>
              <w:keepLines w:val="0"/>
              <w:pageBreakBefore w:val="0"/>
              <w:widowControl w:val="0"/>
              <w:kinsoku/>
              <w:wordWrap/>
              <w:overflowPunct/>
              <w:topLinePunct w:val="0"/>
              <w:autoSpaceDE/>
              <w:autoSpaceDN/>
              <w:bidi w:val="0"/>
              <w:adjustRightInd/>
              <w:snapToGrid/>
              <w:spacing w:line="400" w:lineRule="exact"/>
              <w:ind w:firstLine="654" w:firstLineChars="200"/>
              <w:textAlignment w:val="auto"/>
              <w:rPr>
                <w:rFonts w:hint="eastAsia" w:ascii="华文仿宋" w:hAnsi="华文仿宋" w:eastAsia="华文仿宋" w:cs="华文仿宋"/>
                <w:b w:val="0"/>
                <w:bCs w:val="0"/>
                <w:color w:val="000000"/>
                <w:spacing w:val="22"/>
                <w:sz w:val="28"/>
                <w:szCs w:val="28"/>
              </w:rPr>
            </w:pPr>
            <w:r>
              <w:rPr>
                <w:rFonts w:hint="eastAsia" w:ascii="华文仿宋" w:hAnsi="华文仿宋" w:eastAsia="华文仿宋" w:cs="华文仿宋"/>
                <w:b w:val="0"/>
                <w:bCs w:val="0"/>
                <w:color w:val="000000"/>
                <w:spacing w:val="22"/>
                <w:sz w:val="28"/>
                <w:szCs w:val="28"/>
              </w:rPr>
              <w:t>投标人具备有效的ISO9001质量管理体系认证证书、ISO14001环境管理体系认证证书、ISO45001职业健康安全管理体系认证证书，每提供1项得1分，满分3分。证书须在有效期内，认证范围需包含电梯维保、电梯修理相关服务；投标文件中须提供证书扫描件+全国认证认可信息公共服务平台（国家认监委）官网查询截图，否则不予计分。</w:t>
            </w:r>
          </w:p>
        </w:tc>
        <w:tc>
          <w:tcPr>
            <w:tcW w:w="580" w:type="pct"/>
            <w:noWrap w:val="0"/>
            <w:vAlign w:val="center"/>
          </w:tcPr>
          <w:p w14:paraId="3868045E">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r>
              <w:rPr>
                <w:rFonts w:hint="eastAsia" w:ascii="华文仿宋" w:hAnsi="华文仿宋" w:eastAsia="华文仿宋" w:cs="华文仿宋"/>
                <w:b w:val="0"/>
                <w:bCs w:val="0"/>
                <w:color w:val="000000"/>
                <w:sz w:val="28"/>
                <w:szCs w:val="28"/>
                <w:lang w:val="en-US" w:eastAsia="zh-CN"/>
              </w:rPr>
              <w:t>客</w:t>
            </w:r>
          </w:p>
          <w:p w14:paraId="6AF07F8A">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r>
              <w:rPr>
                <w:rFonts w:hint="eastAsia" w:ascii="华文仿宋" w:hAnsi="华文仿宋" w:eastAsia="华文仿宋" w:cs="华文仿宋"/>
                <w:b w:val="0"/>
                <w:bCs w:val="0"/>
                <w:color w:val="000000"/>
                <w:sz w:val="28"/>
                <w:szCs w:val="28"/>
                <w:lang w:val="en-US" w:eastAsia="zh-CN"/>
              </w:rPr>
              <w:t>观</w:t>
            </w:r>
          </w:p>
          <w:p w14:paraId="0673A3FA">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val="en-US" w:eastAsia="zh-CN"/>
              </w:rPr>
              <w:t>分</w:t>
            </w:r>
          </w:p>
        </w:tc>
      </w:tr>
      <w:tr w14:paraId="04E1C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jc w:val="center"/>
        </w:trPr>
        <w:tc>
          <w:tcPr>
            <w:tcW w:w="540" w:type="pct"/>
            <w:noWrap w:val="0"/>
            <w:vAlign w:val="center"/>
          </w:tcPr>
          <w:p w14:paraId="1FC647D8">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b w:val="0"/>
                <w:bCs w:val="0"/>
                <w:color w:val="000000"/>
                <w:spacing w:val="22"/>
                <w:sz w:val="28"/>
                <w:szCs w:val="28"/>
                <w:lang w:eastAsia="zh-CN"/>
              </w:rPr>
            </w:pPr>
          </w:p>
          <w:p w14:paraId="71BCA08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b w:val="0"/>
                <w:bCs w:val="0"/>
                <w:color w:val="000000"/>
                <w:spacing w:val="22"/>
                <w:sz w:val="28"/>
                <w:szCs w:val="28"/>
                <w:lang w:eastAsia="zh-CN"/>
              </w:rPr>
            </w:pPr>
          </w:p>
          <w:p w14:paraId="47160FCF">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b w:val="0"/>
                <w:bCs w:val="0"/>
                <w:color w:val="000000"/>
                <w:spacing w:val="22"/>
                <w:sz w:val="28"/>
                <w:szCs w:val="28"/>
                <w:lang w:eastAsia="zh-CN"/>
              </w:rPr>
            </w:pPr>
          </w:p>
          <w:p w14:paraId="648754B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b w:val="0"/>
                <w:bCs w:val="0"/>
                <w:color w:val="000000"/>
                <w:spacing w:val="22"/>
                <w:sz w:val="28"/>
                <w:szCs w:val="28"/>
                <w:lang w:eastAsia="zh-CN"/>
              </w:rPr>
            </w:pPr>
          </w:p>
          <w:p w14:paraId="5D801A5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b w:val="0"/>
                <w:bCs w:val="0"/>
                <w:color w:val="000000"/>
                <w:spacing w:val="22"/>
                <w:sz w:val="28"/>
                <w:szCs w:val="28"/>
                <w:lang w:eastAsia="zh-CN"/>
              </w:rPr>
            </w:pPr>
          </w:p>
          <w:p w14:paraId="4A18D6A3">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pacing w:val="22"/>
                <w:sz w:val="28"/>
                <w:szCs w:val="28"/>
                <w:lang w:eastAsia="zh-CN"/>
              </w:rPr>
              <w:t>电梯维保及大中修</w:t>
            </w:r>
            <w:r>
              <w:rPr>
                <w:rFonts w:hint="eastAsia" w:ascii="华文仿宋" w:hAnsi="华文仿宋" w:eastAsia="华文仿宋" w:cs="华文仿宋"/>
                <w:b w:val="0"/>
                <w:bCs w:val="0"/>
                <w:color w:val="000000"/>
                <w:spacing w:val="22"/>
                <w:sz w:val="28"/>
                <w:szCs w:val="28"/>
              </w:rPr>
              <w:t>实施方案</w:t>
            </w:r>
          </w:p>
        </w:tc>
        <w:tc>
          <w:tcPr>
            <w:tcW w:w="571" w:type="pct"/>
            <w:noWrap w:val="0"/>
            <w:vAlign w:val="center"/>
          </w:tcPr>
          <w:p w14:paraId="026147E4">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p>
          <w:p w14:paraId="345B632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p>
          <w:p w14:paraId="5385B40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p>
          <w:p w14:paraId="6238EBE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p>
          <w:p w14:paraId="707D765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p>
          <w:p w14:paraId="09ECCA7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p>
          <w:p w14:paraId="6765E65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p>
          <w:p w14:paraId="6AB5E86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r>
              <w:rPr>
                <w:rFonts w:hint="eastAsia" w:ascii="华文仿宋" w:hAnsi="华文仿宋" w:eastAsia="华文仿宋" w:cs="华文仿宋"/>
                <w:b w:val="0"/>
                <w:bCs w:val="0"/>
                <w:color w:val="000000"/>
                <w:sz w:val="28"/>
                <w:szCs w:val="28"/>
                <w:lang w:val="en-US" w:eastAsia="zh-CN"/>
              </w:rPr>
              <w:t>22.5分</w:t>
            </w:r>
          </w:p>
        </w:tc>
        <w:tc>
          <w:tcPr>
            <w:tcW w:w="3307" w:type="pct"/>
            <w:noWrap w:val="0"/>
            <w:vAlign w:val="center"/>
          </w:tcPr>
          <w:p w14:paraId="74FF76C3">
            <w:pPr>
              <w:keepNext w:val="0"/>
              <w:keepLines w:val="0"/>
              <w:pageBreakBefore w:val="0"/>
              <w:widowControl w:val="0"/>
              <w:kinsoku/>
              <w:wordWrap/>
              <w:overflowPunct/>
              <w:topLinePunct w:val="0"/>
              <w:autoSpaceDE/>
              <w:autoSpaceDN/>
              <w:bidi w:val="0"/>
              <w:adjustRightInd/>
              <w:snapToGrid/>
              <w:spacing w:line="400" w:lineRule="exact"/>
              <w:ind w:firstLine="622" w:firstLineChars="200"/>
              <w:textAlignment w:val="auto"/>
              <w:rPr>
                <w:rFonts w:hint="eastAsia" w:ascii="华文仿宋" w:hAnsi="华文仿宋" w:eastAsia="华文仿宋" w:cs="华文仿宋"/>
                <w:b w:val="0"/>
                <w:bCs w:val="0"/>
                <w:color w:val="000000"/>
                <w:spacing w:val="14"/>
                <w:kern w:val="0"/>
                <w:sz w:val="28"/>
                <w:szCs w:val="28"/>
              </w:rPr>
            </w:pPr>
            <w:r>
              <w:rPr>
                <w:rFonts w:hint="eastAsia" w:ascii="华文仿宋" w:hAnsi="华文仿宋" w:eastAsia="华文仿宋" w:cs="华文仿宋"/>
                <w:b w:val="0"/>
                <w:bCs w:val="0"/>
                <w:color w:val="000000"/>
                <w:spacing w:val="14"/>
                <w:kern w:val="0"/>
                <w:sz w:val="28"/>
                <w:szCs w:val="28"/>
              </w:rPr>
              <w:t>一、评审内容</w:t>
            </w:r>
          </w:p>
          <w:p w14:paraId="404769D1">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针对本项目提供</w:t>
            </w:r>
            <w:r>
              <w:rPr>
                <w:rFonts w:hint="eastAsia" w:ascii="华文仿宋" w:hAnsi="华文仿宋" w:eastAsia="华文仿宋" w:cs="华文仿宋"/>
                <w:b w:val="0"/>
                <w:bCs w:val="0"/>
                <w:color w:val="000000"/>
                <w:spacing w:val="24"/>
                <w:kern w:val="0"/>
                <w:sz w:val="28"/>
                <w:szCs w:val="28"/>
                <w:lang w:eastAsia="zh-CN"/>
              </w:rPr>
              <w:t>电梯维保</w:t>
            </w:r>
            <w:r>
              <w:rPr>
                <w:rFonts w:hint="eastAsia" w:ascii="华文仿宋" w:hAnsi="华文仿宋" w:eastAsia="华文仿宋" w:cs="华文仿宋"/>
                <w:b w:val="0"/>
                <w:bCs w:val="0"/>
                <w:color w:val="000000"/>
                <w:spacing w:val="24"/>
                <w:kern w:val="0"/>
                <w:sz w:val="28"/>
                <w:szCs w:val="28"/>
              </w:rPr>
              <w:t>实施方案，方案内容包含：</w:t>
            </w:r>
            <w:r>
              <w:rPr>
                <w:rFonts w:hint="eastAsia" w:ascii="华文仿宋" w:hAnsi="华文仿宋" w:eastAsia="华文仿宋" w:cs="华文仿宋"/>
                <w:b w:val="0"/>
                <w:bCs w:val="0"/>
                <w:color w:val="000000"/>
                <w:spacing w:val="24"/>
                <w:kern w:val="0"/>
                <w:sz w:val="28"/>
                <w:szCs w:val="28"/>
                <w:lang w:eastAsia="zh-CN"/>
              </w:rPr>
              <w:t>维护保养方案</w:t>
            </w:r>
            <w:r>
              <w:rPr>
                <w:rFonts w:hint="eastAsia" w:ascii="华文仿宋" w:hAnsi="华文仿宋" w:eastAsia="华文仿宋" w:cs="华文仿宋"/>
                <w:b w:val="0"/>
                <w:bCs w:val="0"/>
                <w:color w:val="000000"/>
                <w:spacing w:val="24"/>
                <w:kern w:val="0"/>
                <w:sz w:val="28"/>
                <w:szCs w:val="28"/>
              </w:rPr>
              <w:t>、</w:t>
            </w:r>
            <w:r>
              <w:rPr>
                <w:rFonts w:hint="eastAsia" w:ascii="华文仿宋" w:hAnsi="华文仿宋" w:eastAsia="华文仿宋" w:cs="华文仿宋"/>
                <w:b w:val="0"/>
                <w:bCs w:val="0"/>
                <w:color w:val="000000"/>
                <w:spacing w:val="24"/>
                <w:kern w:val="0"/>
                <w:sz w:val="28"/>
                <w:szCs w:val="28"/>
                <w:lang w:eastAsia="zh-CN"/>
              </w:rPr>
              <w:t>巡检点检</w:t>
            </w:r>
            <w:r>
              <w:rPr>
                <w:rFonts w:hint="eastAsia" w:ascii="华文仿宋" w:hAnsi="华文仿宋" w:eastAsia="华文仿宋" w:cs="华文仿宋"/>
                <w:b w:val="0"/>
                <w:bCs w:val="0"/>
                <w:color w:val="000000"/>
                <w:spacing w:val="24"/>
                <w:kern w:val="0"/>
                <w:sz w:val="28"/>
                <w:szCs w:val="28"/>
              </w:rPr>
              <w:t>方案、</w:t>
            </w:r>
            <w:r>
              <w:rPr>
                <w:rFonts w:hint="eastAsia" w:ascii="华文仿宋" w:hAnsi="华文仿宋" w:eastAsia="华文仿宋" w:cs="华文仿宋"/>
                <w:b w:val="0"/>
                <w:bCs w:val="0"/>
                <w:color w:val="000000"/>
                <w:spacing w:val="24"/>
                <w:kern w:val="0"/>
                <w:sz w:val="28"/>
                <w:szCs w:val="28"/>
                <w:lang w:eastAsia="zh-CN"/>
              </w:rPr>
              <w:t>故障处理</w:t>
            </w:r>
            <w:r>
              <w:rPr>
                <w:rFonts w:hint="eastAsia" w:ascii="华文仿宋" w:hAnsi="华文仿宋" w:eastAsia="华文仿宋" w:cs="华文仿宋"/>
                <w:b w:val="0"/>
                <w:bCs w:val="0"/>
                <w:color w:val="000000"/>
                <w:spacing w:val="24"/>
                <w:kern w:val="0"/>
                <w:sz w:val="28"/>
                <w:szCs w:val="28"/>
              </w:rPr>
              <w:t>方案、</w:t>
            </w:r>
            <w:r>
              <w:rPr>
                <w:rFonts w:hint="eastAsia" w:ascii="华文仿宋" w:hAnsi="华文仿宋" w:eastAsia="华文仿宋" w:cs="华文仿宋"/>
                <w:b w:val="0"/>
                <w:bCs w:val="0"/>
                <w:color w:val="000000"/>
                <w:spacing w:val="24"/>
                <w:kern w:val="0"/>
                <w:sz w:val="28"/>
                <w:szCs w:val="28"/>
                <w:lang w:eastAsia="zh-CN"/>
              </w:rPr>
              <w:t>零部件供应</w:t>
            </w:r>
            <w:r>
              <w:rPr>
                <w:rFonts w:hint="eastAsia" w:ascii="华文仿宋" w:hAnsi="华文仿宋" w:eastAsia="华文仿宋" w:cs="华文仿宋"/>
                <w:b w:val="0"/>
                <w:bCs w:val="0"/>
                <w:color w:val="000000"/>
                <w:spacing w:val="24"/>
                <w:kern w:val="0"/>
                <w:sz w:val="28"/>
                <w:szCs w:val="28"/>
              </w:rPr>
              <w:t>措施</w:t>
            </w:r>
            <w:r>
              <w:rPr>
                <w:rFonts w:hint="eastAsia" w:ascii="华文仿宋" w:hAnsi="华文仿宋" w:eastAsia="华文仿宋" w:cs="华文仿宋"/>
                <w:b w:val="0"/>
                <w:bCs w:val="0"/>
                <w:color w:val="000000"/>
                <w:spacing w:val="24"/>
                <w:kern w:val="0"/>
                <w:sz w:val="28"/>
                <w:szCs w:val="28"/>
                <w:lang w:eastAsia="zh-CN"/>
              </w:rPr>
              <w:t>、大中修标准及实施方案</w:t>
            </w:r>
            <w:r>
              <w:rPr>
                <w:rFonts w:hint="eastAsia" w:ascii="华文仿宋" w:hAnsi="华文仿宋" w:eastAsia="华文仿宋" w:cs="华文仿宋"/>
                <w:b w:val="0"/>
                <w:bCs w:val="0"/>
                <w:color w:val="000000"/>
                <w:spacing w:val="24"/>
                <w:kern w:val="0"/>
                <w:sz w:val="28"/>
                <w:szCs w:val="28"/>
              </w:rPr>
              <w:t>。</w:t>
            </w:r>
          </w:p>
          <w:p w14:paraId="09113CCC">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二、评审标准</w:t>
            </w:r>
          </w:p>
          <w:p w14:paraId="3A7D6C88">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1.完整性：方案必须全面，对评审内容中的各项要求有详细描述；</w:t>
            </w:r>
          </w:p>
          <w:p w14:paraId="2F758699">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2.落实性：切合项目具体情况，提出责任明确、要求具体的方案；</w:t>
            </w:r>
          </w:p>
          <w:p w14:paraId="74B2A2D1">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3.针对性：方案能够紧扣项目实际情况，内容科学合理。</w:t>
            </w:r>
          </w:p>
          <w:p w14:paraId="2B21DCB5">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三、赋分标准（满分</w:t>
            </w:r>
            <w:r>
              <w:rPr>
                <w:rFonts w:hint="eastAsia" w:ascii="华文仿宋" w:hAnsi="华文仿宋" w:eastAsia="华文仿宋" w:cs="华文仿宋"/>
                <w:b w:val="0"/>
                <w:bCs w:val="0"/>
                <w:color w:val="000000"/>
                <w:spacing w:val="24"/>
                <w:kern w:val="0"/>
                <w:sz w:val="28"/>
                <w:szCs w:val="28"/>
                <w:lang w:val="en-US" w:eastAsia="zh-CN"/>
              </w:rPr>
              <w:t>15</w:t>
            </w:r>
            <w:r>
              <w:rPr>
                <w:rFonts w:hint="eastAsia" w:ascii="华文仿宋" w:hAnsi="华文仿宋" w:eastAsia="华文仿宋" w:cs="华文仿宋"/>
                <w:b w:val="0"/>
                <w:bCs w:val="0"/>
                <w:color w:val="000000"/>
                <w:spacing w:val="24"/>
                <w:kern w:val="0"/>
                <w:sz w:val="28"/>
                <w:szCs w:val="28"/>
              </w:rPr>
              <w:t>分）</w:t>
            </w:r>
          </w:p>
          <w:p w14:paraId="3C4D3B8A">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1.</w:t>
            </w:r>
            <w:r>
              <w:rPr>
                <w:rFonts w:hint="eastAsia" w:ascii="华文仿宋" w:hAnsi="华文仿宋" w:eastAsia="华文仿宋" w:cs="华文仿宋"/>
                <w:b w:val="0"/>
                <w:bCs w:val="0"/>
                <w:color w:val="000000"/>
                <w:spacing w:val="24"/>
                <w:kern w:val="0"/>
                <w:sz w:val="28"/>
                <w:szCs w:val="28"/>
                <w:lang w:eastAsia="zh-CN"/>
              </w:rPr>
              <w:t>维护保养方案</w:t>
            </w:r>
            <w:r>
              <w:rPr>
                <w:rFonts w:hint="eastAsia" w:ascii="华文仿宋" w:hAnsi="华文仿宋" w:eastAsia="华文仿宋" w:cs="华文仿宋"/>
                <w:b w:val="0"/>
                <w:bCs w:val="0"/>
                <w:color w:val="000000"/>
                <w:spacing w:val="24"/>
                <w:kern w:val="0"/>
                <w:sz w:val="28"/>
                <w:szCs w:val="28"/>
              </w:rPr>
              <w:t>：每完全满足一项评审标准得</w:t>
            </w:r>
            <w:r>
              <w:rPr>
                <w:rFonts w:hint="eastAsia" w:ascii="华文仿宋" w:hAnsi="华文仿宋" w:eastAsia="华文仿宋" w:cs="华文仿宋"/>
                <w:b w:val="0"/>
                <w:bCs w:val="0"/>
                <w:color w:val="000000"/>
                <w:spacing w:val="24"/>
                <w:kern w:val="0"/>
                <w:sz w:val="28"/>
                <w:szCs w:val="28"/>
                <w:lang w:val="en-US" w:eastAsia="zh-CN"/>
              </w:rPr>
              <w:t>1.5</w:t>
            </w:r>
            <w:r>
              <w:rPr>
                <w:rFonts w:hint="eastAsia" w:ascii="华文仿宋" w:hAnsi="华文仿宋" w:eastAsia="华文仿宋" w:cs="华文仿宋"/>
                <w:b w:val="0"/>
                <w:bCs w:val="0"/>
                <w:color w:val="000000"/>
                <w:spacing w:val="24"/>
                <w:kern w:val="0"/>
                <w:sz w:val="28"/>
                <w:szCs w:val="28"/>
              </w:rPr>
              <w:t>分，满分</w:t>
            </w:r>
            <w:r>
              <w:rPr>
                <w:rFonts w:hint="eastAsia" w:ascii="华文仿宋" w:hAnsi="华文仿宋" w:eastAsia="华文仿宋" w:cs="华文仿宋"/>
                <w:b w:val="0"/>
                <w:bCs w:val="0"/>
                <w:color w:val="000000"/>
                <w:spacing w:val="24"/>
                <w:kern w:val="0"/>
                <w:sz w:val="28"/>
                <w:szCs w:val="28"/>
                <w:lang w:val="en-US" w:eastAsia="zh-CN"/>
              </w:rPr>
              <w:t>4.5</w:t>
            </w:r>
            <w:r>
              <w:rPr>
                <w:rFonts w:hint="eastAsia" w:ascii="华文仿宋" w:hAnsi="华文仿宋" w:eastAsia="华文仿宋" w:cs="华文仿宋"/>
                <w:b w:val="0"/>
                <w:bCs w:val="0"/>
                <w:color w:val="000000"/>
                <w:spacing w:val="24"/>
                <w:kern w:val="0"/>
                <w:sz w:val="28"/>
                <w:szCs w:val="28"/>
              </w:rPr>
              <w:t>分；</w:t>
            </w:r>
          </w:p>
          <w:p w14:paraId="59BFE209">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2.</w:t>
            </w:r>
            <w:r>
              <w:rPr>
                <w:rFonts w:hint="eastAsia" w:ascii="华文仿宋" w:hAnsi="华文仿宋" w:eastAsia="华文仿宋" w:cs="华文仿宋"/>
                <w:b w:val="0"/>
                <w:bCs w:val="0"/>
                <w:color w:val="000000"/>
                <w:spacing w:val="24"/>
                <w:kern w:val="0"/>
                <w:sz w:val="28"/>
                <w:szCs w:val="28"/>
                <w:lang w:eastAsia="zh-CN"/>
              </w:rPr>
              <w:t>巡检点检</w:t>
            </w:r>
            <w:r>
              <w:rPr>
                <w:rFonts w:hint="eastAsia" w:ascii="华文仿宋" w:hAnsi="华文仿宋" w:eastAsia="华文仿宋" w:cs="华文仿宋"/>
                <w:b w:val="0"/>
                <w:bCs w:val="0"/>
                <w:color w:val="000000"/>
                <w:spacing w:val="24"/>
                <w:kern w:val="0"/>
                <w:sz w:val="28"/>
                <w:szCs w:val="28"/>
              </w:rPr>
              <w:t>方案：每完全满足一项评审标准得</w:t>
            </w:r>
            <w:r>
              <w:rPr>
                <w:rFonts w:hint="eastAsia" w:ascii="华文仿宋" w:hAnsi="华文仿宋" w:eastAsia="华文仿宋" w:cs="华文仿宋"/>
                <w:b w:val="0"/>
                <w:bCs w:val="0"/>
                <w:color w:val="000000"/>
                <w:spacing w:val="24"/>
                <w:kern w:val="0"/>
                <w:sz w:val="28"/>
                <w:szCs w:val="28"/>
                <w:lang w:val="en-US" w:eastAsia="zh-CN"/>
              </w:rPr>
              <w:t>1.5</w:t>
            </w:r>
            <w:r>
              <w:rPr>
                <w:rFonts w:hint="eastAsia" w:ascii="华文仿宋" w:hAnsi="华文仿宋" w:eastAsia="华文仿宋" w:cs="华文仿宋"/>
                <w:b w:val="0"/>
                <w:bCs w:val="0"/>
                <w:color w:val="000000"/>
                <w:spacing w:val="24"/>
                <w:kern w:val="0"/>
                <w:sz w:val="28"/>
                <w:szCs w:val="28"/>
              </w:rPr>
              <w:t>分，满分</w:t>
            </w:r>
            <w:r>
              <w:rPr>
                <w:rFonts w:hint="eastAsia" w:ascii="华文仿宋" w:hAnsi="华文仿宋" w:eastAsia="华文仿宋" w:cs="华文仿宋"/>
                <w:b w:val="0"/>
                <w:bCs w:val="0"/>
                <w:color w:val="000000"/>
                <w:spacing w:val="24"/>
                <w:kern w:val="0"/>
                <w:sz w:val="28"/>
                <w:szCs w:val="28"/>
                <w:lang w:val="en-US" w:eastAsia="zh-CN"/>
              </w:rPr>
              <w:t>4.5</w:t>
            </w:r>
            <w:r>
              <w:rPr>
                <w:rFonts w:hint="eastAsia" w:ascii="华文仿宋" w:hAnsi="华文仿宋" w:eastAsia="华文仿宋" w:cs="华文仿宋"/>
                <w:b w:val="0"/>
                <w:bCs w:val="0"/>
                <w:color w:val="000000"/>
                <w:spacing w:val="24"/>
                <w:kern w:val="0"/>
                <w:sz w:val="28"/>
                <w:szCs w:val="28"/>
              </w:rPr>
              <w:t>分；</w:t>
            </w:r>
          </w:p>
          <w:p w14:paraId="3B64B4B5">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3.</w:t>
            </w:r>
            <w:r>
              <w:rPr>
                <w:rFonts w:hint="eastAsia" w:ascii="华文仿宋" w:hAnsi="华文仿宋" w:eastAsia="华文仿宋" w:cs="华文仿宋"/>
                <w:b w:val="0"/>
                <w:bCs w:val="0"/>
                <w:color w:val="000000"/>
                <w:spacing w:val="24"/>
                <w:kern w:val="0"/>
                <w:sz w:val="28"/>
                <w:szCs w:val="28"/>
                <w:lang w:eastAsia="zh-CN"/>
              </w:rPr>
              <w:t>故障处理</w:t>
            </w:r>
            <w:r>
              <w:rPr>
                <w:rFonts w:hint="eastAsia" w:ascii="华文仿宋" w:hAnsi="华文仿宋" w:eastAsia="华文仿宋" w:cs="华文仿宋"/>
                <w:b w:val="0"/>
                <w:bCs w:val="0"/>
                <w:color w:val="000000"/>
                <w:spacing w:val="24"/>
                <w:kern w:val="0"/>
                <w:sz w:val="28"/>
                <w:szCs w:val="28"/>
              </w:rPr>
              <w:t>方案：每完全满足一项评审标准得</w:t>
            </w:r>
            <w:r>
              <w:rPr>
                <w:rFonts w:hint="eastAsia" w:ascii="华文仿宋" w:hAnsi="华文仿宋" w:eastAsia="华文仿宋" w:cs="华文仿宋"/>
                <w:b w:val="0"/>
                <w:bCs w:val="0"/>
                <w:color w:val="000000"/>
                <w:spacing w:val="24"/>
                <w:kern w:val="0"/>
                <w:sz w:val="28"/>
                <w:szCs w:val="28"/>
                <w:lang w:val="en-US" w:eastAsia="zh-CN"/>
              </w:rPr>
              <w:t>1.5</w:t>
            </w:r>
            <w:r>
              <w:rPr>
                <w:rFonts w:hint="eastAsia" w:ascii="华文仿宋" w:hAnsi="华文仿宋" w:eastAsia="华文仿宋" w:cs="华文仿宋"/>
                <w:b w:val="0"/>
                <w:bCs w:val="0"/>
                <w:color w:val="000000"/>
                <w:spacing w:val="24"/>
                <w:kern w:val="0"/>
                <w:sz w:val="28"/>
                <w:szCs w:val="28"/>
              </w:rPr>
              <w:t>分，满分</w:t>
            </w:r>
            <w:r>
              <w:rPr>
                <w:rFonts w:hint="eastAsia" w:ascii="华文仿宋" w:hAnsi="华文仿宋" w:eastAsia="华文仿宋" w:cs="华文仿宋"/>
                <w:b w:val="0"/>
                <w:bCs w:val="0"/>
                <w:color w:val="000000"/>
                <w:spacing w:val="24"/>
                <w:kern w:val="0"/>
                <w:sz w:val="28"/>
                <w:szCs w:val="28"/>
                <w:lang w:val="en-US" w:eastAsia="zh-CN"/>
              </w:rPr>
              <w:t>4.5</w:t>
            </w:r>
            <w:r>
              <w:rPr>
                <w:rFonts w:hint="eastAsia" w:ascii="华文仿宋" w:hAnsi="华文仿宋" w:eastAsia="华文仿宋" w:cs="华文仿宋"/>
                <w:b w:val="0"/>
                <w:bCs w:val="0"/>
                <w:color w:val="000000"/>
                <w:spacing w:val="24"/>
                <w:kern w:val="0"/>
                <w:sz w:val="28"/>
                <w:szCs w:val="28"/>
              </w:rPr>
              <w:t>分；</w:t>
            </w:r>
          </w:p>
          <w:p w14:paraId="7F50E671">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4.</w:t>
            </w:r>
            <w:r>
              <w:rPr>
                <w:rFonts w:hint="eastAsia" w:ascii="华文仿宋" w:hAnsi="华文仿宋" w:eastAsia="华文仿宋" w:cs="华文仿宋"/>
                <w:b w:val="0"/>
                <w:bCs w:val="0"/>
                <w:color w:val="000000"/>
                <w:spacing w:val="24"/>
                <w:kern w:val="0"/>
                <w:sz w:val="28"/>
                <w:szCs w:val="28"/>
                <w:lang w:eastAsia="zh-CN"/>
              </w:rPr>
              <w:t>零部件供应</w:t>
            </w:r>
            <w:r>
              <w:rPr>
                <w:rFonts w:hint="eastAsia" w:ascii="华文仿宋" w:hAnsi="华文仿宋" w:eastAsia="华文仿宋" w:cs="华文仿宋"/>
                <w:b w:val="0"/>
                <w:bCs w:val="0"/>
                <w:color w:val="000000"/>
                <w:spacing w:val="24"/>
                <w:kern w:val="0"/>
                <w:sz w:val="28"/>
                <w:szCs w:val="28"/>
              </w:rPr>
              <w:t>措施：每完全满足一项评审标准得</w:t>
            </w:r>
            <w:r>
              <w:rPr>
                <w:rFonts w:hint="eastAsia" w:ascii="华文仿宋" w:hAnsi="华文仿宋" w:eastAsia="华文仿宋" w:cs="华文仿宋"/>
                <w:b w:val="0"/>
                <w:bCs w:val="0"/>
                <w:color w:val="000000"/>
                <w:spacing w:val="24"/>
                <w:kern w:val="0"/>
                <w:sz w:val="28"/>
                <w:szCs w:val="28"/>
                <w:lang w:val="en-US" w:eastAsia="zh-CN"/>
              </w:rPr>
              <w:t>1.5</w:t>
            </w:r>
            <w:r>
              <w:rPr>
                <w:rFonts w:hint="eastAsia" w:ascii="华文仿宋" w:hAnsi="华文仿宋" w:eastAsia="华文仿宋" w:cs="华文仿宋"/>
                <w:b w:val="0"/>
                <w:bCs w:val="0"/>
                <w:color w:val="000000"/>
                <w:spacing w:val="24"/>
                <w:kern w:val="0"/>
                <w:sz w:val="28"/>
                <w:szCs w:val="28"/>
              </w:rPr>
              <w:t>分，满</w:t>
            </w:r>
            <w:r>
              <w:rPr>
                <w:rFonts w:hint="eastAsia" w:ascii="华文仿宋" w:hAnsi="华文仿宋" w:eastAsia="华文仿宋" w:cs="华文仿宋"/>
                <w:b w:val="0"/>
                <w:bCs w:val="0"/>
                <w:color w:val="000000"/>
                <w:spacing w:val="24"/>
                <w:kern w:val="0"/>
                <w:sz w:val="28"/>
                <w:szCs w:val="28"/>
                <w:lang w:val="en-US" w:eastAsia="zh-CN"/>
              </w:rPr>
              <w:t>4.5</w:t>
            </w:r>
            <w:r>
              <w:rPr>
                <w:rFonts w:hint="eastAsia" w:ascii="华文仿宋" w:hAnsi="华文仿宋" w:eastAsia="华文仿宋" w:cs="华文仿宋"/>
                <w:b w:val="0"/>
                <w:bCs w:val="0"/>
                <w:color w:val="000000"/>
                <w:spacing w:val="24"/>
                <w:kern w:val="0"/>
                <w:sz w:val="28"/>
                <w:szCs w:val="28"/>
              </w:rPr>
              <w:t>分。</w:t>
            </w:r>
          </w:p>
          <w:p w14:paraId="5ADC9AEF">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2"/>
                <w:sz w:val="28"/>
                <w:szCs w:val="28"/>
                <w:lang w:val="en-US" w:eastAsia="zh-CN"/>
              </w:rPr>
            </w:pPr>
            <w:r>
              <w:rPr>
                <w:rFonts w:hint="eastAsia" w:ascii="华文仿宋" w:hAnsi="华文仿宋" w:eastAsia="华文仿宋" w:cs="华文仿宋"/>
                <w:b w:val="0"/>
                <w:bCs w:val="0"/>
                <w:color w:val="000000"/>
                <w:spacing w:val="24"/>
                <w:kern w:val="0"/>
                <w:sz w:val="28"/>
                <w:szCs w:val="28"/>
                <w:lang w:val="en-US" w:eastAsia="zh-CN"/>
              </w:rPr>
              <w:t>5.大中修标准及实施方案：</w:t>
            </w:r>
            <w:r>
              <w:rPr>
                <w:rFonts w:hint="eastAsia" w:ascii="华文仿宋" w:hAnsi="华文仿宋" w:eastAsia="华文仿宋" w:cs="华文仿宋"/>
                <w:b w:val="0"/>
                <w:bCs w:val="0"/>
                <w:color w:val="000000"/>
                <w:spacing w:val="24"/>
                <w:kern w:val="0"/>
                <w:sz w:val="28"/>
                <w:szCs w:val="28"/>
              </w:rPr>
              <w:t>每完全满足一项评审标准得</w:t>
            </w:r>
            <w:r>
              <w:rPr>
                <w:rFonts w:hint="eastAsia" w:ascii="华文仿宋" w:hAnsi="华文仿宋" w:eastAsia="华文仿宋" w:cs="华文仿宋"/>
                <w:b w:val="0"/>
                <w:bCs w:val="0"/>
                <w:color w:val="000000"/>
                <w:spacing w:val="24"/>
                <w:kern w:val="0"/>
                <w:sz w:val="28"/>
                <w:szCs w:val="28"/>
                <w:lang w:val="en-US" w:eastAsia="zh-CN"/>
              </w:rPr>
              <w:t>1.5</w:t>
            </w:r>
            <w:r>
              <w:rPr>
                <w:rFonts w:hint="eastAsia" w:ascii="华文仿宋" w:hAnsi="华文仿宋" w:eastAsia="华文仿宋" w:cs="华文仿宋"/>
                <w:b w:val="0"/>
                <w:bCs w:val="0"/>
                <w:color w:val="000000"/>
                <w:spacing w:val="24"/>
                <w:kern w:val="0"/>
                <w:sz w:val="28"/>
                <w:szCs w:val="28"/>
              </w:rPr>
              <w:t>分，满分</w:t>
            </w:r>
            <w:r>
              <w:rPr>
                <w:rFonts w:hint="eastAsia" w:ascii="华文仿宋" w:hAnsi="华文仿宋" w:eastAsia="华文仿宋" w:cs="华文仿宋"/>
                <w:b w:val="0"/>
                <w:bCs w:val="0"/>
                <w:color w:val="000000"/>
                <w:spacing w:val="24"/>
                <w:kern w:val="0"/>
                <w:sz w:val="28"/>
                <w:szCs w:val="28"/>
                <w:lang w:val="en-US" w:eastAsia="zh-CN"/>
              </w:rPr>
              <w:t>4.5</w:t>
            </w:r>
            <w:r>
              <w:rPr>
                <w:rFonts w:hint="eastAsia" w:ascii="华文仿宋" w:hAnsi="华文仿宋" w:eastAsia="华文仿宋" w:cs="华文仿宋"/>
                <w:b w:val="0"/>
                <w:bCs w:val="0"/>
                <w:color w:val="000000"/>
                <w:spacing w:val="24"/>
                <w:kern w:val="0"/>
                <w:sz w:val="28"/>
                <w:szCs w:val="28"/>
              </w:rPr>
              <w:t>分</w:t>
            </w:r>
            <w:r>
              <w:rPr>
                <w:rFonts w:hint="eastAsia" w:ascii="华文仿宋" w:hAnsi="华文仿宋" w:cs="华文仿宋"/>
                <w:b w:val="0"/>
                <w:bCs w:val="0"/>
                <w:color w:val="000000"/>
                <w:spacing w:val="24"/>
                <w:kern w:val="0"/>
                <w:sz w:val="28"/>
                <w:szCs w:val="28"/>
                <w:lang w:eastAsia="zh-CN"/>
              </w:rPr>
              <w:t>。</w:t>
            </w:r>
          </w:p>
        </w:tc>
        <w:tc>
          <w:tcPr>
            <w:tcW w:w="580" w:type="pct"/>
            <w:noWrap w:val="0"/>
            <w:vAlign w:val="center"/>
          </w:tcPr>
          <w:p w14:paraId="0DD59A2E">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z w:val="28"/>
                <w:szCs w:val="28"/>
                <w:lang w:eastAsia="zh-CN"/>
              </w:rPr>
              <w:t>主</w:t>
            </w:r>
          </w:p>
          <w:p w14:paraId="730A407F">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z w:val="28"/>
                <w:szCs w:val="28"/>
                <w:lang w:eastAsia="zh-CN"/>
              </w:rPr>
              <w:t>观</w:t>
            </w:r>
          </w:p>
          <w:p w14:paraId="3872C4FB">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eastAsia="zh-CN"/>
              </w:rPr>
              <w:t>分</w:t>
            </w:r>
          </w:p>
        </w:tc>
      </w:tr>
      <w:tr w14:paraId="61F6F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jc w:val="center"/>
        </w:trPr>
        <w:tc>
          <w:tcPr>
            <w:tcW w:w="540" w:type="pct"/>
            <w:noWrap w:val="0"/>
            <w:vAlign w:val="center"/>
          </w:tcPr>
          <w:p w14:paraId="0D0BC39C">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华文仿宋" w:hAnsi="华文仿宋" w:eastAsia="华文仿宋" w:cs="华文仿宋"/>
                <w:b w:val="0"/>
                <w:bCs w:val="0"/>
                <w:color w:val="000000"/>
                <w:spacing w:val="22"/>
                <w:sz w:val="28"/>
                <w:szCs w:val="28"/>
                <w:lang w:eastAsia="zh-CN"/>
              </w:rPr>
            </w:pPr>
            <w:r>
              <w:rPr>
                <w:rFonts w:hint="eastAsia" w:ascii="华文仿宋" w:hAnsi="华文仿宋" w:eastAsia="华文仿宋" w:cs="华文仿宋"/>
                <w:b w:val="0"/>
                <w:bCs w:val="0"/>
                <w:color w:val="000000"/>
                <w:spacing w:val="22"/>
                <w:sz w:val="28"/>
                <w:szCs w:val="28"/>
                <w:lang w:eastAsia="zh-CN"/>
              </w:rPr>
              <w:t>项目人员配备</w:t>
            </w:r>
          </w:p>
        </w:tc>
        <w:tc>
          <w:tcPr>
            <w:tcW w:w="571" w:type="pct"/>
            <w:noWrap w:val="0"/>
            <w:vAlign w:val="center"/>
          </w:tcPr>
          <w:p w14:paraId="260E6EB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pacing w:val="22"/>
                <w:sz w:val="28"/>
                <w:szCs w:val="28"/>
                <w:lang w:val="en-US" w:eastAsia="zh-CN"/>
              </w:rPr>
            </w:pPr>
            <w:r>
              <w:rPr>
                <w:rFonts w:hint="eastAsia" w:ascii="华文仿宋" w:hAnsi="华文仿宋" w:eastAsia="华文仿宋" w:cs="华文仿宋"/>
                <w:b w:val="0"/>
                <w:bCs w:val="0"/>
                <w:color w:val="000000"/>
                <w:spacing w:val="22"/>
                <w:sz w:val="28"/>
                <w:szCs w:val="28"/>
                <w:lang w:val="en-US" w:eastAsia="zh-CN"/>
              </w:rPr>
              <w:t>7分</w:t>
            </w:r>
          </w:p>
        </w:tc>
        <w:tc>
          <w:tcPr>
            <w:tcW w:w="3307" w:type="pct"/>
            <w:noWrap w:val="0"/>
            <w:vAlign w:val="center"/>
          </w:tcPr>
          <w:p w14:paraId="3AB27C78">
            <w:pPr>
              <w:pageBreakBefore w:val="0"/>
              <w:widowControl w:val="0"/>
              <w:numPr>
                <w:ilvl w:val="0"/>
                <w:numId w:val="0"/>
              </w:numPr>
              <w:kinsoku/>
              <w:wordWrap/>
              <w:overflowPunct/>
              <w:topLinePunct w:val="0"/>
              <w:autoSpaceDE/>
              <w:autoSpaceDN/>
              <w:bidi w:val="0"/>
              <w:adjustRightInd/>
              <w:snapToGrid/>
              <w:spacing w:line="360" w:lineRule="exact"/>
              <w:textAlignment w:val="auto"/>
              <w:rPr>
                <w:rFonts w:hint="eastAsia" w:ascii="华文仿宋" w:hAnsi="华文仿宋" w:eastAsia="华文仿宋" w:cs="华文仿宋"/>
                <w:b w:val="0"/>
                <w:bCs w:val="0"/>
                <w:color w:val="000000"/>
                <w:spacing w:val="24"/>
                <w:kern w:val="0"/>
                <w:sz w:val="28"/>
                <w:szCs w:val="28"/>
                <w:lang w:val="en-US" w:eastAsia="zh-CN" w:bidi="ar-SA"/>
              </w:rPr>
            </w:pPr>
            <w:r>
              <w:rPr>
                <w:rFonts w:hint="eastAsia" w:ascii="华文仿宋" w:hAnsi="华文仿宋" w:eastAsia="华文仿宋" w:cs="华文仿宋"/>
                <w:b w:val="0"/>
                <w:bCs w:val="0"/>
                <w:color w:val="000000"/>
                <w:spacing w:val="24"/>
                <w:kern w:val="0"/>
                <w:sz w:val="28"/>
                <w:szCs w:val="28"/>
                <w:lang w:val="en-US" w:eastAsia="zh-CN" w:bidi="ar-SA"/>
              </w:rPr>
              <w:t>赋分标准（满分7分）</w:t>
            </w:r>
          </w:p>
          <w:p w14:paraId="21E1D0B5">
            <w:pPr>
              <w:pageBreakBefore w:val="0"/>
              <w:widowControl w:val="0"/>
              <w:numPr>
                <w:ilvl w:val="0"/>
                <w:numId w:val="0"/>
              </w:numPr>
              <w:kinsoku/>
              <w:wordWrap/>
              <w:overflowPunct/>
              <w:topLinePunct w:val="0"/>
              <w:autoSpaceDE/>
              <w:autoSpaceDN/>
              <w:bidi w:val="0"/>
              <w:adjustRightInd/>
              <w:snapToGrid/>
              <w:spacing w:line="360" w:lineRule="exact"/>
              <w:ind w:firstLine="662" w:firstLineChars="200"/>
              <w:textAlignment w:val="auto"/>
              <w:rPr>
                <w:rFonts w:hint="eastAsia" w:ascii="华文仿宋" w:hAnsi="华文仿宋" w:eastAsia="华文仿宋" w:cs="华文仿宋"/>
                <w:b w:val="0"/>
                <w:bCs w:val="0"/>
                <w:color w:val="000000"/>
                <w:spacing w:val="24"/>
                <w:kern w:val="0"/>
                <w:sz w:val="28"/>
                <w:szCs w:val="28"/>
                <w:lang w:val="en-US" w:eastAsia="zh-CN" w:bidi="ar-SA"/>
              </w:rPr>
            </w:pPr>
            <w:r>
              <w:rPr>
                <w:rFonts w:hint="eastAsia" w:ascii="华文仿宋" w:hAnsi="华文仿宋" w:eastAsia="华文仿宋" w:cs="华文仿宋"/>
                <w:b w:val="0"/>
                <w:bCs w:val="0"/>
                <w:color w:val="000000"/>
                <w:spacing w:val="24"/>
                <w:kern w:val="0"/>
                <w:sz w:val="28"/>
                <w:szCs w:val="28"/>
                <w:lang w:val="en-US" w:eastAsia="zh-CN" w:bidi="ar-SA"/>
              </w:rPr>
              <w:t>1.人员配备数量和结构满足项目需求，常驻该项目的项目负责人、维修员每天在岗值班总人数不能低于3名，实行24小时在岗值班。每多配备1名符合要求的技术人员，得1分，最多得2分。</w:t>
            </w:r>
          </w:p>
          <w:p w14:paraId="4B1CB246">
            <w:pPr>
              <w:pageBreakBefore w:val="0"/>
              <w:widowControl w:val="0"/>
              <w:numPr>
                <w:ilvl w:val="0"/>
                <w:numId w:val="0"/>
              </w:numPr>
              <w:kinsoku/>
              <w:wordWrap/>
              <w:overflowPunct/>
              <w:topLinePunct w:val="0"/>
              <w:autoSpaceDE/>
              <w:autoSpaceDN/>
              <w:bidi w:val="0"/>
              <w:adjustRightInd/>
              <w:snapToGrid/>
              <w:spacing w:line="360" w:lineRule="exact"/>
              <w:ind w:firstLine="662" w:firstLineChars="200"/>
              <w:textAlignment w:val="auto"/>
              <w:rPr>
                <w:rFonts w:hint="eastAsia" w:ascii="华文仿宋" w:hAnsi="华文仿宋" w:eastAsia="华文仿宋" w:cs="华文仿宋"/>
                <w:b w:val="0"/>
                <w:bCs w:val="0"/>
                <w:sz w:val="28"/>
                <w:szCs w:val="28"/>
                <w:lang w:val="en-US" w:eastAsia="zh-CN"/>
              </w:rPr>
            </w:pPr>
            <w:r>
              <w:rPr>
                <w:rFonts w:hint="eastAsia" w:ascii="华文仿宋" w:hAnsi="华文仿宋" w:eastAsia="华文仿宋" w:cs="华文仿宋"/>
                <w:b w:val="0"/>
                <w:bCs w:val="0"/>
                <w:color w:val="000000"/>
                <w:spacing w:val="24"/>
                <w:kern w:val="0"/>
                <w:sz w:val="28"/>
                <w:szCs w:val="28"/>
                <w:lang w:val="en-US" w:eastAsia="zh-CN" w:bidi="ar-SA"/>
              </w:rPr>
              <w:t>2.在该项目配备的人员中，均需提供无违法犯罪记录和缴纳社保证明，每提供一个，得0.5分，最高得分上限5分。</w:t>
            </w:r>
          </w:p>
        </w:tc>
        <w:tc>
          <w:tcPr>
            <w:tcW w:w="580" w:type="pct"/>
            <w:noWrap w:val="0"/>
            <w:vAlign w:val="center"/>
          </w:tcPr>
          <w:p w14:paraId="6AD8C1AF">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r>
              <w:rPr>
                <w:rFonts w:hint="eastAsia" w:ascii="华文仿宋" w:hAnsi="华文仿宋" w:eastAsia="华文仿宋" w:cs="华文仿宋"/>
                <w:b w:val="0"/>
                <w:bCs w:val="0"/>
                <w:color w:val="000000"/>
                <w:sz w:val="28"/>
                <w:szCs w:val="28"/>
                <w:lang w:val="en-US" w:eastAsia="zh-CN"/>
              </w:rPr>
              <w:t>客</w:t>
            </w:r>
          </w:p>
          <w:p w14:paraId="7BCF8988">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r>
              <w:rPr>
                <w:rFonts w:hint="eastAsia" w:ascii="华文仿宋" w:hAnsi="华文仿宋" w:eastAsia="华文仿宋" w:cs="华文仿宋"/>
                <w:b w:val="0"/>
                <w:bCs w:val="0"/>
                <w:color w:val="000000"/>
                <w:sz w:val="28"/>
                <w:szCs w:val="28"/>
                <w:lang w:val="en-US" w:eastAsia="zh-CN"/>
              </w:rPr>
              <w:t>观</w:t>
            </w:r>
          </w:p>
          <w:p w14:paraId="7FF8685E">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r>
              <w:rPr>
                <w:rFonts w:hint="eastAsia" w:ascii="华文仿宋" w:hAnsi="华文仿宋" w:eastAsia="华文仿宋" w:cs="华文仿宋"/>
                <w:b w:val="0"/>
                <w:bCs w:val="0"/>
                <w:color w:val="000000"/>
                <w:sz w:val="28"/>
                <w:szCs w:val="28"/>
                <w:lang w:val="en-US" w:eastAsia="zh-CN"/>
              </w:rPr>
              <w:t>分</w:t>
            </w:r>
          </w:p>
        </w:tc>
      </w:tr>
      <w:tr w14:paraId="75804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0" w:type="pct"/>
            <w:noWrap w:val="0"/>
            <w:vAlign w:val="center"/>
          </w:tcPr>
          <w:p w14:paraId="6169036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pacing w:val="22"/>
                <w:sz w:val="28"/>
                <w:szCs w:val="28"/>
                <w:lang w:eastAsia="zh-CN"/>
              </w:rPr>
              <w:t>服务目标实施方案</w:t>
            </w:r>
          </w:p>
        </w:tc>
        <w:tc>
          <w:tcPr>
            <w:tcW w:w="571" w:type="pct"/>
            <w:noWrap w:val="0"/>
            <w:vAlign w:val="center"/>
          </w:tcPr>
          <w:p w14:paraId="3129C0E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pacing w:val="22"/>
                <w:sz w:val="28"/>
                <w:szCs w:val="28"/>
                <w:lang w:val="en-US" w:eastAsia="zh-CN"/>
              </w:rPr>
            </w:pPr>
            <w:r>
              <w:rPr>
                <w:rFonts w:hint="eastAsia" w:ascii="华文仿宋" w:hAnsi="华文仿宋" w:eastAsia="华文仿宋" w:cs="华文仿宋"/>
                <w:b w:val="0"/>
                <w:bCs w:val="0"/>
                <w:color w:val="000000"/>
                <w:spacing w:val="22"/>
                <w:sz w:val="28"/>
                <w:szCs w:val="28"/>
                <w:lang w:val="en-US" w:eastAsia="zh-CN"/>
              </w:rPr>
              <w:t>13.5分</w:t>
            </w:r>
          </w:p>
        </w:tc>
        <w:tc>
          <w:tcPr>
            <w:tcW w:w="3307" w:type="pct"/>
            <w:noWrap w:val="0"/>
            <w:vAlign w:val="top"/>
          </w:tcPr>
          <w:p w14:paraId="072B0D7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一、评审内容</w:t>
            </w:r>
          </w:p>
          <w:p w14:paraId="4E44D573">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lang w:eastAsia="zh-CN"/>
              </w:rPr>
            </w:pPr>
            <w:r>
              <w:rPr>
                <w:rFonts w:hint="eastAsia" w:ascii="华文仿宋" w:hAnsi="华文仿宋" w:eastAsia="华文仿宋" w:cs="华文仿宋"/>
                <w:b w:val="0"/>
                <w:bCs w:val="0"/>
                <w:color w:val="000000"/>
                <w:spacing w:val="24"/>
                <w:kern w:val="0"/>
                <w:sz w:val="28"/>
                <w:szCs w:val="28"/>
              </w:rPr>
              <w:t>投标人针对本项目具有良好的</w:t>
            </w:r>
            <w:r>
              <w:rPr>
                <w:rFonts w:hint="eastAsia" w:ascii="华文仿宋" w:hAnsi="华文仿宋" w:eastAsia="华文仿宋" w:cs="华文仿宋"/>
                <w:b w:val="0"/>
                <w:bCs w:val="0"/>
                <w:color w:val="000000"/>
                <w:spacing w:val="24"/>
                <w:kern w:val="0"/>
                <w:sz w:val="28"/>
                <w:szCs w:val="28"/>
                <w:lang w:eastAsia="zh-CN"/>
              </w:rPr>
              <w:t>服务</w:t>
            </w:r>
            <w:r>
              <w:rPr>
                <w:rFonts w:hint="eastAsia" w:ascii="华文仿宋" w:hAnsi="华文仿宋" w:eastAsia="华文仿宋" w:cs="华文仿宋"/>
                <w:b w:val="0"/>
                <w:bCs w:val="0"/>
                <w:color w:val="000000"/>
                <w:spacing w:val="24"/>
                <w:kern w:val="0"/>
                <w:sz w:val="28"/>
                <w:szCs w:val="28"/>
              </w:rPr>
              <w:t>制度，制度包含：①</w:t>
            </w:r>
            <w:r>
              <w:rPr>
                <w:rFonts w:hint="eastAsia" w:ascii="华文仿宋" w:hAnsi="华文仿宋" w:eastAsia="华文仿宋" w:cs="华文仿宋"/>
                <w:b w:val="0"/>
                <w:bCs w:val="0"/>
                <w:color w:val="000000"/>
                <w:spacing w:val="24"/>
                <w:kern w:val="0"/>
                <w:sz w:val="28"/>
                <w:szCs w:val="28"/>
                <w:lang w:eastAsia="zh-CN"/>
              </w:rPr>
              <w:t>人员分工制度：供应商具体的职责分工制度</w:t>
            </w:r>
            <w:r>
              <w:rPr>
                <w:rFonts w:hint="eastAsia" w:ascii="华文仿宋" w:hAnsi="华文仿宋" w:eastAsia="华文仿宋" w:cs="华文仿宋"/>
                <w:b w:val="0"/>
                <w:bCs w:val="0"/>
                <w:color w:val="000000"/>
                <w:spacing w:val="24"/>
                <w:kern w:val="0"/>
                <w:sz w:val="28"/>
                <w:szCs w:val="28"/>
                <w:lang w:val="en-US" w:eastAsia="zh-CN"/>
              </w:rPr>
              <w:t xml:space="preserve"> </w:t>
            </w:r>
            <w:r>
              <w:rPr>
                <w:rFonts w:hint="eastAsia" w:ascii="华文仿宋" w:hAnsi="华文仿宋" w:eastAsia="华文仿宋" w:cs="华文仿宋"/>
                <w:b w:val="0"/>
                <w:bCs w:val="0"/>
                <w:color w:val="000000"/>
                <w:spacing w:val="24"/>
                <w:kern w:val="0"/>
                <w:sz w:val="28"/>
                <w:szCs w:val="28"/>
              </w:rPr>
              <w:t>②人员管理制度：具有员工</w:t>
            </w:r>
            <w:r>
              <w:rPr>
                <w:rFonts w:hint="eastAsia" w:ascii="华文仿宋" w:hAnsi="华文仿宋" w:eastAsia="华文仿宋" w:cs="华文仿宋"/>
                <w:b w:val="0"/>
                <w:bCs w:val="0"/>
                <w:color w:val="000000"/>
                <w:spacing w:val="24"/>
                <w:kern w:val="0"/>
                <w:sz w:val="28"/>
                <w:szCs w:val="28"/>
                <w:lang w:eastAsia="zh-CN"/>
              </w:rPr>
              <w:t>操作规范、</w:t>
            </w:r>
            <w:r>
              <w:rPr>
                <w:rFonts w:hint="eastAsia" w:ascii="华文仿宋" w:hAnsi="华文仿宋" w:eastAsia="华文仿宋" w:cs="华文仿宋"/>
                <w:b w:val="0"/>
                <w:bCs w:val="0"/>
                <w:color w:val="000000"/>
                <w:spacing w:val="24"/>
                <w:kern w:val="0"/>
                <w:sz w:val="28"/>
                <w:szCs w:val="28"/>
              </w:rPr>
              <w:t>行为规范、仪容仪表及礼仪标准制度。③</w:t>
            </w:r>
            <w:r>
              <w:rPr>
                <w:rFonts w:hint="eastAsia" w:ascii="华文仿宋" w:hAnsi="华文仿宋" w:eastAsia="华文仿宋" w:cs="华文仿宋"/>
                <w:b w:val="0"/>
                <w:bCs w:val="0"/>
                <w:color w:val="000000"/>
                <w:spacing w:val="24"/>
                <w:kern w:val="0"/>
                <w:sz w:val="28"/>
                <w:szCs w:val="28"/>
                <w:lang w:eastAsia="zh-CN"/>
              </w:rPr>
              <w:t>员工绩效考核制度。</w:t>
            </w:r>
          </w:p>
          <w:p w14:paraId="66746F78">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二、评审标准</w:t>
            </w:r>
          </w:p>
          <w:p w14:paraId="234057C7">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1.完整性：方案必须全面，对评审内容中的各项要求有详细描述；</w:t>
            </w:r>
          </w:p>
          <w:p w14:paraId="2FB9605F">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2.落实性：切合项目具体情况，提出责任明确、要求具体的方案；</w:t>
            </w:r>
          </w:p>
          <w:p w14:paraId="49473EF8">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3.针对性：方案能够紧扣项目实际情况，内容科学合理。</w:t>
            </w:r>
          </w:p>
          <w:p w14:paraId="4D04D209">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三、赋分标准（满分</w:t>
            </w:r>
            <w:r>
              <w:rPr>
                <w:rFonts w:hint="eastAsia" w:ascii="华文仿宋" w:hAnsi="华文仿宋" w:eastAsia="华文仿宋" w:cs="华文仿宋"/>
                <w:b w:val="0"/>
                <w:bCs w:val="0"/>
                <w:color w:val="000000"/>
                <w:spacing w:val="24"/>
                <w:kern w:val="0"/>
                <w:sz w:val="28"/>
                <w:szCs w:val="28"/>
                <w:lang w:val="en-US" w:eastAsia="zh-CN"/>
              </w:rPr>
              <w:t>9</w:t>
            </w:r>
            <w:r>
              <w:rPr>
                <w:rFonts w:hint="eastAsia" w:ascii="华文仿宋" w:hAnsi="华文仿宋" w:eastAsia="华文仿宋" w:cs="华文仿宋"/>
                <w:b w:val="0"/>
                <w:bCs w:val="0"/>
                <w:color w:val="000000"/>
                <w:spacing w:val="24"/>
                <w:kern w:val="0"/>
                <w:sz w:val="28"/>
                <w:szCs w:val="28"/>
              </w:rPr>
              <w:t>分）</w:t>
            </w:r>
          </w:p>
          <w:p w14:paraId="059F742C">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1.</w:t>
            </w:r>
            <w:r>
              <w:rPr>
                <w:rFonts w:hint="eastAsia" w:ascii="华文仿宋" w:hAnsi="华文仿宋" w:eastAsia="华文仿宋" w:cs="华文仿宋"/>
                <w:b w:val="0"/>
                <w:bCs w:val="0"/>
                <w:color w:val="000000"/>
                <w:spacing w:val="24"/>
                <w:kern w:val="0"/>
                <w:sz w:val="28"/>
                <w:szCs w:val="28"/>
                <w:lang w:eastAsia="zh-CN"/>
              </w:rPr>
              <w:t>人员分工制度</w:t>
            </w:r>
            <w:r>
              <w:rPr>
                <w:rFonts w:hint="eastAsia" w:ascii="华文仿宋" w:hAnsi="华文仿宋" w:eastAsia="华文仿宋" w:cs="华文仿宋"/>
                <w:b w:val="0"/>
                <w:bCs w:val="0"/>
                <w:color w:val="000000"/>
                <w:spacing w:val="24"/>
                <w:kern w:val="0"/>
                <w:sz w:val="28"/>
                <w:szCs w:val="28"/>
              </w:rPr>
              <w:t>：每完全满足一个评审标准得</w:t>
            </w:r>
            <w:r>
              <w:rPr>
                <w:rFonts w:hint="eastAsia" w:ascii="华文仿宋" w:hAnsi="华文仿宋" w:eastAsia="华文仿宋" w:cs="华文仿宋"/>
                <w:b w:val="0"/>
                <w:bCs w:val="0"/>
                <w:color w:val="000000"/>
                <w:spacing w:val="24"/>
                <w:kern w:val="0"/>
                <w:sz w:val="28"/>
                <w:szCs w:val="28"/>
                <w:lang w:val="en-US" w:eastAsia="zh-CN"/>
              </w:rPr>
              <w:t>1.5</w:t>
            </w:r>
            <w:r>
              <w:rPr>
                <w:rFonts w:hint="eastAsia" w:ascii="华文仿宋" w:hAnsi="华文仿宋" w:eastAsia="华文仿宋" w:cs="华文仿宋"/>
                <w:b w:val="0"/>
                <w:bCs w:val="0"/>
                <w:color w:val="000000"/>
                <w:spacing w:val="24"/>
                <w:kern w:val="0"/>
                <w:sz w:val="28"/>
                <w:szCs w:val="28"/>
              </w:rPr>
              <w:t>分，满分</w:t>
            </w:r>
            <w:r>
              <w:rPr>
                <w:rFonts w:hint="eastAsia" w:ascii="华文仿宋" w:hAnsi="华文仿宋" w:eastAsia="华文仿宋" w:cs="华文仿宋"/>
                <w:b w:val="0"/>
                <w:bCs w:val="0"/>
                <w:color w:val="000000"/>
                <w:spacing w:val="24"/>
                <w:kern w:val="0"/>
                <w:sz w:val="28"/>
                <w:szCs w:val="28"/>
                <w:lang w:val="en-US" w:eastAsia="zh-CN"/>
              </w:rPr>
              <w:t>4.5</w:t>
            </w:r>
            <w:r>
              <w:rPr>
                <w:rFonts w:hint="eastAsia" w:ascii="华文仿宋" w:hAnsi="华文仿宋" w:eastAsia="华文仿宋" w:cs="华文仿宋"/>
                <w:b w:val="0"/>
                <w:bCs w:val="0"/>
                <w:color w:val="000000"/>
                <w:spacing w:val="24"/>
                <w:kern w:val="0"/>
                <w:sz w:val="28"/>
                <w:szCs w:val="28"/>
              </w:rPr>
              <w:t>分；</w:t>
            </w:r>
          </w:p>
          <w:p w14:paraId="3F0E4849">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lang w:val="en-US" w:eastAsia="zh-CN"/>
              </w:rPr>
              <w:t>2.</w:t>
            </w:r>
            <w:r>
              <w:rPr>
                <w:rFonts w:hint="eastAsia" w:ascii="华文仿宋" w:hAnsi="华文仿宋" w:eastAsia="华文仿宋" w:cs="华文仿宋"/>
                <w:b w:val="0"/>
                <w:bCs w:val="0"/>
                <w:color w:val="000000"/>
                <w:spacing w:val="24"/>
                <w:kern w:val="0"/>
                <w:sz w:val="28"/>
                <w:szCs w:val="28"/>
              </w:rPr>
              <w:t>人员管理制度：每完全满足一个评审标准得</w:t>
            </w:r>
            <w:r>
              <w:rPr>
                <w:rFonts w:hint="eastAsia" w:ascii="华文仿宋" w:hAnsi="华文仿宋" w:eastAsia="华文仿宋" w:cs="华文仿宋"/>
                <w:b w:val="0"/>
                <w:bCs w:val="0"/>
                <w:color w:val="000000"/>
                <w:spacing w:val="24"/>
                <w:kern w:val="0"/>
                <w:sz w:val="28"/>
                <w:szCs w:val="28"/>
                <w:lang w:val="en-US" w:eastAsia="zh-CN"/>
              </w:rPr>
              <w:t>1.5</w:t>
            </w:r>
            <w:r>
              <w:rPr>
                <w:rFonts w:hint="eastAsia" w:ascii="华文仿宋" w:hAnsi="华文仿宋" w:eastAsia="华文仿宋" w:cs="华文仿宋"/>
                <w:b w:val="0"/>
                <w:bCs w:val="0"/>
                <w:color w:val="000000"/>
                <w:spacing w:val="24"/>
                <w:kern w:val="0"/>
                <w:sz w:val="28"/>
                <w:szCs w:val="28"/>
              </w:rPr>
              <w:t>分，满分</w:t>
            </w:r>
            <w:r>
              <w:rPr>
                <w:rFonts w:hint="eastAsia" w:ascii="华文仿宋" w:hAnsi="华文仿宋" w:eastAsia="华文仿宋" w:cs="华文仿宋"/>
                <w:b w:val="0"/>
                <w:bCs w:val="0"/>
                <w:color w:val="000000"/>
                <w:spacing w:val="24"/>
                <w:kern w:val="0"/>
                <w:sz w:val="28"/>
                <w:szCs w:val="28"/>
                <w:lang w:val="en-US" w:eastAsia="zh-CN"/>
              </w:rPr>
              <w:t>4.5</w:t>
            </w:r>
            <w:r>
              <w:rPr>
                <w:rFonts w:hint="eastAsia" w:ascii="华文仿宋" w:hAnsi="华文仿宋" w:eastAsia="华文仿宋" w:cs="华文仿宋"/>
                <w:b w:val="0"/>
                <w:bCs w:val="0"/>
                <w:color w:val="000000"/>
                <w:spacing w:val="24"/>
                <w:kern w:val="0"/>
                <w:sz w:val="28"/>
                <w:szCs w:val="28"/>
              </w:rPr>
              <w:t>分。</w:t>
            </w:r>
          </w:p>
          <w:p w14:paraId="2FE8CF6E">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2"/>
                <w:sz w:val="28"/>
                <w:szCs w:val="28"/>
                <w:lang w:val="en-US" w:eastAsia="zh-CN"/>
              </w:rPr>
            </w:pPr>
            <w:r>
              <w:rPr>
                <w:rFonts w:hint="eastAsia" w:ascii="华文仿宋" w:hAnsi="华文仿宋" w:eastAsia="华文仿宋" w:cs="华文仿宋"/>
                <w:b w:val="0"/>
                <w:bCs w:val="0"/>
                <w:color w:val="000000"/>
                <w:spacing w:val="24"/>
                <w:kern w:val="0"/>
                <w:sz w:val="28"/>
                <w:szCs w:val="28"/>
                <w:lang w:val="en-US" w:eastAsia="zh-CN"/>
              </w:rPr>
              <w:t>3.</w:t>
            </w:r>
            <w:r>
              <w:rPr>
                <w:rFonts w:hint="eastAsia" w:ascii="华文仿宋" w:hAnsi="华文仿宋" w:eastAsia="华文仿宋" w:cs="华文仿宋"/>
                <w:b w:val="0"/>
                <w:bCs w:val="0"/>
                <w:color w:val="000000"/>
                <w:spacing w:val="24"/>
                <w:kern w:val="0"/>
                <w:sz w:val="28"/>
                <w:szCs w:val="28"/>
                <w:lang w:eastAsia="zh-CN"/>
              </w:rPr>
              <w:t>员工绩效考核制度：</w:t>
            </w:r>
            <w:r>
              <w:rPr>
                <w:rFonts w:hint="eastAsia" w:ascii="华文仿宋" w:hAnsi="华文仿宋" w:eastAsia="华文仿宋" w:cs="华文仿宋"/>
                <w:b w:val="0"/>
                <w:bCs w:val="0"/>
                <w:color w:val="000000"/>
                <w:spacing w:val="24"/>
                <w:kern w:val="0"/>
                <w:sz w:val="28"/>
                <w:szCs w:val="28"/>
              </w:rPr>
              <w:t>每完全满足一个评审标准得</w:t>
            </w:r>
            <w:r>
              <w:rPr>
                <w:rFonts w:hint="eastAsia" w:ascii="华文仿宋" w:hAnsi="华文仿宋" w:eastAsia="华文仿宋" w:cs="华文仿宋"/>
                <w:b w:val="0"/>
                <w:bCs w:val="0"/>
                <w:color w:val="000000"/>
                <w:spacing w:val="24"/>
                <w:kern w:val="0"/>
                <w:sz w:val="28"/>
                <w:szCs w:val="28"/>
                <w:lang w:val="en-US" w:eastAsia="zh-CN"/>
              </w:rPr>
              <w:t>1.5</w:t>
            </w:r>
            <w:r>
              <w:rPr>
                <w:rFonts w:hint="eastAsia" w:ascii="华文仿宋" w:hAnsi="华文仿宋" w:eastAsia="华文仿宋" w:cs="华文仿宋"/>
                <w:b w:val="0"/>
                <w:bCs w:val="0"/>
                <w:color w:val="000000"/>
                <w:spacing w:val="24"/>
                <w:kern w:val="0"/>
                <w:sz w:val="28"/>
                <w:szCs w:val="28"/>
              </w:rPr>
              <w:t>分，满分</w:t>
            </w:r>
            <w:r>
              <w:rPr>
                <w:rFonts w:hint="eastAsia" w:ascii="华文仿宋" w:hAnsi="华文仿宋" w:eastAsia="华文仿宋" w:cs="华文仿宋"/>
                <w:b w:val="0"/>
                <w:bCs w:val="0"/>
                <w:color w:val="000000"/>
                <w:spacing w:val="24"/>
                <w:kern w:val="0"/>
                <w:sz w:val="28"/>
                <w:szCs w:val="28"/>
                <w:lang w:val="en-US" w:eastAsia="zh-CN"/>
              </w:rPr>
              <w:t>4.5</w:t>
            </w:r>
            <w:r>
              <w:rPr>
                <w:rFonts w:hint="eastAsia" w:ascii="华文仿宋" w:hAnsi="华文仿宋" w:eastAsia="华文仿宋" w:cs="华文仿宋"/>
                <w:b w:val="0"/>
                <w:bCs w:val="0"/>
                <w:color w:val="000000"/>
                <w:spacing w:val="24"/>
                <w:kern w:val="0"/>
                <w:sz w:val="28"/>
                <w:szCs w:val="28"/>
              </w:rPr>
              <w:t>分。</w:t>
            </w:r>
          </w:p>
        </w:tc>
        <w:tc>
          <w:tcPr>
            <w:tcW w:w="580" w:type="pct"/>
            <w:noWrap w:val="0"/>
            <w:vAlign w:val="center"/>
          </w:tcPr>
          <w:p w14:paraId="7CFDA8A0">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z w:val="28"/>
                <w:szCs w:val="28"/>
                <w:lang w:eastAsia="zh-CN"/>
              </w:rPr>
              <w:t>主</w:t>
            </w:r>
          </w:p>
          <w:p w14:paraId="18501318">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z w:val="28"/>
                <w:szCs w:val="28"/>
                <w:lang w:eastAsia="zh-CN"/>
              </w:rPr>
              <w:t>观</w:t>
            </w:r>
          </w:p>
          <w:p w14:paraId="5640A444">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z w:val="28"/>
                <w:szCs w:val="28"/>
                <w:lang w:eastAsia="zh-CN"/>
              </w:rPr>
              <w:t>分</w:t>
            </w:r>
          </w:p>
        </w:tc>
      </w:tr>
      <w:tr w14:paraId="6424E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4" w:hRule="atLeast"/>
          <w:jc w:val="center"/>
        </w:trPr>
        <w:tc>
          <w:tcPr>
            <w:tcW w:w="540" w:type="pct"/>
            <w:noWrap w:val="0"/>
            <w:vAlign w:val="center"/>
          </w:tcPr>
          <w:p w14:paraId="1555F9C3">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pacing w:val="22"/>
                <w:sz w:val="28"/>
                <w:szCs w:val="28"/>
                <w:lang w:eastAsia="zh-CN"/>
              </w:rPr>
            </w:pPr>
          </w:p>
          <w:p w14:paraId="74E67C3C">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pacing w:val="22"/>
                <w:sz w:val="28"/>
                <w:szCs w:val="28"/>
                <w:lang w:eastAsia="zh-CN"/>
              </w:rPr>
            </w:pPr>
          </w:p>
          <w:p w14:paraId="7E359B1A">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pacing w:val="22"/>
                <w:sz w:val="28"/>
                <w:szCs w:val="28"/>
                <w:lang w:eastAsia="zh-CN"/>
              </w:rPr>
              <w:t>公共场合安全保障以及应急处理方</w:t>
            </w:r>
            <w:r>
              <w:rPr>
                <w:rFonts w:hint="eastAsia" w:ascii="华文仿宋" w:hAnsi="华文仿宋" w:eastAsia="华文仿宋" w:cs="华文仿宋"/>
                <w:b w:val="0"/>
                <w:bCs w:val="0"/>
                <w:color w:val="000000"/>
                <w:sz w:val="28"/>
                <w:szCs w:val="28"/>
                <w:lang w:eastAsia="zh-CN"/>
              </w:rPr>
              <w:t>案</w:t>
            </w:r>
          </w:p>
        </w:tc>
        <w:tc>
          <w:tcPr>
            <w:tcW w:w="571" w:type="pct"/>
            <w:noWrap w:val="0"/>
            <w:vAlign w:val="center"/>
          </w:tcPr>
          <w:p w14:paraId="44F768D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r>
              <w:rPr>
                <w:rFonts w:hint="eastAsia" w:ascii="华文仿宋" w:hAnsi="华文仿宋" w:eastAsia="华文仿宋" w:cs="华文仿宋"/>
                <w:b w:val="0"/>
                <w:bCs w:val="0"/>
                <w:color w:val="000000"/>
                <w:sz w:val="28"/>
                <w:szCs w:val="28"/>
                <w:lang w:val="en-US" w:eastAsia="zh-CN"/>
              </w:rPr>
              <w:t>18分</w:t>
            </w:r>
          </w:p>
        </w:tc>
        <w:tc>
          <w:tcPr>
            <w:tcW w:w="3307" w:type="pct"/>
            <w:noWrap w:val="0"/>
            <w:vAlign w:val="top"/>
          </w:tcPr>
          <w:p w14:paraId="68E7DA7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b w:val="0"/>
                <w:bCs w:val="0"/>
                <w:color w:val="000000"/>
                <w:spacing w:val="24"/>
                <w:kern w:val="0"/>
                <w:sz w:val="28"/>
                <w:szCs w:val="28"/>
                <w:lang w:eastAsia="zh-CN"/>
              </w:rPr>
            </w:pPr>
            <w:r>
              <w:rPr>
                <w:rFonts w:hint="eastAsia" w:ascii="华文仿宋" w:hAnsi="华文仿宋" w:eastAsia="华文仿宋" w:cs="华文仿宋"/>
                <w:b w:val="0"/>
                <w:bCs w:val="0"/>
                <w:color w:val="000000"/>
                <w:spacing w:val="24"/>
                <w:kern w:val="0"/>
                <w:sz w:val="28"/>
                <w:szCs w:val="28"/>
                <w:lang w:eastAsia="zh-CN"/>
              </w:rPr>
              <w:t>一、评审内容</w:t>
            </w:r>
          </w:p>
          <w:p w14:paraId="5D0F1A28">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 xml:space="preserve">本项客观符合性评审，投标文件提供对应方案文本，具备条款即得分，缺少则该项不得分，针对本项目制定方案。 </w:t>
            </w:r>
          </w:p>
          <w:p w14:paraId="3DFE6B20">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华文仿宋" w:hAnsi="华文仿宋" w:eastAsia="华文仿宋" w:cs="华文仿宋"/>
                <w:b w:val="0"/>
                <w:bCs w:val="0"/>
                <w:color w:val="000000"/>
                <w:spacing w:val="24"/>
                <w:kern w:val="0"/>
                <w:sz w:val="28"/>
                <w:szCs w:val="28"/>
                <w:lang w:eastAsia="zh-CN"/>
              </w:rPr>
            </w:pPr>
            <w:r>
              <w:rPr>
                <w:rFonts w:hint="eastAsia" w:ascii="华文仿宋" w:hAnsi="华文仿宋" w:eastAsia="华文仿宋" w:cs="华文仿宋"/>
                <w:b w:val="0"/>
                <w:bCs w:val="0"/>
                <w:color w:val="000000"/>
                <w:spacing w:val="24"/>
                <w:kern w:val="0"/>
                <w:sz w:val="28"/>
                <w:szCs w:val="28"/>
                <w:lang w:eastAsia="zh-CN"/>
              </w:rPr>
              <w:t>二、</w:t>
            </w:r>
            <w:r>
              <w:rPr>
                <w:rFonts w:hint="eastAsia" w:ascii="华文仿宋" w:hAnsi="华文仿宋" w:eastAsia="华文仿宋" w:cs="华文仿宋"/>
                <w:b w:val="0"/>
                <w:bCs w:val="0"/>
                <w:color w:val="000000"/>
                <w:spacing w:val="24"/>
                <w:kern w:val="0"/>
                <w:sz w:val="28"/>
                <w:szCs w:val="28"/>
              </w:rPr>
              <w:t>评审标准</w:t>
            </w:r>
            <w:r>
              <w:rPr>
                <w:rFonts w:hint="eastAsia" w:ascii="华文仿宋" w:hAnsi="华文仿宋" w:eastAsia="华文仿宋" w:cs="华文仿宋"/>
                <w:b w:val="0"/>
                <w:bCs w:val="0"/>
                <w:color w:val="000000"/>
                <w:spacing w:val="24"/>
                <w:kern w:val="0"/>
                <w:sz w:val="28"/>
                <w:szCs w:val="28"/>
                <w:lang w:eastAsia="zh-CN"/>
              </w:rPr>
              <w:t>：</w:t>
            </w:r>
          </w:p>
          <w:p w14:paraId="573796D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1.公共场合安全保障方案包含</w:t>
            </w:r>
            <w:r>
              <w:rPr>
                <w:rFonts w:hint="eastAsia" w:ascii="华文仿宋" w:hAnsi="华文仿宋" w:eastAsia="华文仿宋" w:cs="华文仿宋"/>
                <w:b w:val="0"/>
                <w:bCs w:val="0"/>
                <w:color w:val="000000"/>
                <w:spacing w:val="24"/>
                <w:kern w:val="0"/>
                <w:sz w:val="28"/>
                <w:szCs w:val="28"/>
                <w:lang w:eastAsia="zh-CN"/>
              </w:rPr>
              <w:t>：</w:t>
            </w:r>
            <w:r>
              <w:rPr>
                <w:rFonts w:hint="eastAsia" w:ascii="华文仿宋" w:hAnsi="华文仿宋" w:eastAsia="华文仿宋" w:cs="华文仿宋"/>
                <w:b w:val="0"/>
                <w:bCs w:val="0"/>
                <w:color w:val="000000"/>
                <w:spacing w:val="24"/>
                <w:kern w:val="0"/>
                <w:sz w:val="28"/>
                <w:szCs w:val="28"/>
                <w:lang w:val="en-US" w:eastAsia="zh-CN"/>
              </w:rPr>
              <w:t>1.</w:t>
            </w:r>
            <w:r>
              <w:rPr>
                <w:rFonts w:hint="eastAsia" w:ascii="华文仿宋" w:hAnsi="华文仿宋" w:eastAsia="华文仿宋" w:cs="华文仿宋"/>
                <w:b w:val="0"/>
                <w:bCs w:val="0"/>
                <w:color w:val="000000"/>
                <w:spacing w:val="24"/>
                <w:kern w:val="0"/>
                <w:sz w:val="28"/>
                <w:szCs w:val="28"/>
              </w:rPr>
              <w:t>现场安全管控要求</w:t>
            </w:r>
            <w:r>
              <w:rPr>
                <w:rFonts w:hint="eastAsia" w:ascii="华文仿宋" w:hAnsi="华文仿宋" w:eastAsia="华文仿宋" w:cs="华文仿宋"/>
                <w:b w:val="0"/>
                <w:bCs w:val="0"/>
                <w:color w:val="000000"/>
                <w:spacing w:val="24"/>
                <w:kern w:val="0"/>
                <w:sz w:val="28"/>
                <w:szCs w:val="28"/>
                <w:lang w:val="en-US" w:eastAsia="zh-CN"/>
              </w:rPr>
              <w:t>;2.</w:t>
            </w:r>
            <w:r>
              <w:rPr>
                <w:rFonts w:hint="eastAsia" w:ascii="华文仿宋" w:hAnsi="华文仿宋" w:eastAsia="华文仿宋" w:cs="华文仿宋"/>
                <w:b w:val="0"/>
                <w:bCs w:val="0"/>
                <w:color w:val="000000"/>
                <w:spacing w:val="24"/>
                <w:kern w:val="0"/>
                <w:sz w:val="28"/>
                <w:szCs w:val="28"/>
              </w:rPr>
              <w:t>作业防护措施</w:t>
            </w:r>
            <w:r>
              <w:rPr>
                <w:rFonts w:hint="eastAsia" w:ascii="华文仿宋" w:hAnsi="华文仿宋" w:eastAsia="华文仿宋" w:cs="华文仿宋"/>
                <w:b w:val="0"/>
                <w:bCs w:val="0"/>
                <w:color w:val="000000"/>
                <w:spacing w:val="24"/>
                <w:kern w:val="0"/>
                <w:sz w:val="28"/>
                <w:szCs w:val="28"/>
                <w:lang w:val="en-US" w:eastAsia="zh-CN"/>
              </w:rPr>
              <w:t>;3.</w:t>
            </w:r>
            <w:r>
              <w:rPr>
                <w:rFonts w:hint="eastAsia" w:ascii="华文仿宋" w:hAnsi="华文仿宋" w:eastAsia="华文仿宋" w:cs="华文仿宋"/>
                <w:b w:val="0"/>
                <w:bCs w:val="0"/>
                <w:color w:val="000000"/>
                <w:spacing w:val="24"/>
                <w:kern w:val="0"/>
                <w:sz w:val="28"/>
                <w:szCs w:val="28"/>
              </w:rPr>
              <w:t>现场警示管理</w:t>
            </w:r>
            <w:r>
              <w:rPr>
                <w:rFonts w:hint="eastAsia" w:ascii="华文仿宋" w:hAnsi="华文仿宋" w:eastAsia="华文仿宋" w:cs="华文仿宋"/>
                <w:b w:val="0"/>
                <w:bCs w:val="0"/>
                <w:color w:val="000000"/>
                <w:spacing w:val="24"/>
                <w:kern w:val="0"/>
                <w:sz w:val="28"/>
                <w:szCs w:val="28"/>
                <w:lang w:val="en-US" w:eastAsia="zh-CN"/>
              </w:rPr>
              <w:t>;4.</w:t>
            </w:r>
            <w:r>
              <w:rPr>
                <w:rFonts w:hint="eastAsia" w:ascii="华文仿宋" w:hAnsi="华文仿宋" w:eastAsia="华文仿宋" w:cs="华文仿宋"/>
                <w:b w:val="0"/>
                <w:bCs w:val="0"/>
                <w:color w:val="000000"/>
                <w:spacing w:val="24"/>
                <w:kern w:val="0"/>
                <w:sz w:val="28"/>
                <w:szCs w:val="28"/>
              </w:rPr>
              <w:t>人员安全防护，</w:t>
            </w:r>
            <w:r>
              <w:rPr>
                <w:rFonts w:hint="eastAsia" w:ascii="华文仿宋" w:hAnsi="华文仿宋" w:eastAsia="华文仿宋" w:cs="华文仿宋"/>
                <w:b w:val="0"/>
                <w:bCs w:val="0"/>
                <w:color w:val="000000"/>
                <w:spacing w:val="24"/>
                <w:kern w:val="0"/>
                <w:sz w:val="28"/>
                <w:szCs w:val="28"/>
                <w:lang w:eastAsia="zh-CN"/>
              </w:rPr>
              <w:t>每提供一条得</w:t>
            </w:r>
            <w:r>
              <w:rPr>
                <w:rFonts w:hint="eastAsia" w:ascii="华文仿宋" w:hAnsi="华文仿宋" w:eastAsia="华文仿宋" w:cs="华文仿宋"/>
                <w:b w:val="0"/>
                <w:bCs w:val="0"/>
                <w:color w:val="000000"/>
                <w:spacing w:val="24"/>
                <w:kern w:val="0"/>
                <w:sz w:val="28"/>
                <w:szCs w:val="28"/>
                <w:lang w:val="en-US" w:eastAsia="zh-CN"/>
              </w:rPr>
              <w:t>1.5分，</w:t>
            </w:r>
            <w:r>
              <w:rPr>
                <w:rFonts w:hint="eastAsia" w:ascii="华文仿宋" w:hAnsi="华文仿宋" w:eastAsia="华文仿宋" w:cs="华文仿宋"/>
                <w:b w:val="0"/>
                <w:bCs w:val="0"/>
                <w:color w:val="000000"/>
                <w:spacing w:val="24"/>
                <w:kern w:val="0"/>
                <w:sz w:val="28"/>
                <w:szCs w:val="28"/>
                <w:lang w:eastAsia="zh-CN"/>
              </w:rPr>
              <w:t>满分</w:t>
            </w:r>
            <w:r>
              <w:rPr>
                <w:rFonts w:hint="eastAsia" w:ascii="华文仿宋" w:hAnsi="华文仿宋" w:eastAsia="华文仿宋" w:cs="华文仿宋"/>
                <w:b w:val="0"/>
                <w:bCs w:val="0"/>
                <w:color w:val="000000"/>
                <w:spacing w:val="24"/>
                <w:kern w:val="0"/>
                <w:sz w:val="28"/>
                <w:szCs w:val="28"/>
                <w:lang w:val="en-US" w:eastAsia="zh-CN"/>
              </w:rPr>
              <w:t>6分</w:t>
            </w:r>
            <w:r>
              <w:rPr>
                <w:rFonts w:hint="eastAsia" w:ascii="华文仿宋" w:hAnsi="华文仿宋" w:eastAsia="华文仿宋" w:cs="华文仿宋"/>
                <w:b w:val="0"/>
                <w:bCs w:val="0"/>
                <w:color w:val="000000"/>
                <w:spacing w:val="24"/>
                <w:kern w:val="0"/>
                <w:sz w:val="28"/>
                <w:szCs w:val="28"/>
              </w:rPr>
              <w:t>。</w:t>
            </w:r>
          </w:p>
          <w:p w14:paraId="175A268B">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rPr>
              <w:t>2.预防预警措施方案包含</w:t>
            </w:r>
            <w:r>
              <w:rPr>
                <w:rFonts w:hint="eastAsia" w:ascii="华文仿宋" w:hAnsi="华文仿宋" w:eastAsia="华文仿宋" w:cs="华文仿宋"/>
                <w:b w:val="0"/>
                <w:bCs w:val="0"/>
                <w:color w:val="000000"/>
                <w:spacing w:val="24"/>
                <w:kern w:val="0"/>
                <w:sz w:val="28"/>
                <w:szCs w:val="28"/>
                <w:lang w:eastAsia="zh-CN"/>
              </w:rPr>
              <w:t>：</w:t>
            </w:r>
            <w:r>
              <w:rPr>
                <w:rFonts w:hint="eastAsia" w:ascii="华文仿宋" w:hAnsi="华文仿宋" w:eastAsia="华文仿宋" w:cs="华文仿宋"/>
                <w:b w:val="0"/>
                <w:bCs w:val="0"/>
                <w:color w:val="000000"/>
                <w:spacing w:val="24"/>
                <w:kern w:val="0"/>
                <w:sz w:val="28"/>
                <w:szCs w:val="28"/>
                <w:lang w:val="en-US" w:eastAsia="zh-CN"/>
              </w:rPr>
              <w:t>1.</w:t>
            </w:r>
            <w:r>
              <w:rPr>
                <w:rFonts w:hint="eastAsia" w:ascii="华文仿宋" w:hAnsi="华文仿宋" w:eastAsia="华文仿宋" w:cs="华文仿宋"/>
                <w:b w:val="0"/>
                <w:bCs w:val="0"/>
                <w:color w:val="000000"/>
                <w:spacing w:val="24"/>
                <w:kern w:val="0"/>
                <w:sz w:val="28"/>
                <w:szCs w:val="28"/>
              </w:rPr>
              <w:t>风险识别清单</w:t>
            </w:r>
            <w:r>
              <w:rPr>
                <w:rFonts w:hint="eastAsia" w:ascii="华文仿宋" w:hAnsi="华文仿宋" w:eastAsia="华文仿宋" w:cs="华文仿宋"/>
                <w:b w:val="0"/>
                <w:bCs w:val="0"/>
                <w:color w:val="000000"/>
                <w:spacing w:val="24"/>
                <w:kern w:val="0"/>
                <w:sz w:val="28"/>
                <w:szCs w:val="28"/>
                <w:lang w:val="en-US" w:eastAsia="zh-CN"/>
              </w:rPr>
              <w:t>;2.</w:t>
            </w:r>
            <w:r>
              <w:rPr>
                <w:rFonts w:hint="eastAsia" w:ascii="华文仿宋" w:hAnsi="华文仿宋" w:eastAsia="华文仿宋" w:cs="华文仿宋"/>
                <w:b w:val="0"/>
                <w:bCs w:val="0"/>
                <w:color w:val="000000"/>
                <w:spacing w:val="24"/>
                <w:kern w:val="0"/>
                <w:sz w:val="28"/>
                <w:szCs w:val="28"/>
              </w:rPr>
              <w:t>日常隐患排查机制</w:t>
            </w:r>
            <w:r>
              <w:rPr>
                <w:rFonts w:hint="eastAsia" w:ascii="华文仿宋" w:hAnsi="华文仿宋" w:eastAsia="华文仿宋" w:cs="华文仿宋"/>
                <w:b w:val="0"/>
                <w:bCs w:val="0"/>
                <w:color w:val="000000"/>
                <w:spacing w:val="24"/>
                <w:kern w:val="0"/>
                <w:sz w:val="28"/>
                <w:szCs w:val="28"/>
                <w:lang w:val="en-US" w:eastAsia="zh-CN"/>
              </w:rPr>
              <w:t>;3.</w:t>
            </w:r>
            <w:r>
              <w:rPr>
                <w:rFonts w:hint="eastAsia" w:ascii="华文仿宋" w:hAnsi="华文仿宋" w:eastAsia="华文仿宋" w:cs="华文仿宋"/>
                <w:b w:val="0"/>
                <w:bCs w:val="0"/>
                <w:color w:val="000000"/>
                <w:spacing w:val="24"/>
                <w:kern w:val="0"/>
                <w:sz w:val="28"/>
                <w:szCs w:val="28"/>
              </w:rPr>
              <w:t>预警触发条件</w:t>
            </w:r>
            <w:r>
              <w:rPr>
                <w:rFonts w:hint="eastAsia" w:ascii="华文仿宋" w:hAnsi="华文仿宋" w:eastAsia="华文仿宋" w:cs="华文仿宋"/>
                <w:b w:val="0"/>
                <w:bCs w:val="0"/>
                <w:color w:val="000000"/>
                <w:spacing w:val="24"/>
                <w:kern w:val="0"/>
                <w:sz w:val="28"/>
                <w:szCs w:val="28"/>
                <w:lang w:val="en-US" w:eastAsia="zh-CN"/>
              </w:rPr>
              <w:t>;4.</w:t>
            </w:r>
            <w:r>
              <w:rPr>
                <w:rFonts w:hint="eastAsia" w:ascii="华文仿宋" w:hAnsi="华文仿宋" w:eastAsia="华文仿宋" w:cs="华文仿宋"/>
                <w:b w:val="0"/>
                <w:bCs w:val="0"/>
                <w:color w:val="000000"/>
                <w:spacing w:val="24"/>
                <w:kern w:val="0"/>
                <w:sz w:val="28"/>
                <w:szCs w:val="28"/>
                <w:lang w:eastAsia="zh-CN"/>
              </w:rPr>
              <w:t>预警信息传递上报机智</w:t>
            </w:r>
            <w:r>
              <w:rPr>
                <w:rFonts w:hint="eastAsia" w:ascii="华文仿宋" w:hAnsi="华文仿宋" w:eastAsia="华文仿宋" w:cs="华文仿宋"/>
                <w:b w:val="0"/>
                <w:bCs w:val="0"/>
                <w:color w:val="000000"/>
                <w:spacing w:val="24"/>
                <w:kern w:val="0"/>
                <w:sz w:val="28"/>
                <w:szCs w:val="28"/>
              </w:rPr>
              <w:t>，</w:t>
            </w:r>
            <w:r>
              <w:rPr>
                <w:rFonts w:hint="eastAsia" w:ascii="华文仿宋" w:hAnsi="华文仿宋" w:eastAsia="华文仿宋" w:cs="华文仿宋"/>
                <w:b w:val="0"/>
                <w:bCs w:val="0"/>
                <w:color w:val="000000"/>
                <w:spacing w:val="24"/>
                <w:kern w:val="0"/>
                <w:sz w:val="28"/>
                <w:szCs w:val="28"/>
                <w:lang w:eastAsia="zh-CN"/>
              </w:rPr>
              <w:t>每提供一条得</w:t>
            </w:r>
            <w:r>
              <w:rPr>
                <w:rFonts w:hint="eastAsia" w:ascii="华文仿宋" w:hAnsi="华文仿宋" w:eastAsia="华文仿宋" w:cs="华文仿宋"/>
                <w:b w:val="0"/>
                <w:bCs w:val="0"/>
                <w:color w:val="000000"/>
                <w:spacing w:val="24"/>
                <w:kern w:val="0"/>
                <w:sz w:val="28"/>
                <w:szCs w:val="28"/>
                <w:lang w:val="en-US" w:eastAsia="zh-CN"/>
              </w:rPr>
              <w:t>1.5分，</w:t>
            </w:r>
            <w:r>
              <w:rPr>
                <w:rFonts w:hint="eastAsia" w:ascii="华文仿宋" w:hAnsi="华文仿宋" w:eastAsia="华文仿宋" w:cs="华文仿宋"/>
                <w:b w:val="0"/>
                <w:bCs w:val="0"/>
                <w:color w:val="000000"/>
                <w:spacing w:val="24"/>
                <w:kern w:val="0"/>
                <w:sz w:val="28"/>
                <w:szCs w:val="28"/>
                <w:lang w:eastAsia="zh-CN"/>
              </w:rPr>
              <w:t>满分</w:t>
            </w:r>
            <w:r>
              <w:rPr>
                <w:rFonts w:hint="eastAsia" w:ascii="华文仿宋" w:hAnsi="华文仿宋" w:eastAsia="华文仿宋" w:cs="华文仿宋"/>
                <w:b w:val="0"/>
                <w:bCs w:val="0"/>
                <w:color w:val="000000"/>
                <w:spacing w:val="24"/>
                <w:kern w:val="0"/>
                <w:sz w:val="28"/>
                <w:szCs w:val="28"/>
                <w:lang w:val="en-US" w:eastAsia="zh-CN"/>
              </w:rPr>
              <w:t>6分</w:t>
            </w:r>
            <w:r>
              <w:rPr>
                <w:rFonts w:hint="eastAsia" w:ascii="华文仿宋" w:hAnsi="华文仿宋" w:eastAsia="华文仿宋" w:cs="华文仿宋"/>
                <w:b w:val="0"/>
                <w:bCs w:val="0"/>
                <w:color w:val="000000"/>
                <w:spacing w:val="24"/>
                <w:kern w:val="0"/>
                <w:sz w:val="28"/>
                <w:szCs w:val="28"/>
              </w:rPr>
              <w:t xml:space="preserve">。 </w:t>
            </w:r>
          </w:p>
          <w:p w14:paraId="7968FC9B">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2"/>
                <w:sz w:val="28"/>
                <w:szCs w:val="28"/>
              </w:rPr>
            </w:pPr>
            <w:r>
              <w:rPr>
                <w:rFonts w:hint="eastAsia" w:ascii="华文仿宋" w:hAnsi="华文仿宋" w:eastAsia="华文仿宋" w:cs="华文仿宋"/>
                <w:b w:val="0"/>
                <w:bCs w:val="0"/>
                <w:color w:val="000000"/>
                <w:spacing w:val="24"/>
                <w:kern w:val="0"/>
                <w:sz w:val="28"/>
                <w:szCs w:val="28"/>
              </w:rPr>
              <w:t>3.突发应急响应及善后处理方案包含</w:t>
            </w:r>
            <w:r>
              <w:rPr>
                <w:rFonts w:hint="eastAsia" w:ascii="华文仿宋" w:hAnsi="华文仿宋" w:eastAsia="华文仿宋" w:cs="华文仿宋"/>
                <w:b w:val="0"/>
                <w:bCs w:val="0"/>
                <w:color w:val="000000"/>
                <w:spacing w:val="24"/>
                <w:kern w:val="0"/>
                <w:sz w:val="28"/>
                <w:szCs w:val="28"/>
                <w:lang w:eastAsia="zh-CN"/>
              </w:rPr>
              <w:t>：</w:t>
            </w:r>
            <w:r>
              <w:rPr>
                <w:rFonts w:hint="eastAsia" w:ascii="华文仿宋" w:hAnsi="华文仿宋" w:eastAsia="华文仿宋" w:cs="华文仿宋"/>
                <w:b w:val="0"/>
                <w:bCs w:val="0"/>
                <w:color w:val="000000"/>
                <w:spacing w:val="24"/>
                <w:kern w:val="0"/>
                <w:sz w:val="28"/>
                <w:szCs w:val="28"/>
                <w:lang w:val="en-US" w:eastAsia="zh-CN"/>
              </w:rPr>
              <w:t>1.</w:t>
            </w:r>
            <w:r>
              <w:rPr>
                <w:rFonts w:hint="eastAsia" w:ascii="华文仿宋" w:hAnsi="华文仿宋" w:eastAsia="华文仿宋" w:cs="华文仿宋"/>
                <w:b w:val="0"/>
                <w:bCs w:val="0"/>
                <w:color w:val="000000"/>
                <w:spacing w:val="24"/>
                <w:kern w:val="0"/>
                <w:sz w:val="28"/>
                <w:szCs w:val="28"/>
              </w:rPr>
              <w:t>应急组织机构</w:t>
            </w:r>
            <w:r>
              <w:rPr>
                <w:rFonts w:hint="eastAsia" w:ascii="华文仿宋" w:hAnsi="华文仿宋" w:eastAsia="华文仿宋" w:cs="华文仿宋"/>
                <w:b w:val="0"/>
                <w:bCs w:val="0"/>
                <w:color w:val="000000"/>
                <w:spacing w:val="24"/>
                <w:kern w:val="0"/>
                <w:sz w:val="28"/>
                <w:szCs w:val="28"/>
                <w:lang w:val="en-US" w:eastAsia="zh-CN"/>
              </w:rPr>
              <w:t>;2.</w:t>
            </w:r>
            <w:r>
              <w:rPr>
                <w:rFonts w:hint="eastAsia" w:ascii="华文仿宋" w:hAnsi="华文仿宋" w:eastAsia="华文仿宋" w:cs="华文仿宋"/>
                <w:b w:val="0"/>
                <w:bCs w:val="0"/>
                <w:color w:val="000000"/>
                <w:spacing w:val="24"/>
                <w:kern w:val="0"/>
                <w:sz w:val="28"/>
                <w:szCs w:val="28"/>
              </w:rPr>
              <w:t>接警处置流程</w:t>
            </w:r>
            <w:r>
              <w:rPr>
                <w:rFonts w:hint="eastAsia" w:ascii="华文仿宋" w:hAnsi="华文仿宋" w:eastAsia="华文仿宋" w:cs="华文仿宋"/>
                <w:b w:val="0"/>
                <w:bCs w:val="0"/>
                <w:color w:val="000000"/>
                <w:spacing w:val="24"/>
                <w:kern w:val="0"/>
                <w:sz w:val="28"/>
                <w:szCs w:val="28"/>
                <w:lang w:val="en-US" w:eastAsia="zh-CN"/>
              </w:rPr>
              <w:t>;3.</w:t>
            </w:r>
            <w:r>
              <w:rPr>
                <w:rFonts w:hint="eastAsia" w:ascii="华文仿宋" w:hAnsi="华文仿宋" w:eastAsia="华文仿宋" w:cs="华文仿宋"/>
                <w:b w:val="0"/>
                <w:bCs w:val="0"/>
                <w:color w:val="000000"/>
                <w:spacing w:val="24"/>
                <w:kern w:val="0"/>
                <w:sz w:val="28"/>
                <w:szCs w:val="28"/>
              </w:rPr>
              <w:t>人员救援方案</w:t>
            </w:r>
            <w:r>
              <w:rPr>
                <w:rFonts w:hint="eastAsia" w:ascii="华文仿宋" w:hAnsi="华文仿宋" w:eastAsia="华文仿宋" w:cs="华文仿宋"/>
                <w:b w:val="0"/>
                <w:bCs w:val="0"/>
                <w:color w:val="000000"/>
                <w:spacing w:val="24"/>
                <w:kern w:val="0"/>
                <w:sz w:val="28"/>
                <w:szCs w:val="28"/>
                <w:lang w:val="en-US" w:eastAsia="zh-CN"/>
              </w:rPr>
              <w:t>;4.</w:t>
            </w:r>
            <w:r>
              <w:rPr>
                <w:rFonts w:hint="eastAsia" w:ascii="华文仿宋" w:hAnsi="华文仿宋" w:eastAsia="华文仿宋" w:cs="华文仿宋"/>
                <w:b w:val="0"/>
                <w:bCs w:val="0"/>
                <w:color w:val="000000"/>
                <w:spacing w:val="24"/>
                <w:kern w:val="0"/>
                <w:sz w:val="28"/>
                <w:szCs w:val="28"/>
              </w:rPr>
              <w:t>事后复盘与善后处置机制，</w:t>
            </w:r>
            <w:r>
              <w:rPr>
                <w:rFonts w:hint="eastAsia" w:ascii="华文仿宋" w:hAnsi="华文仿宋" w:eastAsia="华文仿宋" w:cs="华文仿宋"/>
                <w:b w:val="0"/>
                <w:bCs w:val="0"/>
                <w:color w:val="000000"/>
                <w:spacing w:val="24"/>
                <w:kern w:val="0"/>
                <w:sz w:val="28"/>
                <w:szCs w:val="28"/>
                <w:lang w:eastAsia="zh-CN"/>
              </w:rPr>
              <w:t>每提供一条得</w:t>
            </w:r>
            <w:r>
              <w:rPr>
                <w:rFonts w:hint="eastAsia" w:ascii="华文仿宋" w:hAnsi="华文仿宋" w:eastAsia="华文仿宋" w:cs="华文仿宋"/>
                <w:b w:val="0"/>
                <w:bCs w:val="0"/>
                <w:color w:val="000000"/>
                <w:spacing w:val="24"/>
                <w:kern w:val="0"/>
                <w:sz w:val="28"/>
                <w:szCs w:val="28"/>
                <w:lang w:val="en-US" w:eastAsia="zh-CN"/>
              </w:rPr>
              <w:t>1.5分，</w:t>
            </w:r>
            <w:r>
              <w:rPr>
                <w:rFonts w:hint="eastAsia" w:ascii="华文仿宋" w:hAnsi="华文仿宋" w:eastAsia="华文仿宋" w:cs="华文仿宋"/>
                <w:b w:val="0"/>
                <w:bCs w:val="0"/>
                <w:color w:val="000000"/>
                <w:spacing w:val="24"/>
                <w:kern w:val="0"/>
                <w:sz w:val="28"/>
                <w:szCs w:val="28"/>
                <w:lang w:eastAsia="zh-CN"/>
              </w:rPr>
              <w:t>满分</w:t>
            </w:r>
            <w:r>
              <w:rPr>
                <w:rFonts w:hint="eastAsia" w:ascii="华文仿宋" w:hAnsi="华文仿宋" w:eastAsia="华文仿宋" w:cs="华文仿宋"/>
                <w:b w:val="0"/>
                <w:bCs w:val="0"/>
                <w:color w:val="000000"/>
                <w:spacing w:val="24"/>
                <w:kern w:val="0"/>
                <w:sz w:val="28"/>
                <w:szCs w:val="28"/>
                <w:lang w:val="en-US" w:eastAsia="zh-CN"/>
              </w:rPr>
              <w:t>6分</w:t>
            </w:r>
            <w:r>
              <w:rPr>
                <w:rFonts w:hint="eastAsia" w:ascii="华文仿宋" w:hAnsi="华文仿宋" w:eastAsia="华文仿宋" w:cs="华文仿宋"/>
                <w:b w:val="0"/>
                <w:bCs w:val="0"/>
                <w:color w:val="000000"/>
                <w:spacing w:val="24"/>
                <w:kern w:val="0"/>
                <w:sz w:val="28"/>
                <w:szCs w:val="28"/>
              </w:rPr>
              <w:t>。</w:t>
            </w:r>
          </w:p>
        </w:tc>
        <w:tc>
          <w:tcPr>
            <w:tcW w:w="580" w:type="pct"/>
            <w:noWrap w:val="0"/>
            <w:vAlign w:val="center"/>
          </w:tcPr>
          <w:p w14:paraId="0E146880">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z w:val="28"/>
                <w:szCs w:val="28"/>
                <w:lang w:eastAsia="zh-CN"/>
              </w:rPr>
              <w:t>客</w:t>
            </w:r>
          </w:p>
          <w:p w14:paraId="7576C085">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z w:val="28"/>
                <w:szCs w:val="28"/>
                <w:lang w:eastAsia="zh-CN"/>
              </w:rPr>
              <w:t>观</w:t>
            </w:r>
          </w:p>
          <w:p w14:paraId="310540A4">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z w:val="28"/>
                <w:szCs w:val="28"/>
                <w:lang w:eastAsia="zh-CN"/>
              </w:rPr>
              <w:t>分</w:t>
            </w:r>
          </w:p>
          <w:p w14:paraId="0AB7D93F">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rPr>
            </w:pPr>
          </w:p>
        </w:tc>
      </w:tr>
      <w:tr w14:paraId="3B139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1" w:hRule="atLeast"/>
          <w:jc w:val="center"/>
        </w:trPr>
        <w:tc>
          <w:tcPr>
            <w:tcW w:w="540" w:type="pct"/>
            <w:noWrap w:val="0"/>
            <w:vAlign w:val="center"/>
          </w:tcPr>
          <w:p w14:paraId="3E1EA940">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z w:val="28"/>
                <w:szCs w:val="28"/>
                <w:lang w:eastAsia="zh-CN"/>
              </w:rPr>
              <w:t>质量保证承诺</w:t>
            </w:r>
          </w:p>
        </w:tc>
        <w:tc>
          <w:tcPr>
            <w:tcW w:w="571" w:type="pct"/>
            <w:noWrap w:val="0"/>
            <w:vAlign w:val="center"/>
          </w:tcPr>
          <w:p w14:paraId="554E6E9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pacing w:val="24"/>
                <w:kern w:val="0"/>
                <w:sz w:val="28"/>
                <w:szCs w:val="28"/>
                <w:lang w:val="en-US" w:eastAsia="zh-CN"/>
              </w:rPr>
            </w:pPr>
            <w:r>
              <w:rPr>
                <w:rFonts w:hint="eastAsia" w:ascii="华文仿宋" w:hAnsi="华文仿宋" w:eastAsia="华文仿宋" w:cs="华文仿宋"/>
                <w:b w:val="0"/>
                <w:bCs w:val="0"/>
                <w:color w:val="000000"/>
                <w:spacing w:val="24"/>
                <w:kern w:val="0"/>
                <w:sz w:val="28"/>
                <w:szCs w:val="28"/>
                <w:lang w:val="en-US" w:eastAsia="zh-CN"/>
              </w:rPr>
              <w:t>2分</w:t>
            </w:r>
          </w:p>
        </w:tc>
        <w:tc>
          <w:tcPr>
            <w:tcW w:w="3307" w:type="pct"/>
            <w:noWrap w:val="0"/>
            <w:vAlign w:val="center"/>
          </w:tcPr>
          <w:p w14:paraId="000EDFDA">
            <w:pPr>
              <w:keepNext w:val="0"/>
              <w:keepLines w:val="0"/>
              <w:pageBreakBefore w:val="0"/>
              <w:widowControl w:val="0"/>
              <w:kinsoku/>
              <w:wordWrap/>
              <w:overflowPunct/>
              <w:topLinePunct w:val="0"/>
              <w:autoSpaceDE/>
              <w:autoSpaceDN/>
              <w:bidi w:val="0"/>
              <w:adjustRightInd/>
              <w:snapToGrid/>
              <w:spacing w:line="400" w:lineRule="exact"/>
              <w:ind w:firstLine="662" w:firstLineChars="200"/>
              <w:jc w:val="both"/>
              <w:textAlignment w:val="auto"/>
              <w:rPr>
                <w:rFonts w:hint="eastAsia" w:ascii="华文仿宋" w:hAnsi="华文仿宋" w:eastAsia="华文仿宋" w:cs="华文仿宋"/>
                <w:b w:val="0"/>
                <w:bCs w:val="0"/>
                <w:color w:val="000000"/>
                <w:spacing w:val="24"/>
                <w:kern w:val="0"/>
                <w:sz w:val="28"/>
                <w:szCs w:val="28"/>
                <w:lang w:val="en-US" w:eastAsia="zh-CN"/>
              </w:rPr>
            </w:pPr>
            <w:r>
              <w:rPr>
                <w:rFonts w:hint="eastAsia" w:ascii="华文仿宋" w:hAnsi="华文仿宋" w:eastAsia="华文仿宋" w:cs="华文仿宋"/>
                <w:b w:val="0"/>
                <w:bCs w:val="0"/>
                <w:color w:val="000000"/>
                <w:spacing w:val="24"/>
                <w:kern w:val="0"/>
                <w:sz w:val="28"/>
                <w:szCs w:val="28"/>
                <w:lang w:val="en-US" w:eastAsia="zh-CN"/>
              </w:rPr>
              <w:t>电梯发生故障需要更换配件时，供应商应根据电梯型号更换电梯原厂配件并提供出厂合格证，满足得2分。</w:t>
            </w:r>
          </w:p>
        </w:tc>
        <w:tc>
          <w:tcPr>
            <w:tcW w:w="580" w:type="pct"/>
            <w:noWrap w:val="0"/>
            <w:vAlign w:val="center"/>
          </w:tcPr>
          <w:p w14:paraId="07DA81CA">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r>
              <w:rPr>
                <w:rFonts w:hint="eastAsia" w:ascii="华文仿宋" w:hAnsi="华文仿宋" w:eastAsia="华文仿宋" w:cs="华文仿宋"/>
                <w:b w:val="0"/>
                <w:bCs w:val="0"/>
                <w:color w:val="000000"/>
                <w:sz w:val="28"/>
                <w:szCs w:val="28"/>
                <w:lang w:val="en-US" w:eastAsia="zh-CN"/>
              </w:rPr>
              <w:t>客</w:t>
            </w:r>
          </w:p>
          <w:p w14:paraId="2F1F31B6">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r>
              <w:rPr>
                <w:rFonts w:hint="eastAsia" w:ascii="华文仿宋" w:hAnsi="华文仿宋" w:eastAsia="华文仿宋" w:cs="华文仿宋"/>
                <w:b w:val="0"/>
                <w:bCs w:val="0"/>
                <w:color w:val="000000"/>
                <w:sz w:val="28"/>
                <w:szCs w:val="28"/>
                <w:lang w:val="en-US" w:eastAsia="zh-CN"/>
              </w:rPr>
              <w:t>观</w:t>
            </w:r>
          </w:p>
          <w:p w14:paraId="6BF0BF8F">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color w:val="000000"/>
                <w:sz w:val="28"/>
                <w:szCs w:val="28"/>
                <w:lang w:val="en-US" w:eastAsia="zh-CN"/>
              </w:rPr>
              <w:t>分</w:t>
            </w:r>
          </w:p>
        </w:tc>
      </w:tr>
      <w:tr w14:paraId="16B0E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4" w:hRule="atLeast"/>
          <w:jc w:val="center"/>
        </w:trPr>
        <w:tc>
          <w:tcPr>
            <w:tcW w:w="540" w:type="pct"/>
            <w:noWrap w:val="0"/>
            <w:vAlign w:val="center"/>
          </w:tcPr>
          <w:p w14:paraId="0A1C7E66">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z w:val="28"/>
                <w:szCs w:val="28"/>
                <w:lang w:eastAsia="zh-CN"/>
              </w:rPr>
              <w:t>培训方案</w:t>
            </w:r>
          </w:p>
        </w:tc>
        <w:tc>
          <w:tcPr>
            <w:tcW w:w="571" w:type="pct"/>
            <w:noWrap w:val="0"/>
            <w:vAlign w:val="center"/>
          </w:tcPr>
          <w:p w14:paraId="7C4D5A21">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val="en-US" w:eastAsia="zh-CN"/>
              </w:rPr>
            </w:pPr>
            <w:r>
              <w:rPr>
                <w:rFonts w:hint="eastAsia" w:ascii="华文仿宋" w:hAnsi="华文仿宋" w:eastAsia="华文仿宋" w:cs="华文仿宋"/>
                <w:b w:val="0"/>
                <w:bCs w:val="0"/>
                <w:color w:val="000000"/>
                <w:sz w:val="28"/>
                <w:szCs w:val="28"/>
                <w:lang w:val="en-US" w:eastAsia="zh-CN"/>
              </w:rPr>
              <w:t>8分</w:t>
            </w:r>
          </w:p>
        </w:tc>
        <w:tc>
          <w:tcPr>
            <w:tcW w:w="3307" w:type="pct"/>
            <w:noWrap w:val="0"/>
            <w:vAlign w:val="center"/>
          </w:tcPr>
          <w:p w14:paraId="2B828734">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4"/>
                <w:kern w:val="0"/>
                <w:sz w:val="28"/>
                <w:szCs w:val="28"/>
              </w:rPr>
            </w:pPr>
            <w:r>
              <w:rPr>
                <w:rFonts w:hint="eastAsia" w:ascii="华文仿宋" w:hAnsi="华文仿宋" w:eastAsia="华文仿宋" w:cs="华文仿宋"/>
                <w:b w:val="0"/>
                <w:bCs w:val="0"/>
                <w:color w:val="000000"/>
                <w:spacing w:val="24"/>
                <w:kern w:val="0"/>
                <w:sz w:val="28"/>
                <w:szCs w:val="28"/>
                <w:lang w:eastAsia="zh-CN"/>
              </w:rPr>
              <w:t>一、</w:t>
            </w:r>
            <w:r>
              <w:rPr>
                <w:rFonts w:hint="eastAsia" w:ascii="华文仿宋" w:hAnsi="华文仿宋" w:eastAsia="华文仿宋" w:cs="华文仿宋"/>
                <w:b w:val="0"/>
                <w:bCs w:val="0"/>
                <w:color w:val="000000"/>
                <w:spacing w:val="24"/>
                <w:kern w:val="0"/>
                <w:sz w:val="28"/>
                <w:szCs w:val="28"/>
              </w:rPr>
              <w:t>培训方案包含</w:t>
            </w:r>
            <w:r>
              <w:rPr>
                <w:rFonts w:hint="eastAsia" w:ascii="华文仿宋" w:hAnsi="华文仿宋" w:eastAsia="华文仿宋" w:cs="华文仿宋"/>
                <w:b w:val="0"/>
                <w:bCs w:val="0"/>
                <w:color w:val="000000"/>
                <w:spacing w:val="24"/>
                <w:kern w:val="0"/>
                <w:sz w:val="28"/>
                <w:szCs w:val="28"/>
                <w:lang w:eastAsia="zh-CN"/>
              </w:rPr>
              <w:t>：</w:t>
            </w:r>
            <w:r>
              <w:rPr>
                <w:rFonts w:hint="eastAsia" w:ascii="华文仿宋" w:hAnsi="华文仿宋" w:eastAsia="华文仿宋" w:cs="华文仿宋"/>
                <w:b w:val="0"/>
                <w:bCs w:val="0"/>
                <w:color w:val="000000"/>
                <w:spacing w:val="24"/>
                <w:kern w:val="0"/>
                <w:sz w:val="28"/>
                <w:szCs w:val="28"/>
                <w:lang w:val="en-US" w:eastAsia="zh-CN"/>
              </w:rPr>
              <w:t>1.</w:t>
            </w:r>
            <w:r>
              <w:rPr>
                <w:rFonts w:hint="eastAsia" w:ascii="华文仿宋" w:hAnsi="华文仿宋" w:eastAsia="华文仿宋" w:cs="华文仿宋"/>
                <w:b w:val="0"/>
                <w:bCs w:val="0"/>
                <w:color w:val="000000"/>
                <w:spacing w:val="24"/>
                <w:kern w:val="0"/>
                <w:sz w:val="28"/>
                <w:szCs w:val="28"/>
              </w:rPr>
              <w:t>培训对象</w:t>
            </w:r>
            <w:r>
              <w:rPr>
                <w:rFonts w:hint="eastAsia" w:ascii="华文仿宋" w:hAnsi="华文仿宋" w:eastAsia="华文仿宋" w:cs="华文仿宋"/>
                <w:b w:val="0"/>
                <w:bCs w:val="0"/>
                <w:color w:val="000000"/>
                <w:spacing w:val="24"/>
                <w:kern w:val="0"/>
                <w:sz w:val="28"/>
                <w:szCs w:val="28"/>
                <w:lang w:val="en-US" w:eastAsia="zh-CN"/>
              </w:rPr>
              <w:t>;2.</w:t>
            </w:r>
            <w:r>
              <w:rPr>
                <w:rFonts w:hint="eastAsia" w:ascii="华文仿宋" w:hAnsi="华文仿宋" w:eastAsia="华文仿宋" w:cs="华文仿宋"/>
                <w:b w:val="0"/>
                <w:bCs w:val="0"/>
                <w:color w:val="000000"/>
                <w:spacing w:val="24"/>
                <w:kern w:val="0"/>
                <w:sz w:val="28"/>
                <w:szCs w:val="28"/>
              </w:rPr>
              <w:t>培训内容</w:t>
            </w:r>
            <w:r>
              <w:rPr>
                <w:rFonts w:hint="eastAsia" w:ascii="华文仿宋" w:hAnsi="华文仿宋" w:eastAsia="华文仿宋" w:cs="华文仿宋"/>
                <w:b w:val="0"/>
                <w:bCs w:val="0"/>
                <w:color w:val="000000"/>
                <w:spacing w:val="24"/>
                <w:kern w:val="0"/>
                <w:sz w:val="28"/>
                <w:szCs w:val="28"/>
                <w:lang w:val="en-US" w:eastAsia="zh-CN"/>
              </w:rPr>
              <w:t>;3.</w:t>
            </w:r>
            <w:r>
              <w:rPr>
                <w:rFonts w:hint="eastAsia" w:ascii="华文仿宋" w:hAnsi="华文仿宋" w:eastAsia="华文仿宋" w:cs="华文仿宋"/>
                <w:b w:val="0"/>
                <w:bCs w:val="0"/>
                <w:color w:val="000000"/>
                <w:spacing w:val="24"/>
                <w:kern w:val="0"/>
                <w:sz w:val="28"/>
                <w:szCs w:val="28"/>
              </w:rPr>
              <w:t>培训频次</w:t>
            </w:r>
            <w:r>
              <w:rPr>
                <w:rFonts w:hint="eastAsia" w:ascii="华文仿宋" w:hAnsi="华文仿宋" w:eastAsia="华文仿宋" w:cs="华文仿宋"/>
                <w:b w:val="0"/>
                <w:bCs w:val="0"/>
                <w:color w:val="000000"/>
                <w:spacing w:val="24"/>
                <w:kern w:val="0"/>
                <w:sz w:val="28"/>
                <w:szCs w:val="28"/>
                <w:lang w:val="en-US" w:eastAsia="zh-CN"/>
              </w:rPr>
              <w:t>;4.</w:t>
            </w:r>
            <w:r>
              <w:rPr>
                <w:rFonts w:hint="eastAsia" w:ascii="华文仿宋" w:hAnsi="华文仿宋" w:eastAsia="华文仿宋" w:cs="华文仿宋"/>
                <w:b w:val="0"/>
                <w:bCs w:val="0"/>
                <w:color w:val="000000"/>
                <w:spacing w:val="24"/>
                <w:kern w:val="0"/>
                <w:sz w:val="28"/>
                <w:szCs w:val="28"/>
              </w:rPr>
              <w:t>培训实施方式，</w:t>
            </w:r>
            <w:r>
              <w:rPr>
                <w:rFonts w:hint="eastAsia" w:ascii="华文仿宋" w:hAnsi="华文仿宋" w:eastAsia="华文仿宋" w:cs="华文仿宋"/>
                <w:b w:val="0"/>
                <w:bCs w:val="0"/>
                <w:color w:val="000000"/>
                <w:spacing w:val="24"/>
                <w:kern w:val="0"/>
                <w:sz w:val="28"/>
                <w:szCs w:val="28"/>
                <w:lang w:eastAsia="zh-CN"/>
              </w:rPr>
              <w:t>每提供一条得</w:t>
            </w:r>
            <w:r>
              <w:rPr>
                <w:rFonts w:hint="eastAsia" w:ascii="华文仿宋" w:hAnsi="华文仿宋" w:eastAsia="华文仿宋" w:cs="华文仿宋"/>
                <w:b w:val="0"/>
                <w:bCs w:val="0"/>
                <w:color w:val="000000"/>
                <w:spacing w:val="24"/>
                <w:kern w:val="0"/>
                <w:sz w:val="28"/>
                <w:szCs w:val="28"/>
                <w:lang w:val="en-US" w:eastAsia="zh-CN"/>
              </w:rPr>
              <w:t>1分，满分4分</w:t>
            </w:r>
            <w:r>
              <w:rPr>
                <w:rFonts w:hint="eastAsia" w:ascii="华文仿宋" w:hAnsi="华文仿宋" w:eastAsia="华文仿宋" w:cs="华文仿宋"/>
                <w:b w:val="0"/>
                <w:bCs w:val="0"/>
                <w:color w:val="000000"/>
                <w:spacing w:val="24"/>
                <w:kern w:val="0"/>
                <w:sz w:val="28"/>
                <w:szCs w:val="28"/>
              </w:rPr>
              <w:t>。</w:t>
            </w:r>
          </w:p>
          <w:p w14:paraId="2A2BCC61">
            <w:pPr>
              <w:keepNext w:val="0"/>
              <w:keepLines w:val="0"/>
              <w:pageBreakBefore w:val="0"/>
              <w:widowControl w:val="0"/>
              <w:kinsoku/>
              <w:wordWrap/>
              <w:overflowPunct/>
              <w:topLinePunct w:val="0"/>
              <w:autoSpaceDE/>
              <w:autoSpaceDN/>
              <w:bidi w:val="0"/>
              <w:adjustRightInd/>
              <w:snapToGrid/>
              <w:spacing w:line="400" w:lineRule="exact"/>
              <w:ind w:firstLine="662" w:firstLineChars="200"/>
              <w:textAlignment w:val="auto"/>
              <w:rPr>
                <w:rFonts w:hint="eastAsia" w:ascii="华文仿宋" w:hAnsi="华文仿宋" w:eastAsia="华文仿宋" w:cs="华文仿宋"/>
                <w:b w:val="0"/>
                <w:bCs w:val="0"/>
                <w:color w:val="000000"/>
                <w:spacing w:val="22"/>
                <w:sz w:val="28"/>
                <w:szCs w:val="28"/>
              </w:rPr>
            </w:pPr>
            <w:r>
              <w:rPr>
                <w:rFonts w:hint="eastAsia" w:ascii="华文仿宋" w:hAnsi="华文仿宋" w:eastAsia="华文仿宋" w:cs="华文仿宋"/>
                <w:b w:val="0"/>
                <w:bCs w:val="0"/>
                <w:color w:val="000000"/>
                <w:spacing w:val="24"/>
                <w:kern w:val="0"/>
                <w:sz w:val="28"/>
                <w:szCs w:val="28"/>
                <w:lang w:eastAsia="zh-CN"/>
              </w:rPr>
              <w:t>二、</w:t>
            </w:r>
            <w:r>
              <w:rPr>
                <w:rFonts w:hint="eastAsia" w:ascii="华文仿宋" w:hAnsi="华文仿宋" w:eastAsia="华文仿宋" w:cs="华文仿宋"/>
                <w:b w:val="0"/>
                <w:bCs w:val="0"/>
                <w:color w:val="000000"/>
                <w:spacing w:val="24"/>
                <w:kern w:val="0"/>
                <w:sz w:val="28"/>
                <w:szCs w:val="28"/>
              </w:rPr>
              <w:t>培训成果考察方案包含</w:t>
            </w:r>
            <w:r>
              <w:rPr>
                <w:rFonts w:hint="eastAsia" w:ascii="华文仿宋" w:hAnsi="华文仿宋" w:eastAsia="华文仿宋" w:cs="华文仿宋"/>
                <w:b w:val="0"/>
                <w:bCs w:val="0"/>
                <w:color w:val="000000"/>
                <w:spacing w:val="24"/>
                <w:kern w:val="0"/>
                <w:sz w:val="28"/>
                <w:szCs w:val="28"/>
                <w:lang w:eastAsia="zh-CN"/>
              </w:rPr>
              <w:t>：</w:t>
            </w:r>
            <w:r>
              <w:rPr>
                <w:rFonts w:hint="eastAsia" w:ascii="华文仿宋" w:hAnsi="华文仿宋" w:eastAsia="华文仿宋" w:cs="华文仿宋"/>
                <w:b w:val="0"/>
                <w:bCs w:val="0"/>
                <w:color w:val="000000"/>
                <w:spacing w:val="24"/>
                <w:kern w:val="0"/>
                <w:sz w:val="28"/>
                <w:szCs w:val="28"/>
                <w:lang w:val="en-US" w:eastAsia="zh-CN"/>
              </w:rPr>
              <w:t>1.</w:t>
            </w:r>
            <w:r>
              <w:rPr>
                <w:rFonts w:hint="eastAsia" w:ascii="华文仿宋" w:hAnsi="华文仿宋" w:eastAsia="华文仿宋" w:cs="华文仿宋"/>
                <w:b w:val="0"/>
                <w:bCs w:val="0"/>
                <w:color w:val="000000"/>
                <w:spacing w:val="24"/>
                <w:kern w:val="0"/>
                <w:sz w:val="28"/>
                <w:szCs w:val="28"/>
              </w:rPr>
              <w:t>成果考核方式</w:t>
            </w:r>
            <w:r>
              <w:rPr>
                <w:rFonts w:hint="eastAsia" w:ascii="华文仿宋" w:hAnsi="华文仿宋" w:eastAsia="华文仿宋" w:cs="华文仿宋"/>
                <w:b w:val="0"/>
                <w:bCs w:val="0"/>
                <w:color w:val="000000"/>
                <w:spacing w:val="24"/>
                <w:kern w:val="0"/>
                <w:sz w:val="28"/>
                <w:szCs w:val="28"/>
                <w:lang w:val="en-US" w:eastAsia="zh-CN"/>
              </w:rPr>
              <w:t>;2.</w:t>
            </w:r>
            <w:r>
              <w:rPr>
                <w:rFonts w:hint="eastAsia" w:ascii="华文仿宋" w:hAnsi="华文仿宋" w:eastAsia="华文仿宋" w:cs="华文仿宋"/>
                <w:b w:val="0"/>
                <w:bCs w:val="0"/>
                <w:color w:val="000000"/>
                <w:spacing w:val="24"/>
                <w:kern w:val="0"/>
                <w:sz w:val="28"/>
                <w:szCs w:val="28"/>
              </w:rPr>
              <w:t>考核指标</w:t>
            </w:r>
            <w:r>
              <w:rPr>
                <w:rFonts w:hint="eastAsia" w:ascii="华文仿宋" w:hAnsi="华文仿宋" w:eastAsia="华文仿宋" w:cs="华文仿宋"/>
                <w:b w:val="0"/>
                <w:bCs w:val="0"/>
                <w:color w:val="000000"/>
                <w:spacing w:val="24"/>
                <w:kern w:val="0"/>
                <w:sz w:val="28"/>
                <w:szCs w:val="28"/>
                <w:lang w:eastAsia="zh-CN"/>
              </w:rPr>
              <w:t>；</w:t>
            </w:r>
            <w:r>
              <w:rPr>
                <w:rFonts w:hint="eastAsia" w:ascii="华文仿宋" w:hAnsi="华文仿宋" w:eastAsia="华文仿宋" w:cs="华文仿宋"/>
                <w:b w:val="0"/>
                <w:bCs w:val="0"/>
                <w:color w:val="000000"/>
                <w:spacing w:val="24"/>
                <w:kern w:val="0"/>
                <w:sz w:val="28"/>
                <w:szCs w:val="28"/>
                <w:lang w:val="en-US" w:eastAsia="zh-CN"/>
              </w:rPr>
              <w:t>3.</w:t>
            </w:r>
            <w:r>
              <w:rPr>
                <w:rFonts w:hint="eastAsia" w:ascii="华文仿宋" w:hAnsi="华文仿宋" w:eastAsia="华文仿宋" w:cs="华文仿宋"/>
                <w:b w:val="0"/>
                <w:bCs w:val="0"/>
                <w:color w:val="000000"/>
                <w:spacing w:val="24"/>
                <w:kern w:val="0"/>
                <w:sz w:val="28"/>
                <w:szCs w:val="28"/>
              </w:rPr>
              <w:t>考核结果运用</w:t>
            </w:r>
            <w:r>
              <w:rPr>
                <w:rFonts w:hint="eastAsia" w:ascii="华文仿宋" w:hAnsi="华文仿宋" w:eastAsia="华文仿宋" w:cs="华文仿宋"/>
                <w:b w:val="0"/>
                <w:bCs w:val="0"/>
                <w:color w:val="000000"/>
                <w:spacing w:val="24"/>
                <w:kern w:val="0"/>
                <w:sz w:val="28"/>
                <w:szCs w:val="28"/>
                <w:lang w:eastAsia="zh-CN"/>
              </w:rPr>
              <w:t>；</w:t>
            </w:r>
            <w:r>
              <w:rPr>
                <w:rFonts w:hint="eastAsia" w:ascii="华文仿宋" w:hAnsi="华文仿宋" w:eastAsia="华文仿宋" w:cs="华文仿宋"/>
                <w:b w:val="0"/>
                <w:bCs w:val="0"/>
                <w:color w:val="000000"/>
                <w:spacing w:val="24"/>
                <w:kern w:val="0"/>
                <w:sz w:val="28"/>
                <w:szCs w:val="28"/>
                <w:lang w:val="en-US" w:eastAsia="zh-CN"/>
              </w:rPr>
              <w:t>4.</w:t>
            </w:r>
            <w:r>
              <w:rPr>
                <w:rFonts w:hint="eastAsia" w:ascii="华文仿宋" w:hAnsi="华文仿宋" w:eastAsia="华文仿宋" w:cs="华文仿宋"/>
                <w:b w:val="0"/>
                <w:bCs w:val="0"/>
                <w:color w:val="000000"/>
                <w:spacing w:val="24"/>
                <w:kern w:val="0"/>
                <w:sz w:val="28"/>
                <w:szCs w:val="28"/>
              </w:rPr>
              <w:t>培训优化调整机制，</w:t>
            </w:r>
            <w:r>
              <w:rPr>
                <w:rFonts w:hint="eastAsia" w:ascii="华文仿宋" w:hAnsi="华文仿宋" w:eastAsia="华文仿宋" w:cs="华文仿宋"/>
                <w:b w:val="0"/>
                <w:bCs w:val="0"/>
                <w:color w:val="000000"/>
                <w:spacing w:val="24"/>
                <w:kern w:val="0"/>
                <w:sz w:val="28"/>
                <w:szCs w:val="28"/>
                <w:lang w:eastAsia="zh-CN"/>
              </w:rPr>
              <w:t>每提供一条得</w:t>
            </w:r>
            <w:r>
              <w:rPr>
                <w:rFonts w:hint="eastAsia" w:ascii="华文仿宋" w:hAnsi="华文仿宋" w:eastAsia="华文仿宋" w:cs="华文仿宋"/>
                <w:b w:val="0"/>
                <w:bCs w:val="0"/>
                <w:color w:val="000000"/>
                <w:spacing w:val="24"/>
                <w:kern w:val="0"/>
                <w:sz w:val="28"/>
                <w:szCs w:val="28"/>
                <w:lang w:val="en-US" w:eastAsia="zh-CN"/>
              </w:rPr>
              <w:t>1分，满分4分。</w:t>
            </w:r>
          </w:p>
        </w:tc>
        <w:tc>
          <w:tcPr>
            <w:tcW w:w="580" w:type="pct"/>
            <w:noWrap w:val="0"/>
            <w:vAlign w:val="center"/>
          </w:tcPr>
          <w:p w14:paraId="61D4F31D">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pacing w:val="24"/>
                <w:kern w:val="0"/>
                <w:sz w:val="28"/>
                <w:szCs w:val="28"/>
                <w:lang w:val="en-US" w:eastAsia="zh-CN" w:bidi="ar-SA"/>
              </w:rPr>
            </w:pPr>
            <w:r>
              <w:rPr>
                <w:rFonts w:hint="eastAsia" w:ascii="华文仿宋" w:hAnsi="华文仿宋" w:eastAsia="华文仿宋" w:cs="华文仿宋"/>
                <w:b w:val="0"/>
                <w:bCs w:val="0"/>
                <w:color w:val="000000"/>
                <w:spacing w:val="24"/>
                <w:kern w:val="0"/>
                <w:sz w:val="28"/>
                <w:szCs w:val="28"/>
                <w:lang w:val="en-US" w:eastAsia="zh-CN" w:bidi="ar-SA"/>
              </w:rPr>
              <w:t>客</w:t>
            </w:r>
          </w:p>
          <w:p w14:paraId="7480591F">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pacing w:val="24"/>
                <w:kern w:val="0"/>
                <w:sz w:val="28"/>
                <w:szCs w:val="28"/>
                <w:lang w:val="en-US" w:eastAsia="zh-CN" w:bidi="ar-SA"/>
              </w:rPr>
            </w:pPr>
            <w:r>
              <w:rPr>
                <w:rFonts w:hint="eastAsia" w:ascii="华文仿宋" w:hAnsi="华文仿宋" w:eastAsia="华文仿宋" w:cs="华文仿宋"/>
                <w:b w:val="0"/>
                <w:bCs w:val="0"/>
                <w:color w:val="000000"/>
                <w:spacing w:val="24"/>
                <w:kern w:val="0"/>
                <w:sz w:val="28"/>
                <w:szCs w:val="28"/>
                <w:lang w:val="en-US" w:eastAsia="zh-CN" w:bidi="ar-SA"/>
              </w:rPr>
              <w:t>观</w:t>
            </w:r>
          </w:p>
          <w:p w14:paraId="5D406AD5">
            <w:pPr>
              <w:pStyle w:val="6"/>
              <w:keepNext w:val="0"/>
              <w:keepLines w:val="0"/>
              <w:pageBreakBefore w:val="0"/>
              <w:widowControl w:val="0"/>
              <w:numPr>
                <w:ilvl w:val="0"/>
                <w:numId w:val="0"/>
              </w:numPr>
              <w:kinsoku/>
              <w:wordWrap/>
              <w:overflowPunct/>
              <w:topLinePunct w:val="0"/>
              <w:autoSpaceDE/>
              <w:autoSpaceDN/>
              <w:bidi w:val="0"/>
              <w:adjustRightInd/>
              <w:snapToGrid/>
              <w:spacing w:line="400" w:lineRule="exact"/>
              <w:jc w:val="center"/>
              <w:textAlignment w:val="auto"/>
              <w:rPr>
                <w:rFonts w:hint="eastAsia" w:ascii="华文仿宋" w:hAnsi="华文仿宋" w:eastAsia="华文仿宋" w:cs="华文仿宋"/>
                <w:b w:val="0"/>
                <w:bCs w:val="0"/>
                <w:color w:val="000000"/>
                <w:sz w:val="28"/>
                <w:szCs w:val="28"/>
                <w:lang w:eastAsia="zh-CN"/>
              </w:rPr>
            </w:pPr>
            <w:r>
              <w:rPr>
                <w:rFonts w:hint="eastAsia" w:ascii="华文仿宋" w:hAnsi="华文仿宋" w:eastAsia="华文仿宋" w:cs="华文仿宋"/>
                <w:b w:val="0"/>
                <w:bCs w:val="0"/>
                <w:color w:val="000000"/>
                <w:spacing w:val="24"/>
                <w:kern w:val="0"/>
                <w:sz w:val="28"/>
                <w:szCs w:val="28"/>
                <w:lang w:val="en-US" w:eastAsia="zh-CN" w:bidi="ar-SA"/>
              </w:rPr>
              <w:t>分</w:t>
            </w:r>
          </w:p>
        </w:tc>
      </w:tr>
    </w:tbl>
    <w:p w14:paraId="6F97A6EF">
      <w:pPr>
        <w:spacing w:line="500" w:lineRule="exact"/>
        <w:ind w:firstLine="566" w:firstLineChars="200"/>
        <w:rPr>
          <w:rFonts w:hint="eastAsia" w:ascii="华文仿宋" w:hAnsi="华文仿宋" w:eastAsia="华文仿宋" w:cs="华文仿宋"/>
          <w:color w:val="000000"/>
          <w:sz w:val="28"/>
          <w:szCs w:val="28"/>
          <w:lang w:val="en-US" w:eastAsia="zh-CN"/>
        </w:rPr>
      </w:pPr>
      <w:r>
        <w:rPr>
          <w:rFonts w:hint="eastAsia" w:ascii="华文仿宋" w:hAnsi="华文仿宋" w:eastAsia="华文仿宋" w:cs="华文仿宋"/>
          <w:color w:val="000000"/>
          <w:sz w:val="28"/>
          <w:szCs w:val="28"/>
          <w:lang w:val="ru-RU" w:eastAsia="zh-CN"/>
        </w:rPr>
        <w:t>特</w:t>
      </w:r>
      <w:r>
        <w:rPr>
          <w:rFonts w:hint="eastAsia" w:ascii="华文仿宋" w:hAnsi="华文仿宋" w:eastAsia="华文仿宋" w:cs="华文仿宋"/>
          <w:color w:val="000000"/>
          <w:sz w:val="28"/>
          <w:szCs w:val="28"/>
          <w:lang w:val="en-US" w:eastAsia="zh-CN"/>
        </w:rPr>
        <w:t>殊情况：</w:t>
      </w:r>
    </w:p>
    <w:p w14:paraId="5271F258">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3844A258">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7B427A38">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3E8B6C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57A6DEB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有效供应商不足三家时以实际数量推荐）。评审得分相同的，按照最后报价由低到高的顺序推荐。评审得分且最后报价相同的，按照技术指标优劣顺序推荐。</w:t>
      </w:r>
    </w:p>
    <w:p w14:paraId="15D1B972">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62F519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19EA1C22">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27161642">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236A84F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（1）资格性检查认定错误的；</w:t>
      </w:r>
    </w:p>
    <w:p w14:paraId="2DA934B2">
      <w:pPr>
        <w:spacing w:line="500" w:lineRule="exact"/>
        <w:ind w:firstLine="566" w:firstLineChars="200"/>
        <w:rPr>
          <w:rFonts w:ascii="Calibri" w:hAnsi="Calibri"/>
          <w:color w:val="000000"/>
        </w:rPr>
      </w:pPr>
      <w:r>
        <w:rPr>
          <w:rFonts w:hint="eastAsia" w:ascii="华文仿宋" w:hAnsi="华文仿宋" w:cs="华文仿宋"/>
          <w:color w:val="000000"/>
        </w:rPr>
        <w:t>（2）</w:t>
      </w:r>
      <w:r>
        <w:rPr>
          <w:rFonts w:hint="eastAsia" w:ascii="Calibri" w:hAnsi="Calibri"/>
          <w:color w:val="000000"/>
        </w:rPr>
        <w:t>分值汇总计算错误的；</w:t>
      </w:r>
    </w:p>
    <w:p w14:paraId="571E7C5F">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Calibri" w:hAnsi="Calibri"/>
          <w:color w:val="000000"/>
        </w:rPr>
        <w:t>分项评分超出评分标准范围的；</w:t>
      </w:r>
    </w:p>
    <w:p w14:paraId="45F5ED3E">
      <w:pPr>
        <w:spacing w:line="500" w:lineRule="exact"/>
        <w:ind w:firstLine="566" w:firstLineChars="200"/>
        <w:rPr>
          <w:rFonts w:ascii="Calibri" w:hAnsi="Calibri"/>
          <w:color w:val="000000"/>
        </w:rPr>
      </w:pPr>
      <w:r>
        <w:rPr>
          <w:rFonts w:hint="eastAsia" w:ascii="华文仿宋" w:hAnsi="华文仿宋" w:cs="华文仿宋"/>
          <w:color w:val="000000"/>
        </w:rPr>
        <w:t>（4）</w:t>
      </w:r>
      <w:r>
        <w:rPr>
          <w:rFonts w:hint="eastAsia" w:ascii="Calibri" w:hAnsi="Calibri"/>
          <w:color w:val="000000"/>
        </w:rPr>
        <w:t>客观分评分不一致的；</w:t>
      </w:r>
    </w:p>
    <w:p w14:paraId="6CECED5B">
      <w:pPr>
        <w:spacing w:line="500" w:lineRule="exact"/>
        <w:ind w:firstLine="566" w:firstLineChars="200"/>
        <w:rPr>
          <w:rFonts w:ascii="Calibri" w:hAnsi="Calibri"/>
          <w:color w:val="000000"/>
        </w:rPr>
      </w:pP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0BF9050F">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（六）有下列情况之一的，视为供应商串通投标，其投标无效：</w:t>
      </w:r>
    </w:p>
    <w:p w14:paraId="05244274">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04B06CAC">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9A2405C">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7C649BB8">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56A3BA49">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074BF2EE">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7B2A19FD">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2A033105">
      <w:pPr>
        <w:pStyle w:val="4"/>
        <w:pageBreakBefore w:val="0"/>
        <w:widowControl/>
        <w:kinsoku/>
        <w:overflowPunct/>
        <w:topLinePunct w:val="0"/>
        <w:autoSpaceDE/>
        <w:autoSpaceDN/>
        <w:bidi w:val="0"/>
        <w:adjustRightInd/>
        <w:snapToGrid/>
        <w:spacing w:line="480" w:lineRule="exact"/>
        <w:ind w:firstLine="567"/>
        <w:textAlignment w:val="auto"/>
        <w:rPr>
          <w:rFonts w:ascii="华文仿宋" w:hAnsi="华文仿宋" w:cs="华文仿宋"/>
          <w:color w:val="000000"/>
          <w:sz w:val="28"/>
          <w:szCs w:val="28"/>
        </w:rPr>
      </w:pPr>
      <w:bookmarkStart w:id="123" w:name="_Toc25855"/>
      <w:bookmarkStart w:id="124" w:name="_Toc4670"/>
      <w:bookmarkStart w:id="125" w:name="_Toc28384"/>
      <w:bookmarkStart w:id="126" w:name="_Toc17612"/>
      <w:bookmarkStart w:id="127" w:name="_Toc30924"/>
      <w:bookmarkStart w:id="128" w:name="_Toc22712"/>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2677DDE6">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1</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40C99765">
      <w:pPr>
        <w:pageBreakBefore w:val="0"/>
        <w:widowControl/>
        <w:kinsoku/>
        <w:wordWrap w:val="0"/>
        <w:overflowPunct/>
        <w:topLinePunct w:val="0"/>
        <w:autoSpaceDE/>
        <w:autoSpaceDN/>
        <w:bidi w:val="0"/>
        <w:adjustRightInd/>
        <w:snapToGrid/>
        <w:spacing w:line="480" w:lineRule="exact"/>
        <w:ind w:firstLine="566" w:firstLineChars="200"/>
        <w:textAlignment w:val="auto"/>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070428A0">
      <w:pPr>
        <w:pageBreakBefore w:val="0"/>
        <w:widowControl/>
        <w:kinsoku/>
        <w:wordWrap w:val="0"/>
        <w:overflowPunct/>
        <w:topLinePunct w:val="0"/>
        <w:autoSpaceDE/>
        <w:autoSpaceDN/>
        <w:bidi w:val="0"/>
        <w:adjustRightInd/>
        <w:snapToGrid/>
        <w:spacing w:line="480" w:lineRule="exact"/>
        <w:ind w:firstLine="566" w:firstLineChars="200"/>
        <w:textAlignment w:val="auto"/>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65011226">
      <w:pPr>
        <w:pageBreakBefore w:val="0"/>
        <w:widowControl/>
        <w:kinsoku/>
        <w:wordWrap w:val="0"/>
        <w:overflowPunct/>
        <w:topLinePunct w:val="0"/>
        <w:autoSpaceDE/>
        <w:autoSpaceDN/>
        <w:bidi w:val="0"/>
        <w:adjustRightInd/>
        <w:snapToGrid/>
        <w:spacing w:line="480" w:lineRule="exact"/>
        <w:ind w:firstLine="566" w:firstLineChars="200"/>
        <w:textAlignment w:val="auto"/>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0EF11578">
      <w:pPr>
        <w:pageBreakBefore w:val="0"/>
        <w:widowControl/>
        <w:kinsoku/>
        <w:wordWrap w:val="0"/>
        <w:overflowPunct/>
        <w:topLinePunct w:val="0"/>
        <w:autoSpaceDE/>
        <w:autoSpaceDN/>
        <w:bidi w:val="0"/>
        <w:adjustRightInd/>
        <w:snapToGrid/>
        <w:spacing w:line="480" w:lineRule="exact"/>
        <w:ind w:firstLine="566" w:firstLineChars="200"/>
        <w:textAlignment w:val="auto"/>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4342CE5B">
      <w:pPr>
        <w:pageBreakBefore w:val="0"/>
        <w:widowControl/>
        <w:kinsoku/>
        <w:wordWrap w:val="0"/>
        <w:overflowPunct/>
        <w:topLinePunct w:val="0"/>
        <w:autoSpaceDE/>
        <w:autoSpaceDN/>
        <w:bidi w:val="0"/>
        <w:adjustRightInd/>
        <w:snapToGrid/>
        <w:spacing w:line="480" w:lineRule="exact"/>
        <w:ind w:firstLine="566" w:firstLineChars="200"/>
        <w:textAlignment w:val="auto"/>
        <w:rPr>
          <w:rFonts w:hint="eastAsia" w:ascii="华文仿宋" w:hAnsi="华文仿宋" w:eastAsia="华文仿宋" w:cs="华文仿宋"/>
          <w:color w:val="auto"/>
        </w:rPr>
      </w:pPr>
      <w:r>
        <w:rPr>
          <w:rFonts w:hint="eastAsia" w:ascii="华文仿宋" w:hAnsi="华文仿宋" w:cs="华文仿宋"/>
          <w:color w:val="auto"/>
          <w:lang w:eastAsia="zh-CN"/>
        </w:rPr>
        <w:t>注：按照《中心采购项目委托代理协议书》中约定执行。</w:t>
      </w:r>
    </w:p>
    <w:p w14:paraId="5BB45FCE">
      <w:pPr>
        <w:pageBreakBefore w:val="0"/>
        <w:widowControl/>
        <w:kinsoku/>
        <w:wordWrap w:val="0"/>
        <w:overflowPunct/>
        <w:topLinePunct w:val="0"/>
        <w:autoSpaceDE/>
        <w:autoSpaceDN/>
        <w:bidi w:val="0"/>
        <w:adjustRightInd/>
        <w:snapToGrid/>
        <w:spacing w:line="480" w:lineRule="exact"/>
        <w:ind w:firstLine="566" w:firstLineChars="200"/>
        <w:textAlignment w:val="auto"/>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3"/>
          <w:rFonts w:hint="eastAsia" w:ascii="华文仿宋" w:hAnsi="华文仿宋" w:cs="华文仿宋"/>
          <w:color w:val="000000"/>
          <w:sz w:val="28"/>
          <w:szCs w:val="28"/>
        </w:rPr>
        <w:t>陕西省政府采购网</w:t>
      </w:r>
      <w:r>
        <w:rPr>
          <w:rStyle w:val="23"/>
          <w:rFonts w:hint="eastAsia" w:ascii="华文仿宋" w:hAnsi="华文仿宋" w:cs="华文仿宋"/>
          <w:color w:val="000000"/>
          <w:sz w:val="28"/>
          <w:szCs w:val="28"/>
        </w:rPr>
        <w:fldChar w:fldCharType="end"/>
      </w:r>
      <w:r>
        <w:rPr>
          <w:rFonts w:hint="eastAsia" w:ascii="华文仿宋" w:hAnsi="华文仿宋" w:cs="华文仿宋"/>
          <w:color w:val="000000"/>
        </w:rPr>
        <w:t>（www.ccgp-shaanxi.gov.cn）</w:t>
      </w:r>
      <w:r>
        <w:rPr>
          <w:rStyle w:val="23"/>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3"/>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0895154">
      <w:pPr>
        <w:pageBreakBefore w:val="0"/>
        <w:widowControl/>
        <w:kinsoku/>
        <w:wordWrap w:val="0"/>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28D1E1FF">
      <w:pPr>
        <w:pageBreakBefore w:val="0"/>
        <w:widowControl/>
        <w:kinsoku/>
        <w:wordWrap w:val="0"/>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632FAEB8">
      <w:pPr>
        <w:pageBreakBefore w:val="0"/>
        <w:widowControl/>
        <w:kinsoku/>
        <w:wordWrap w:val="0"/>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38CF9048">
      <w:pPr>
        <w:pageBreakBefore w:val="0"/>
        <w:widowControl/>
        <w:kinsoku/>
        <w:wordWrap w:val="0"/>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0EE5C5C1">
      <w:pPr>
        <w:pageBreakBefore w:val="0"/>
        <w:widowControl/>
        <w:kinsoku/>
        <w:wordWrap w:val="0"/>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718D11E8">
      <w:pPr>
        <w:pageBreakBefore w:val="0"/>
        <w:widowControl/>
        <w:kinsoku/>
        <w:wordWrap w:val="0"/>
        <w:overflowPunct/>
        <w:topLinePunct w:val="0"/>
        <w:autoSpaceDE/>
        <w:autoSpaceDN/>
        <w:bidi w:val="0"/>
        <w:adjustRightInd/>
        <w:snapToGrid/>
        <w:spacing w:line="480" w:lineRule="exact"/>
        <w:ind w:firstLine="566" w:firstLineChars="200"/>
        <w:textAlignment w:val="auto"/>
        <w:rPr>
          <w:color w:val="000000"/>
        </w:rPr>
      </w:pPr>
      <w:r>
        <w:rPr>
          <w:rFonts w:hint="eastAsia" w:ascii="华文仿宋" w:hAnsi="华文仿宋" w:cs="华文仿宋"/>
          <w:color w:val="000000"/>
        </w:rPr>
        <w:t>采用书面推荐供应商参加采购活动的，还应当公告采购人和评审专家的推荐意见。</w:t>
      </w:r>
    </w:p>
    <w:p w14:paraId="0C39BB86">
      <w:pPr>
        <w:pStyle w:val="4"/>
        <w:pageBreakBefore w:val="0"/>
        <w:widowControl/>
        <w:kinsoku/>
        <w:overflowPunct/>
        <w:topLinePunct w:val="0"/>
        <w:autoSpaceDE/>
        <w:autoSpaceDN/>
        <w:bidi w:val="0"/>
        <w:adjustRightInd/>
        <w:snapToGrid/>
        <w:spacing w:line="480" w:lineRule="exact"/>
        <w:ind w:firstLine="567"/>
        <w:textAlignment w:val="auto"/>
        <w:rPr>
          <w:rFonts w:ascii="华文仿宋" w:hAnsi="华文仿宋" w:cs="华文仿宋"/>
          <w:color w:val="000000"/>
          <w:sz w:val="28"/>
          <w:szCs w:val="28"/>
        </w:rPr>
      </w:pPr>
      <w:bookmarkStart w:id="129" w:name="_Toc3100"/>
      <w:bookmarkStart w:id="130" w:name="_Toc28870"/>
      <w:bookmarkStart w:id="131" w:name="_Toc14009"/>
      <w:bookmarkStart w:id="132" w:name="_Toc31537"/>
      <w:bookmarkStart w:id="133" w:name="_Toc20049"/>
      <w:bookmarkStart w:id="134" w:name="_Toc10386"/>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60D0D178">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290EFAFB">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F72BE4D">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67EF5E27">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8182F1A">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kern w:val="0"/>
        </w:rPr>
      </w:pP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4B991528">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kern w:val="0"/>
        </w:rPr>
      </w:pPr>
      <w:r>
        <w:rPr>
          <w:rFonts w:hint="eastAsia" w:ascii="华文仿宋" w:hAnsi="华文仿宋" w:cs="华文仿宋"/>
          <w:color w:val="000000"/>
          <w:kern w:val="0"/>
        </w:rPr>
        <w:t>（六）采购人与成交供应商应当根据合同的约定依法履行合同义务。</w:t>
      </w:r>
    </w:p>
    <w:p w14:paraId="1F2C40DA">
      <w:pPr>
        <w:pageBreakBefore w:val="0"/>
        <w:widowControl/>
        <w:kinsoku/>
        <w:overflowPunct/>
        <w:topLinePunct w:val="0"/>
        <w:autoSpaceDE/>
        <w:autoSpaceDN/>
        <w:bidi w:val="0"/>
        <w:adjustRightInd/>
        <w:snapToGrid/>
        <w:spacing w:line="480" w:lineRule="exact"/>
        <w:textAlignment w:val="auto"/>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0B8281A">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kern w:val="0"/>
        </w:rPr>
      </w:pP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B962822">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kern w:val="0"/>
        </w:rPr>
      </w:pP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6800C624">
      <w:pPr>
        <w:pStyle w:val="4"/>
        <w:pageBreakBefore w:val="0"/>
        <w:widowControl/>
        <w:kinsoku/>
        <w:overflowPunct/>
        <w:topLinePunct w:val="0"/>
        <w:autoSpaceDE/>
        <w:autoSpaceDN/>
        <w:bidi w:val="0"/>
        <w:adjustRightInd/>
        <w:snapToGrid/>
        <w:spacing w:line="480" w:lineRule="exact"/>
        <w:ind w:firstLine="567"/>
        <w:textAlignment w:val="auto"/>
        <w:rPr>
          <w:rFonts w:ascii="华文仿宋" w:hAnsi="华文仿宋" w:cs="华文仿宋"/>
          <w:color w:val="000000"/>
          <w:sz w:val="28"/>
          <w:szCs w:val="28"/>
        </w:rPr>
      </w:pPr>
      <w:bookmarkStart w:id="135" w:name="_Toc1272"/>
      <w:bookmarkStart w:id="136" w:name="_Toc16965"/>
      <w:bookmarkStart w:id="137" w:name="_Toc864"/>
      <w:bookmarkStart w:id="138" w:name="_Toc3153"/>
      <w:bookmarkStart w:id="139" w:name="_Toc21906"/>
      <w:bookmarkStart w:id="140" w:name="_Toc23346"/>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4DB699A7">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1A3B5791">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39521EBE">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08B138A5">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7C9AB3EE">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76280B44">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7EF649DE">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highlight w:val="yellow"/>
        </w:rPr>
      </w:pP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09643D5B">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5B662449">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25FDFABE">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4CD90649">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46E60A32">
      <w:pPr>
        <w:pageBreakBefore w:val="0"/>
        <w:widowControl/>
        <w:kinsoku/>
        <w:overflowPunct/>
        <w:topLinePunct w:val="0"/>
        <w:autoSpaceDE/>
        <w:autoSpaceDN/>
        <w:bidi w:val="0"/>
        <w:adjustRightInd/>
        <w:snapToGrid/>
        <w:spacing w:line="480" w:lineRule="exact"/>
        <w:ind w:firstLine="566" w:firstLineChars="200"/>
        <w:textAlignment w:val="auto"/>
        <w:rPr>
          <w:rFonts w:ascii="华文仿宋" w:hAnsi="华文仿宋" w:cs="华文仿宋"/>
          <w:color w:val="000000"/>
        </w:rPr>
      </w:pPr>
      <w:r>
        <w:rPr>
          <w:rFonts w:hint="eastAsia" w:ascii="华文仿宋" w:hAnsi="华文仿宋" w:cs="华文仿宋"/>
          <w:color w:val="000000"/>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未明确的其他事项，按《政府采购法》及其相关法律法规执行。</w:t>
      </w:r>
    </w:p>
    <w:p w14:paraId="03D77BD7">
      <w:pPr>
        <w:pageBreakBefore w:val="0"/>
        <w:widowControl/>
        <w:kinsoku/>
        <w:overflowPunct/>
        <w:topLinePunct w:val="0"/>
        <w:autoSpaceDE/>
        <w:autoSpaceDN/>
        <w:bidi w:val="0"/>
        <w:adjustRightInd/>
        <w:snapToGrid/>
        <w:spacing w:line="480" w:lineRule="exact"/>
        <w:ind w:firstLine="567"/>
        <w:textAlignment w:val="auto"/>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7F57C06F">
      <w:pPr>
        <w:pStyle w:val="3"/>
        <w:keepNext w:val="0"/>
        <w:keepLines/>
        <w:pageBreakBefore/>
        <w:widowControl/>
        <w:numPr>
          <w:ilvl w:val="0"/>
          <w:numId w:val="5"/>
        </w:numPr>
        <w:kinsoku/>
        <w:wordWrap/>
        <w:overflowPunct/>
        <w:topLinePunct w:val="0"/>
        <w:autoSpaceDE/>
        <w:autoSpaceDN/>
        <w:bidi w:val="0"/>
        <w:adjustRightInd/>
        <w:snapToGrid/>
        <w:spacing w:afterLines="50" w:line="500" w:lineRule="exact"/>
        <w:textAlignment w:val="auto"/>
        <w:rPr>
          <w:rFonts w:hint="eastAsia"/>
          <w:lang w:val="en-US" w:eastAsia="zh-CN"/>
        </w:rPr>
      </w:pPr>
      <w:bookmarkStart w:id="141" w:name="_Toc10476_WPSOffice_Level1"/>
      <w:bookmarkStart w:id="142" w:name="_Toc10627"/>
      <w:bookmarkStart w:id="143" w:name="_Toc24433"/>
      <w:r>
        <w:rPr>
          <w:rFonts w:hint="eastAsia" w:ascii="黑体" w:hAnsi="黑体"/>
          <w:b w:val="0"/>
          <w:color w:val="000000"/>
          <w:szCs w:val="32"/>
        </w:rPr>
        <w:t xml:space="preserve"> 磋商内容及采</w:t>
      </w:r>
      <w:bookmarkEnd w:id="141"/>
      <w:r>
        <w:rPr>
          <w:rFonts w:hint="eastAsia" w:ascii="黑体" w:hAnsi="黑体"/>
          <w:b w:val="0"/>
          <w:color w:val="000000"/>
          <w:szCs w:val="32"/>
        </w:rPr>
        <w:t>购要求</w:t>
      </w:r>
      <w:bookmarkEnd w:id="142"/>
      <w:bookmarkEnd w:id="143"/>
    </w:p>
    <w:p w14:paraId="7264CBAD">
      <w:pPr>
        <w:widowControl/>
        <w:numPr>
          <w:ilvl w:val="0"/>
          <w:numId w:val="0"/>
        </w:numPr>
        <w:suppressAutoHyphens/>
        <w:bidi w:val="0"/>
        <w:spacing w:line="540" w:lineRule="atLeas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b/>
          <w:bCs/>
          <w:sz w:val="28"/>
          <w:szCs w:val="28"/>
        </w:rPr>
        <w:t>一、项目</w:t>
      </w:r>
      <w:r>
        <w:rPr>
          <w:rFonts w:hint="eastAsia" w:ascii="华文仿宋" w:hAnsi="华文仿宋" w:eastAsia="华文仿宋" w:cs="华文仿宋"/>
          <w:b/>
          <w:bCs/>
          <w:sz w:val="28"/>
          <w:szCs w:val="28"/>
          <w:lang w:val="en-US" w:eastAsia="zh-CN"/>
        </w:rPr>
        <w:t>情况</w:t>
      </w:r>
      <w:r>
        <w:rPr>
          <w:rFonts w:hint="eastAsia" w:ascii="华文仿宋" w:hAnsi="华文仿宋" w:eastAsia="华文仿宋" w:cs="华文仿宋"/>
          <w:b/>
          <w:bCs/>
          <w:sz w:val="28"/>
          <w:szCs w:val="28"/>
        </w:rPr>
        <w:t>：</w:t>
      </w:r>
      <w:r>
        <w:rPr>
          <w:rFonts w:hint="eastAsia" w:ascii="华文仿宋" w:hAnsi="华文仿宋" w:eastAsia="华文仿宋" w:cs="华文仿宋"/>
          <w:sz w:val="28"/>
          <w:szCs w:val="28"/>
        </w:rPr>
        <w:t>为民服务中心电梯均为纯进口德国蒂森·克虏伯无机房电梯，8栋楼共安装38部。</w:t>
      </w:r>
    </w:p>
    <w:tbl>
      <w:tblPr>
        <w:tblStyle w:val="21"/>
        <w:tblpPr w:leftFromText="180" w:rightFromText="180" w:vertAnchor="text" w:horzAnchor="page" w:tblpX="1374" w:tblpY="222"/>
        <w:tblOverlap w:val="never"/>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40"/>
        <w:gridCol w:w="2764"/>
        <w:gridCol w:w="2126"/>
        <w:gridCol w:w="1417"/>
      </w:tblGrid>
      <w:tr w14:paraId="5AF51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3440" w:type="dxa"/>
            <w:noWrap w:val="0"/>
            <w:vAlign w:val="center"/>
          </w:tcPr>
          <w:p w14:paraId="17BBBBED">
            <w:pPr>
              <w:pBdr>
                <w:top w:val="none" w:color="auto" w:sz="0" w:space="1"/>
                <w:left w:val="none" w:color="auto" w:sz="0" w:space="4"/>
                <w:bottom w:val="none" w:color="auto" w:sz="0" w:space="1"/>
                <w:right w:val="none" w:color="auto" w:sz="0" w:space="4"/>
              </w:pBdr>
              <w:tabs>
                <w:tab w:val="left" w:pos="3070"/>
              </w:tabs>
              <w:spacing w:line="590" w:lineRule="exact"/>
              <w:jc w:val="center"/>
              <w:rPr>
                <w:rFonts w:hint="eastAsia" w:ascii="华文仿宋" w:hAnsi="华文仿宋" w:eastAsia="华文仿宋" w:cs="华文仿宋"/>
                <w:bCs/>
                <w:color w:val="000000"/>
                <w:sz w:val="28"/>
                <w:szCs w:val="28"/>
                <w:lang w:eastAsia="zh-Hans"/>
              </w:rPr>
            </w:pPr>
            <w:r>
              <w:rPr>
                <w:rFonts w:hint="eastAsia" w:ascii="华文仿宋" w:hAnsi="华文仿宋" w:eastAsia="华文仿宋" w:cs="华文仿宋"/>
                <w:bCs/>
                <w:color w:val="000000"/>
                <w:sz w:val="28"/>
                <w:szCs w:val="28"/>
                <w:lang w:eastAsia="zh-Hans"/>
              </w:rPr>
              <w:t>位置</w:t>
            </w:r>
          </w:p>
        </w:tc>
        <w:tc>
          <w:tcPr>
            <w:tcW w:w="2764" w:type="dxa"/>
            <w:noWrap w:val="0"/>
            <w:vAlign w:val="center"/>
          </w:tcPr>
          <w:p w14:paraId="0A4C1E72">
            <w:pPr>
              <w:pBdr>
                <w:top w:val="none" w:color="auto" w:sz="0" w:space="1"/>
                <w:left w:val="none" w:color="auto" w:sz="0" w:space="4"/>
                <w:bottom w:val="none" w:color="auto" w:sz="0" w:space="1"/>
                <w:right w:val="none" w:color="auto" w:sz="0" w:space="4"/>
              </w:pBdr>
              <w:tabs>
                <w:tab w:val="left" w:pos="3070"/>
              </w:tabs>
              <w:spacing w:line="590" w:lineRule="exact"/>
              <w:jc w:val="center"/>
              <w:rPr>
                <w:rFonts w:hint="eastAsia" w:ascii="华文仿宋" w:hAnsi="华文仿宋" w:eastAsia="华文仿宋" w:cs="华文仿宋"/>
                <w:bCs/>
                <w:color w:val="000000"/>
                <w:sz w:val="28"/>
                <w:szCs w:val="28"/>
                <w:lang w:eastAsia="zh-Hans"/>
              </w:rPr>
            </w:pPr>
            <w:r>
              <w:rPr>
                <w:rFonts w:hint="eastAsia" w:ascii="华文仿宋" w:hAnsi="华文仿宋" w:eastAsia="华文仿宋" w:cs="华文仿宋"/>
                <w:bCs/>
                <w:color w:val="000000"/>
                <w:sz w:val="28"/>
                <w:szCs w:val="28"/>
                <w:lang w:eastAsia="zh-Hans"/>
              </w:rPr>
              <w:t>电梯编号</w:t>
            </w:r>
          </w:p>
        </w:tc>
        <w:tc>
          <w:tcPr>
            <w:tcW w:w="2126" w:type="dxa"/>
            <w:noWrap w:val="0"/>
            <w:vAlign w:val="center"/>
          </w:tcPr>
          <w:p w14:paraId="132C4B4A">
            <w:pPr>
              <w:pBdr>
                <w:top w:val="none" w:color="auto" w:sz="0" w:space="1"/>
                <w:left w:val="none" w:color="auto" w:sz="0" w:space="4"/>
                <w:bottom w:val="none" w:color="auto" w:sz="0" w:space="1"/>
                <w:right w:val="none" w:color="auto" w:sz="0" w:space="4"/>
              </w:pBdr>
              <w:tabs>
                <w:tab w:val="left" w:pos="3070"/>
              </w:tabs>
              <w:spacing w:line="590" w:lineRule="exact"/>
              <w:jc w:val="center"/>
              <w:rPr>
                <w:rFonts w:hint="eastAsia" w:ascii="华文仿宋" w:hAnsi="华文仿宋" w:eastAsia="华文仿宋" w:cs="华文仿宋"/>
                <w:bCs/>
                <w:color w:val="000000"/>
                <w:sz w:val="28"/>
                <w:szCs w:val="28"/>
              </w:rPr>
            </w:pPr>
            <w:r>
              <w:rPr>
                <w:rFonts w:hint="eastAsia" w:ascii="华文仿宋" w:hAnsi="华文仿宋" w:eastAsia="华文仿宋" w:cs="华文仿宋"/>
                <w:bCs/>
                <w:color w:val="000000"/>
                <w:sz w:val="28"/>
                <w:szCs w:val="28"/>
                <w:lang w:eastAsia="zh-Hans"/>
              </w:rPr>
              <w:t>规格型号</w:t>
            </w:r>
          </w:p>
        </w:tc>
        <w:tc>
          <w:tcPr>
            <w:tcW w:w="1417" w:type="dxa"/>
            <w:noWrap w:val="0"/>
            <w:vAlign w:val="center"/>
          </w:tcPr>
          <w:p w14:paraId="43D55E6C">
            <w:pPr>
              <w:pBdr>
                <w:top w:val="none" w:color="auto" w:sz="0" w:space="1"/>
                <w:left w:val="none" w:color="auto" w:sz="0" w:space="4"/>
                <w:bottom w:val="none" w:color="auto" w:sz="0" w:space="1"/>
                <w:right w:val="none" w:color="auto" w:sz="0" w:space="4"/>
              </w:pBdr>
              <w:tabs>
                <w:tab w:val="left" w:pos="3070"/>
              </w:tabs>
              <w:spacing w:line="590" w:lineRule="exact"/>
              <w:rPr>
                <w:rFonts w:hint="eastAsia" w:ascii="华文仿宋" w:hAnsi="华文仿宋" w:eastAsia="华文仿宋" w:cs="华文仿宋"/>
                <w:bCs/>
                <w:color w:val="000000"/>
                <w:sz w:val="28"/>
                <w:szCs w:val="28"/>
              </w:rPr>
            </w:pPr>
            <w:r>
              <w:rPr>
                <w:rFonts w:hint="eastAsia" w:ascii="华文仿宋" w:hAnsi="华文仿宋" w:eastAsia="华文仿宋" w:cs="华文仿宋"/>
                <w:bCs/>
                <w:color w:val="000000"/>
                <w:sz w:val="28"/>
                <w:szCs w:val="28"/>
                <w:lang w:eastAsia="zh-Hans"/>
              </w:rPr>
              <w:t>数量（部）</w:t>
            </w:r>
          </w:p>
        </w:tc>
      </w:tr>
      <w:tr w14:paraId="421A0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3440" w:type="dxa"/>
            <w:noWrap w:val="0"/>
            <w:vAlign w:val="center"/>
          </w:tcPr>
          <w:p w14:paraId="306649CE">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新区为民服务中心1#楼</w:t>
            </w:r>
          </w:p>
        </w:tc>
        <w:tc>
          <w:tcPr>
            <w:tcW w:w="2764" w:type="dxa"/>
            <w:noWrap w:val="0"/>
            <w:vAlign w:val="center"/>
          </w:tcPr>
          <w:p w14:paraId="203389B4">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E/30034651.001-013</w:t>
            </w:r>
          </w:p>
        </w:tc>
        <w:tc>
          <w:tcPr>
            <w:tcW w:w="2126" w:type="dxa"/>
            <w:noWrap w:val="0"/>
            <w:vAlign w:val="center"/>
          </w:tcPr>
          <w:p w14:paraId="5F51285D">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TE-Evolution1</w:t>
            </w:r>
          </w:p>
        </w:tc>
        <w:tc>
          <w:tcPr>
            <w:tcW w:w="1417" w:type="dxa"/>
            <w:noWrap w:val="0"/>
            <w:vAlign w:val="center"/>
          </w:tcPr>
          <w:p w14:paraId="471C5F80">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13</w:t>
            </w:r>
          </w:p>
        </w:tc>
      </w:tr>
      <w:tr w14:paraId="20146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3440" w:type="dxa"/>
            <w:noWrap w:val="0"/>
            <w:vAlign w:val="center"/>
          </w:tcPr>
          <w:p w14:paraId="14A51901">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北区餐厅</w:t>
            </w:r>
          </w:p>
        </w:tc>
        <w:tc>
          <w:tcPr>
            <w:tcW w:w="2764" w:type="dxa"/>
            <w:noWrap w:val="0"/>
            <w:vAlign w:val="center"/>
          </w:tcPr>
          <w:p w14:paraId="7BC65AB2">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E/30034651.014-015</w:t>
            </w:r>
          </w:p>
        </w:tc>
        <w:tc>
          <w:tcPr>
            <w:tcW w:w="2126" w:type="dxa"/>
            <w:noWrap w:val="0"/>
            <w:vAlign w:val="center"/>
          </w:tcPr>
          <w:p w14:paraId="77B006C3">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TE-Evolutionl</w:t>
            </w:r>
          </w:p>
        </w:tc>
        <w:tc>
          <w:tcPr>
            <w:tcW w:w="1417" w:type="dxa"/>
            <w:noWrap w:val="0"/>
            <w:vAlign w:val="center"/>
          </w:tcPr>
          <w:p w14:paraId="0781DEF1">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2</w:t>
            </w:r>
          </w:p>
        </w:tc>
      </w:tr>
      <w:tr w14:paraId="5892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3440" w:type="dxa"/>
            <w:noWrap w:val="0"/>
            <w:vAlign w:val="center"/>
          </w:tcPr>
          <w:p w14:paraId="61144ED9">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新区为民服务中心2-5#楼</w:t>
            </w:r>
          </w:p>
        </w:tc>
        <w:tc>
          <w:tcPr>
            <w:tcW w:w="2764" w:type="dxa"/>
            <w:noWrap w:val="0"/>
            <w:vAlign w:val="center"/>
          </w:tcPr>
          <w:p w14:paraId="732EDBA8">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E/30034651.016-023</w:t>
            </w:r>
          </w:p>
        </w:tc>
        <w:tc>
          <w:tcPr>
            <w:tcW w:w="2126" w:type="dxa"/>
            <w:noWrap w:val="0"/>
            <w:vAlign w:val="center"/>
          </w:tcPr>
          <w:p w14:paraId="58266372">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TE-Evolutionl</w:t>
            </w:r>
          </w:p>
        </w:tc>
        <w:tc>
          <w:tcPr>
            <w:tcW w:w="1417" w:type="dxa"/>
            <w:noWrap w:val="0"/>
            <w:vAlign w:val="center"/>
          </w:tcPr>
          <w:p w14:paraId="2B1F5895">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8</w:t>
            </w:r>
          </w:p>
        </w:tc>
      </w:tr>
      <w:tr w14:paraId="67A53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3440" w:type="dxa"/>
            <w:noWrap w:val="0"/>
            <w:vAlign w:val="center"/>
          </w:tcPr>
          <w:p w14:paraId="1FBCAFF1">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新区为民服务中心6-7#楼</w:t>
            </w:r>
          </w:p>
        </w:tc>
        <w:tc>
          <w:tcPr>
            <w:tcW w:w="2764" w:type="dxa"/>
            <w:noWrap w:val="0"/>
            <w:vAlign w:val="center"/>
          </w:tcPr>
          <w:p w14:paraId="032ECA02">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E/30034651.024-036</w:t>
            </w:r>
          </w:p>
        </w:tc>
        <w:tc>
          <w:tcPr>
            <w:tcW w:w="2126" w:type="dxa"/>
            <w:noWrap w:val="0"/>
            <w:vAlign w:val="center"/>
          </w:tcPr>
          <w:p w14:paraId="03B6D0F5">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TE-Evolutionl</w:t>
            </w:r>
          </w:p>
        </w:tc>
        <w:tc>
          <w:tcPr>
            <w:tcW w:w="1417" w:type="dxa"/>
            <w:noWrap w:val="0"/>
            <w:vAlign w:val="center"/>
          </w:tcPr>
          <w:p w14:paraId="406229B9">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13</w:t>
            </w:r>
          </w:p>
        </w:tc>
      </w:tr>
      <w:tr w14:paraId="4929A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3440" w:type="dxa"/>
            <w:noWrap w:val="0"/>
            <w:vAlign w:val="center"/>
          </w:tcPr>
          <w:p w14:paraId="4DD97632">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新区为民服务中心8#楼</w:t>
            </w:r>
          </w:p>
        </w:tc>
        <w:tc>
          <w:tcPr>
            <w:tcW w:w="2764" w:type="dxa"/>
            <w:noWrap w:val="0"/>
            <w:vAlign w:val="center"/>
          </w:tcPr>
          <w:p w14:paraId="7DFE1700">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E/30034651.037-038</w:t>
            </w:r>
          </w:p>
        </w:tc>
        <w:tc>
          <w:tcPr>
            <w:tcW w:w="2126" w:type="dxa"/>
            <w:noWrap w:val="0"/>
            <w:vAlign w:val="center"/>
          </w:tcPr>
          <w:p w14:paraId="4B33EEF3">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TE-Evolutionl</w:t>
            </w:r>
          </w:p>
        </w:tc>
        <w:tc>
          <w:tcPr>
            <w:tcW w:w="1417" w:type="dxa"/>
            <w:noWrap w:val="0"/>
            <w:vAlign w:val="center"/>
          </w:tcPr>
          <w:p w14:paraId="3CFB9363">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2</w:t>
            </w:r>
          </w:p>
        </w:tc>
      </w:tr>
      <w:tr w14:paraId="44423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8330" w:type="dxa"/>
            <w:gridSpan w:val="3"/>
            <w:noWrap w:val="0"/>
            <w:vAlign w:val="center"/>
          </w:tcPr>
          <w:p w14:paraId="4D8A4F5D">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合计</w:t>
            </w:r>
          </w:p>
        </w:tc>
        <w:tc>
          <w:tcPr>
            <w:tcW w:w="1417" w:type="dxa"/>
            <w:noWrap w:val="0"/>
            <w:vAlign w:val="center"/>
          </w:tcPr>
          <w:p w14:paraId="127B75D3">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38</w:t>
            </w:r>
          </w:p>
        </w:tc>
      </w:tr>
    </w:tbl>
    <w:p w14:paraId="257B79A0">
      <w:pPr>
        <w:pStyle w:val="26"/>
        <w:ind w:left="0" w:leftChars="0" w:firstLine="0" w:firstLineChars="0"/>
        <w:jc w:val="both"/>
        <w:rPr>
          <w:rFonts w:hint="eastAsia" w:ascii="华文仿宋" w:hAnsi="华文仿宋" w:eastAsia="华文仿宋" w:cs="华文仿宋"/>
          <w:sz w:val="28"/>
          <w:szCs w:val="28"/>
          <w:lang w:val="en-US" w:eastAsia="zh-CN"/>
        </w:rPr>
      </w:pPr>
    </w:p>
    <w:p w14:paraId="75322960">
      <w:pPr>
        <w:suppressAutoHyphens/>
        <w:bidi w:val="0"/>
        <w:spacing w:line="360" w:lineRule="auto"/>
        <w:ind w:firstLine="566" w:firstLineChars="200"/>
        <w:rPr>
          <w:rFonts w:hint="eastAsia" w:ascii="华文仿宋" w:hAnsi="华文仿宋" w:eastAsia="华文仿宋" w:cs="华文仿宋"/>
          <w:b/>
          <w:sz w:val="28"/>
          <w:szCs w:val="28"/>
        </w:rPr>
      </w:pPr>
      <w:r>
        <w:rPr>
          <w:rFonts w:hint="eastAsia" w:ascii="华文仿宋" w:hAnsi="华文仿宋" w:cs="华文仿宋"/>
          <w:b/>
          <w:sz w:val="28"/>
          <w:szCs w:val="28"/>
          <w:lang w:val="en-US" w:eastAsia="zh-CN"/>
        </w:rPr>
        <w:t>二、</w:t>
      </w:r>
      <w:r>
        <w:rPr>
          <w:rFonts w:hint="eastAsia" w:ascii="华文仿宋" w:hAnsi="华文仿宋" w:eastAsia="华文仿宋" w:cs="华文仿宋"/>
          <w:b/>
          <w:sz w:val="28"/>
          <w:szCs w:val="28"/>
        </w:rPr>
        <w:t>采购内容</w:t>
      </w:r>
    </w:p>
    <w:p w14:paraId="1413DD85">
      <w:pPr>
        <w:keepNext w:val="0"/>
        <w:keepLines w:val="0"/>
        <w:pageBreakBefore w:val="0"/>
        <w:widowControl w:val="0"/>
        <w:numPr>
          <w:ilvl w:val="0"/>
          <w:numId w:val="0"/>
        </w:numPr>
        <w:suppressAutoHyphens/>
        <w:kinsoku/>
        <w:wordWrap/>
        <w:overflowPunct/>
        <w:topLinePunct w:val="0"/>
        <w:autoSpaceDE/>
        <w:autoSpaceDN/>
        <w:bidi w:val="0"/>
        <w:adjustRightInd/>
        <w:snapToGrid/>
        <w:spacing w:line="540" w:lineRule="atLeas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委托专业机构对为民服务中心的所有电梯实施日常维保和中大型维修，具体内容如下：</w:t>
      </w:r>
    </w:p>
    <w:p w14:paraId="5424A11E">
      <w:pPr>
        <w:keepNext w:val="0"/>
        <w:keepLines w:val="0"/>
        <w:pageBreakBefore w:val="0"/>
        <w:widowControl w:val="0"/>
        <w:numPr>
          <w:ilvl w:val="0"/>
          <w:numId w:val="0"/>
        </w:numPr>
        <w:suppressAutoHyphens/>
        <w:kinsoku/>
        <w:wordWrap/>
        <w:overflowPunct/>
        <w:topLinePunct w:val="0"/>
        <w:autoSpaceDE/>
        <w:autoSpaceDN/>
        <w:bidi w:val="0"/>
        <w:adjustRightInd/>
        <w:snapToGrid/>
        <w:spacing w:line="540" w:lineRule="atLeas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1.常规保养：按照《电梯维护保养规则》（TSG T5002-2017）规定，结合为民服务中心电梯生产厂商保养要求，进行半月、季度、半年和年度保养，确保所有电梯都能安全高效运行。</w:t>
      </w:r>
    </w:p>
    <w:p w14:paraId="540027D4">
      <w:pPr>
        <w:keepNext w:val="0"/>
        <w:keepLines w:val="0"/>
        <w:pageBreakBefore w:val="0"/>
        <w:widowControl w:val="0"/>
        <w:numPr>
          <w:ilvl w:val="0"/>
          <w:numId w:val="0"/>
        </w:numPr>
        <w:suppressAutoHyphens/>
        <w:kinsoku/>
        <w:wordWrap/>
        <w:overflowPunct/>
        <w:topLinePunct w:val="0"/>
        <w:autoSpaceDE/>
        <w:autoSpaceDN/>
        <w:bidi w:val="0"/>
        <w:adjustRightInd/>
        <w:snapToGrid/>
        <w:spacing w:line="540" w:lineRule="atLeast"/>
        <w:ind w:firstLine="566" w:firstLineChars="200"/>
        <w:textAlignment w:val="auto"/>
        <w:rPr>
          <w:rFonts w:hint="eastAsia" w:ascii="华文仿宋" w:hAnsi="华文仿宋" w:eastAsia="华文仿宋" w:cs="华文仿宋"/>
          <w:color w:val="00B0F0"/>
          <w:sz w:val="28"/>
          <w:szCs w:val="28"/>
          <w:lang w:val="en-US" w:eastAsia="zh-CN"/>
        </w:rPr>
      </w:pPr>
      <w:r>
        <w:rPr>
          <w:rFonts w:hint="eastAsia" w:ascii="华文仿宋" w:hAnsi="华文仿宋" w:eastAsia="华文仿宋" w:cs="华文仿宋"/>
          <w:sz w:val="28"/>
          <w:szCs w:val="28"/>
          <w:lang w:val="en-US" w:eastAsia="zh-CN"/>
        </w:rPr>
        <w:t>2.大型维修：根据行业规定和电梯生产厂商的大修标准要求，及时更换已达到使用年限的配件设备。</w:t>
      </w:r>
      <w:r>
        <w:rPr>
          <w:rFonts w:hint="eastAsia" w:ascii="华文仿宋" w:hAnsi="华文仿宋" w:eastAsia="华文仿宋" w:cs="华文仿宋"/>
          <w:b w:val="0"/>
          <w:color w:val="auto"/>
          <w:kern w:val="2"/>
          <w:sz w:val="28"/>
          <w:szCs w:val="28"/>
          <w:lang w:val="en-US" w:eastAsia="zh-CN" w:bidi="ar-SA"/>
        </w:rPr>
        <w:t>所更换的配件必须是与电梯相匹配的原厂的、全新的配件，更换的每一个配件，必须提供发票和产品合格证。</w:t>
      </w:r>
    </w:p>
    <w:p w14:paraId="371163B4">
      <w:pPr>
        <w:keepNext w:val="0"/>
        <w:keepLines w:val="0"/>
        <w:pageBreakBefore w:val="0"/>
        <w:widowControl w:val="0"/>
        <w:numPr>
          <w:ilvl w:val="0"/>
          <w:numId w:val="0"/>
        </w:numPr>
        <w:suppressAutoHyphens/>
        <w:kinsoku/>
        <w:wordWrap/>
        <w:overflowPunct/>
        <w:topLinePunct w:val="0"/>
        <w:autoSpaceDE/>
        <w:autoSpaceDN/>
        <w:bidi w:val="0"/>
        <w:adjustRightInd/>
        <w:snapToGrid/>
        <w:spacing w:line="540" w:lineRule="atLeas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3.中小型和日常维修：所有电梯非自然灾害事件发生或者政府部门变更等不可抗拒的损坏以外，对电梯中不能使用的所有配件进行更换，达到安全正常运行状态。</w:t>
      </w:r>
    </w:p>
    <w:p w14:paraId="1CA1B5E8">
      <w:pPr>
        <w:keepNext w:val="0"/>
        <w:keepLines w:val="0"/>
        <w:pageBreakBefore w:val="0"/>
        <w:widowControl w:val="0"/>
        <w:numPr>
          <w:ilvl w:val="0"/>
          <w:numId w:val="0"/>
        </w:numPr>
        <w:suppressAutoHyphens/>
        <w:kinsoku/>
        <w:wordWrap/>
        <w:overflowPunct/>
        <w:topLinePunct w:val="0"/>
        <w:autoSpaceDE/>
        <w:autoSpaceDN/>
        <w:bidi w:val="0"/>
        <w:adjustRightInd/>
        <w:snapToGrid/>
        <w:spacing w:line="540" w:lineRule="atLeas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4.服务时效：发生故障10分钟到达现场，2小时排除和解决故障。</w:t>
      </w:r>
    </w:p>
    <w:p w14:paraId="05A19EC1">
      <w:pPr>
        <w:keepNext w:val="0"/>
        <w:keepLines w:val="0"/>
        <w:pageBreakBefore w:val="0"/>
        <w:widowControl w:val="0"/>
        <w:numPr>
          <w:ilvl w:val="0"/>
          <w:numId w:val="0"/>
        </w:numPr>
        <w:suppressAutoHyphens/>
        <w:kinsoku/>
        <w:wordWrap/>
        <w:overflowPunct/>
        <w:topLinePunct w:val="0"/>
        <w:autoSpaceDE/>
        <w:autoSpaceDN/>
        <w:bidi w:val="0"/>
        <w:adjustRightInd/>
        <w:snapToGrid/>
        <w:spacing w:line="540" w:lineRule="atLeas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5.服务质量：每部电梯年发生轻微故障次数不得高于1次、年重大故障为零，设备完好率达100%，确保电梯安全有效运行。</w:t>
      </w:r>
    </w:p>
    <w:p w14:paraId="6618EA29">
      <w:pPr>
        <w:suppressAutoHyphens/>
        <w:bidi w:val="0"/>
        <w:spacing w:line="560" w:lineRule="exact"/>
        <w:ind w:firstLine="566" w:firstLineChars="200"/>
        <w:rPr>
          <w:rFonts w:hint="eastAsia" w:ascii="华文仿宋" w:hAnsi="华文仿宋" w:eastAsia="华文仿宋" w:cs="华文仿宋"/>
          <w:b/>
          <w:bCs/>
          <w:sz w:val="28"/>
          <w:szCs w:val="28"/>
        </w:rPr>
      </w:pPr>
      <w:r>
        <w:rPr>
          <w:rFonts w:hint="eastAsia" w:ascii="华文仿宋" w:hAnsi="华文仿宋" w:cs="华文仿宋"/>
          <w:b/>
          <w:bCs/>
          <w:sz w:val="28"/>
          <w:szCs w:val="28"/>
          <w:lang w:val="en-US" w:eastAsia="zh-CN"/>
        </w:rPr>
        <w:t>三、</w:t>
      </w:r>
      <w:r>
        <w:rPr>
          <w:rFonts w:hint="eastAsia" w:ascii="华文仿宋" w:hAnsi="华文仿宋" w:eastAsia="华文仿宋" w:cs="华文仿宋"/>
          <w:b/>
          <w:bCs/>
          <w:sz w:val="28"/>
          <w:szCs w:val="28"/>
        </w:rPr>
        <w:t>项目内容</w:t>
      </w:r>
    </w:p>
    <w:p w14:paraId="5BF2962B">
      <w:pPr>
        <w:suppressAutoHyphens/>
        <w:bidi w:val="0"/>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1.常规保养项目：全部电梯的日常保养、季度保养、年度保养服务。</w:t>
      </w:r>
    </w:p>
    <w:p w14:paraId="4EE76B98">
      <w:pPr>
        <w:pStyle w:val="18"/>
        <w:suppressAutoHyphens/>
        <w:bidi w:val="0"/>
        <w:spacing w:line="500" w:lineRule="exact"/>
        <w:jc w:val="left"/>
        <w:rPr>
          <w:rFonts w:hint="eastAsia" w:ascii="华文仿宋" w:hAnsi="华文仿宋" w:eastAsia="华文仿宋" w:cs="华文仿宋"/>
          <w:sz w:val="28"/>
          <w:szCs w:val="28"/>
        </w:rPr>
      </w:pPr>
      <w:r>
        <w:rPr>
          <w:rFonts w:hint="eastAsia" w:ascii="华文仿宋" w:hAnsi="华文仿宋" w:eastAsia="华文仿宋" w:cs="华文仿宋"/>
          <w:kern w:val="2"/>
          <w:sz w:val="28"/>
          <w:szCs w:val="28"/>
        </w:rPr>
        <w:t>附表1  半月维保规定项目</w:t>
      </w:r>
    </w:p>
    <w:tbl>
      <w:tblPr>
        <w:tblStyle w:val="21"/>
        <w:tblW w:w="9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5"/>
        <w:gridCol w:w="4183"/>
        <w:gridCol w:w="5053"/>
      </w:tblGrid>
      <w:tr w14:paraId="3637E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1196B98D">
            <w:pPr>
              <w:pStyle w:val="18"/>
              <w:suppressAutoHyphens/>
              <w:bidi w:val="0"/>
              <w:spacing w:line="500" w:lineRule="exact"/>
              <w:jc w:val="center"/>
              <w:rPr>
                <w:rFonts w:hint="eastAsia" w:ascii="华文仿宋" w:hAnsi="华文仿宋" w:eastAsia="华文仿宋" w:cs="华文仿宋"/>
                <w:b/>
                <w:bCs/>
                <w:kern w:val="2"/>
                <w:sz w:val="28"/>
                <w:szCs w:val="28"/>
              </w:rPr>
            </w:pPr>
            <w:r>
              <w:rPr>
                <w:rFonts w:hint="eastAsia" w:ascii="华文仿宋" w:hAnsi="华文仿宋" w:eastAsia="华文仿宋" w:cs="华文仿宋"/>
                <w:b/>
                <w:bCs/>
                <w:kern w:val="2"/>
                <w:sz w:val="28"/>
                <w:szCs w:val="28"/>
              </w:rPr>
              <w:t>序号</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4471F2FC">
            <w:pPr>
              <w:pStyle w:val="18"/>
              <w:suppressAutoHyphens/>
              <w:bidi w:val="0"/>
              <w:spacing w:line="500" w:lineRule="exact"/>
              <w:jc w:val="center"/>
              <w:rPr>
                <w:rFonts w:hint="eastAsia" w:ascii="华文仿宋" w:hAnsi="华文仿宋" w:eastAsia="华文仿宋" w:cs="华文仿宋"/>
                <w:b/>
                <w:bCs/>
                <w:kern w:val="2"/>
                <w:sz w:val="28"/>
                <w:szCs w:val="28"/>
              </w:rPr>
            </w:pPr>
            <w:r>
              <w:rPr>
                <w:rFonts w:hint="eastAsia" w:ascii="华文仿宋" w:hAnsi="华文仿宋" w:eastAsia="华文仿宋" w:cs="华文仿宋"/>
                <w:b/>
                <w:bCs/>
                <w:kern w:val="2"/>
                <w:sz w:val="28"/>
                <w:szCs w:val="28"/>
              </w:rPr>
              <w:t>维保项目（内容）</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46635B3C">
            <w:pPr>
              <w:pStyle w:val="18"/>
              <w:suppressAutoHyphens/>
              <w:bidi w:val="0"/>
              <w:spacing w:line="500" w:lineRule="exact"/>
              <w:jc w:val="center"/>
              <w:rPr>
                <w:rFonts w:hint="eastAsia" w:ascii="华文仿宋" w:hAnsi="华文仿宋" w:eastAsia="华文仿宋" w:cs="华文仿宋"/>
                <w:b/>
                <w:bCs/>
                <w:kern w:val="2"/>
                <w:sz w:val="28"/>
                <w:szCs w:val="28"/>
              </w:rPr>
            </w:pPr>
            <w:r>
              <w:rPr>
                <w:rFonts w:hint="eastAsia" w:ascii="华文仿宋" w:hAnsi="华文仿宋" w:eastAsia="华文仿宋" w:cs="华文仿宋"/>
                <w:b/>
                <w:bCs/>
                <w:kern w:val="2"/>
                <w:sz w:val="28"/>
                <w:szCs w:val="28"/>
              </w:rPr>
              <w:t>维保基本要求</w:t>
            </w:r>
          </w:p>
        </w:tc>
      </w:tr>
      <w:tr w14:paraId="36A09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7E1D907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7D4D56C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机房、滑轮间环境</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037C5DB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清洁，门窗完好、照明正常</w:t>
            </w:r>
          </w:p>
        </w:tc>
      </w:tr>
      <w:tr w14:paraId="4AB28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74A22C8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0C85402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手动紧急操作装置</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390DEE4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齐全，在指定位置</w:t>
            </w:r>
          </w:p>
        </w:tc>
      </w:tr>
      <w:tr w14:paraId="6E56D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578049E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3</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720F3D3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驱动主机</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64C43AA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运行时无异常振动和异常声响</w:t>
            </w:r>
          </w:p>
        </w:tc>
      </w:tr>
      <w:tr w14:paraId="52AB7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145BF4A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4</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6BA5E43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制动器各销轴部位</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46E048E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动作灵活</w:t>
            </w:r>
          </w:p>
        </w:tc>
      </w:tr>
      <w:tr w14:paraId="680BE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77EC86AF">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5</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0DD1161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制动器间隙</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162DC40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打开时制动衬与制动轮不应发生摩擦间隙值符合制造单位要求</w:t>
            </w:r>
          </w:p>
        </w:tc>
      </w:tr>
      <w:tr w14:paraId="6C885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1110A66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6</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52AC189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制动器作为轿厢意外移动保护装置制停子系统时的自监测</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7D9F4D8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制动力人工方式检测符合使用维护说明书要求；制动力自监测系统有记录</w:t>
            </w:r>
          </w:p>
        </w:tc>
      </w:tr>
      <w:tr w14:paraId="173B2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4190D98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7</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5191AF7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编码器</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3C23E61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清洁，安装牢固</w:t>
            </w:r>
          </w:p>
        </w:tc>
      </w:tr>
      <w:tr w14:paraId="16C28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5A52D5E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8</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235419E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限速器各销轴部位</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01FF6D7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润滑，转动灵活；电气开关正常</w:t>
            </w:r>
          </w:p>
        </w:tc>
      </w:tr>
      <w:tr w14:paraId="5A53D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5EB9181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9</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39DE5F3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层门和轿门旁路装置</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7F4DFC7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433B1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3951BAB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10</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0E71EE4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紧急电动运行</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3054173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3E648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2180DDD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11</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29BB480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轿顶</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3B653C3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清洁，防护拦安全可靠</w:t>
            </w:r>
          </w:p>
        </w:tc>
      </w:tr>
      <w:tr w14:paraId="77111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77AD2B3F">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12</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5B5016C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轿顶检修开关、停止装置</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3FB0015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5FA38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48B8DB6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13</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1740A98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导靴上油杯</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22D6A88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吸油毛毡齐全，油量适宜，油杯无泄漏</w:t>
            </w:r>
          </w:p>
        </w:tc>
      </w:tr>
      <w:tr w14:paraId="7C116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40BD8CC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14</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69D7505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对重/平衡重块及其压板</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10FE9EB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对重/平衡重块无松动，压板紧固</w:t>
            </w:r>
          </w:p>
        </w:tc>
      </w:tr>
      <w:tr w14:paraId="1CD07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2BA6816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15</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30C8D5B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井道照明</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024D4D4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齐全、正常</w:t>
            </w:r>
          </w:p>
        </w:tc>
      </w:tr>
      <w:tr w14:paraId="6F18B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3D633D6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16</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57225703">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轿厢照明、风扇、应急照明</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1E99535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4D41D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4A0BC57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17</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55127B5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轿厢检修开关、停止装置</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44831FB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4209E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3F8E30B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18</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5131C81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轿内报警装置、对讲系统</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43EB606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13B4D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370AFBF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19</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47B177AF">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轿内显示、指令按钮、IC卡系统</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36C398D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齐全、有效</w:t>
            </w:r>
          </w:p>
        </w:tc>
      </w:tr>
      <w:tr w14:paraId="63B94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0B40B26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20</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3F788A5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轿门防撞击保护装置（安全触板，光幕、光电等）</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0110B40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功能有效</w:t>
            </w:r>
          </w:p>
        </w:tc>
      </w:tr>
      <w:tr w14:paraId="3B182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6B49B81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21</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327A0C3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轿门门锁电气触点</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22AD188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清洁, 触点接触良好，接线可靠</w:t>
            </w:r>
          </w:p>
        </w:tc>
      </w:tr>
      <w:tr w14:paraId="5F293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5C5D2FCF">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22</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7460B25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轿门运行</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47E1471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开启和关闭工作正常</w:t>
            </w:r>
          </w:p>
        </w:tc>
      </w:tr>
      <w:tr w14:paraId="4803F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21A71E5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23</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6103DE7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轿厢平层准确度</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7E45F05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符合标准值</w:t>
            </w:r>
          </w:p>
        </w:tc>
      </w:tr>
      <w:tr w14:paraId="72B5E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141B656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24</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0A5C77D3">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层站召唤、层楼显示</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66769A3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齐全、有效</w:t>
            </w:r>
          </w:p>
        </w:tc>
      </w:tr>
      <w:tr w14:paraId="62E4F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743EFF4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25</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3E5A57D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层门地坎</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6DAF42F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清洁</w:t>
            </w:r>
          </w:p>
        </w:tc>
      </w:tr>
      <w:tr w14:paraId="62D17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7F5369A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26</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3CF1FEB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层门自动关门装置</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57D519A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正常</w:t>
            </w:r>
          </w:p>
        </w:tc>
      </w:tr>
      <w:tr w14:paraId="05B95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03FC611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27</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20E04F1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层门门锁自动复位</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1EE44C4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用层门钥匙打开手动开锁装置释放后，层门门锁能自动复位</w:t>
            </w:r>
          </w:p>
        </w:tc>
      </w:tr>
      <w:tr w14:paraId="20139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590B17A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28</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1212D53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层门门锁电气触点</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017A14A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清洁, 触点接触良好，接线可靠</w:t>
            </w:r>
          </w:p>
        </w:tc>
      </w:tr>
      <w:tr w14:paraId="0DA67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7D3D001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29</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2815A53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层门锁紧元件啮合长度</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5C84A41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不小于7mm</w:t>
            </w:r>
          </w:p>
        </w:tc>
      </w:tr>
      <w:tr w14:paraId="073DF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1D11842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30</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5A46943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底坑环境</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0629D073">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清洁，无渗水、积水</w:t>
            </w:r>
            <w:r>
              <w:rPr>
                <w:rFonts w:hint="eastAsia" w:ascii="华文仿宋" w:hAnsi="华文仿宋" w:eastAsia="华文仿宋" w:cs="华文仿宋"/>
                <w:kern w:val="2"/>
                <w:sz w:val="28"/>
                <w:szCs w:val="28"/>
                <w:lang w:eastAsia="zh-CN"/>
              </w:rPr>
              <w:t>（若发现积水，立即采取措施抽取，确保基坑无积水）</w:t>
            </w:r>
            <w:r>
              <w:rPr>
                <w:rFonts w:hint="eastAsia" w:ascii="华文仿宋" w:hAnsi="华文仿宋" w:eastAsia="华文仿宋" w:cs="华文仿宋"/>
                <w:kern w:val="2"/>
                <w:sz w:val="28"/>
                <w:szCs w:val="28"/>
              </w:rPr>
              <w:t>；照明正常</w:t>
            </w:r>
          </w:p>
        </w:tc>
      </w:tr>
      <w:tr w14:paraId="65534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15F2D0C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31</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04468AC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底坑停止装置</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23AB723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5A35B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615" w:type="dxa"/>
            <w:tcBorders>
              <w:top w:val="single" w:color="auto" w:sz="4" w:space="0"/>
              <w:left w:val="single" w:color="auto" w:sz="4" w:space="0"/>
              <w:bottom w:val="single" w:color="auto" w:sz="4" w:space="0"/>
              <w:right w:val="single" w:color="auto" w:sz="4" w:space="0"/>
            </w:tcBorders>
            <w:noWrap w:val="0"/>
            <w:vAlign w:val="center"/>
          </w:tcPr>
          <w:p w14:paraId="615FE31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32</w:t>
            </w:r>
          </w:p>
        </w:tc>
        <w:tc>
          <w:tcPr>
            <w:tcW w:w="4183" w:type="dxa"/>
            <w:tcBorders>
              <w:top w:val="single" w:color="auto" w:sz="4" w:space="0"/>
              <w:left w:val="single" w:color="auto" w:sz="4" w:space="0"/>
              <w:bottom w:val="single" w:color="auto" w:sz="4" w:space="0"/>
              <w:right w:val="single" w:color="auto" w:sz="4" w:space="0"/>
            </w:tcBorders>
            <w:noWrap w:val="0"/>
            <w:vAlign w:val="center"/>
          </w:tcPr>
          <w:p w14:paraId="57F01D3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其他</w:t>
            </w:r>
          </w:p>
        </w:tc>
        <w:tc>
          <w:tcPr>
            <w:tcW w:w="5053" w:type="dxa"/>
            <w:tcBorders>
              <w:top w:val="single" w:color="auto" w:sz="4" w:space="0"/>
              <w:left w:val="single" w:color="auto" w:sz="4" w:space="0"/>
              <w:bottom w:val="single" w:color="auto" w:sz="4" w:space="0"/>
              <w:right w:val="single" w:color="auto" w:sz="4" w:space="0"/>
            </w:tcBorders>
            <w:noWrap w:val="0"/>
            <w:vAlign w:val="center"/>
          </w:tcPr>
          <w:p w14:paraId="2AEDA77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除上述外其他服务</w:t>
            </w:r>
          </w:p>
        </w:tc>
      </w:tr>
    </w:tbl>
    <w:p w14:paraId="7C59A259">
      <w:pPr>
        <w:pStyle w:val="18"/>
        <w:suppressAutoHyphens/>
        <w:bidi w:val="0"/>
        <w:spacing w:line="500" w:lineRule="exact"/>
        <w:jc w:val="left"/>
        <w:rPr>
          <w:rFonts w:hint="eastAsia" w:ascii="华文仿宋" w:hAnsi="华文仿宋" w:eastAsia="华文仿宋" w:cs="华文仿宋"/>
          <w:kern w:val="2"/>
          <w:sz w:val="28"/>
          <w:szCs w:val="28"/>
        </w:rPr>
      </w:pPr>
    </w:p>
    <w:p w14:paraId="01FB1FA4">
      <w:pPr>
        <w:pStyle w:val="18"/>
        <w:suppressAutoHyphens/>
        <w:bidi w:val="0"/>
        <w:spacing w:line="500" w:lineRule="exact"/>
        <w:jc w:val="left"/>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 xml:space="preserve">  季度维保规定项目</w:t>
      </w:r>
    </w:p>
    <w:tbl>
      <w:tblPr>
        <w:tblStyle w:val="21"/>
        <w:tblpPr w:leftFromText="180" w:rightFromText="180" w:vertAnchor="text" w:horzAnchor="page" w:tblpXSpec="center" w:tblpY="848"/>
        <w:tblOverlap w:val="never"/>
        <w:tblW w:w="95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3381"/>
        <w:gridCol w:w="5311"/>
      </w:tblGrid>
      <w:tr w14:paraId="05A56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7"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7D33A69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序号</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7907C34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维保项目（内容）</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6FE265E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维保基本要求</w:t>
            </w:r>
          </w:p>
        </w:tc>
      </w:tr>
      <w:tr w14:paraId="568F2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0E55740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37DD5E2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减速机润滑油</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0E75946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油量适宜，除蜗杆伸出端外均无渗漏</w:t>
            </w:r>
          </w:p>
        </w:tc>
      </w:tr>
      <w:tr w14:paraId="6E514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2869245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6A88EA1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制动衬</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06C4E0B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清洁，磨损量不超过制造单位要求</w:t>
            </w:r>
          </w:p>
        </w:tc>
      </w:tr>
      <w:tr w14:paraId="72990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6B20666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3</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6722DE3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编码器</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54B1BC6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76027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3E25582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4</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445407F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选层器动静触点</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63466D8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清洁，无烧蚀</w:t>
            </w:r>
          </w:p>
        </w:tc>
      </w:tr>
      <w:tr w14:paraId="35F3B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33D2361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5</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55116E3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曳引轮槽、曳引装置</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0E03ABF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清洁、钢丝绳无严重油腻，张力均匀，符合制造单位要求</w:t>
            </w:r>
          </w:p>
        </w:tc>
      </w:tr>
      <w:tr w14:paraId="7FF2C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6766824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6</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2DC77B4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限速器轮槽、限速器钢丝绳</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5FDE33B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清洁、无严重油腻</w:t>
            </w:r>
          </w:p>
        </w:tc>
      </w:tr>
      <w:tr w14:paraId="69B19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196BF86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7</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031AA2B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靴衬、滚轮</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1130930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清洁，磨损量不超过制造单位要求</w:t>
            </w:r>
          </w:p>
        </w:tc>
      </w:tr>
      <w:tr w14:paraId="7E48B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4CBD604F">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8</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1B94108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验证轿门关闭的电气安全装置</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2BC50B1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36CBF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791BE65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9</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4D13DE73">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层门、轿门系统中传动钢丝绳、链条、传动带</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61C302B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按制造单位要求进行清洁、调整</w:t>
            </w:r>
          </w:p>
        </w:tc>
      </w:tr>
      <w:tr w14:paraId="167B2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344C783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10</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6AF5648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层门门导靴</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093C44F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磨损量不超过制造单位要求</w:t>
            </w:r>
          </w:p>
        </w:tc>
      </w:tr>
      <w:tr w14:paraId="0494E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118F214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11</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3B46FC2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消防开关</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5AEB031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工作正常，功能有效</w:t>
            </w:r>
          </w:p>
        </w:tc>
      </w:tr>
      <w:tr w14:paraId="5EC72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728378A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12</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3D97B36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耗能缓冲器</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25F9F67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电气安全装置功能有效，油量适宜，柱塞无锈蚀</w:t>
            </w:r>
          </w:p>
        </w:tc>
      </w:tr>
      <w:tr w14:paraId="27593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596799D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13</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0EF1EE4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限速器涨紧轮装置和电气安全装置</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5B59832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3AFF0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0C621CC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14</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6A857B5C">
            <w:pPr>
              <w:pStyle w:val="18"/>
              <w:suppressAutoHyphens/>
              <w:bidi w:val="0"/>
              <w:spacing w:line="500" w:lineRule="exact"/>
              <w:jc w:val="center"/>
              <w:rPr>
                <w:rFonts w:hint="eastAsia" w:ascii="华文仿宋" w:hAnsi="华文仿宋" w:eastAsia="华文仿宋" w:cs="华文仿宋"/>
                <w:kern w:val="2"/>
                <w:sz w:val="28"/>
                <w:szCs w:val="28"/>
                <w:lang w:val="en" w:eastAsia="zh-CN"/>
              </w:rPr>
            </w:pPr>
            <w:r>
              <w:rPr>
                <w:rFonts w:hint="eastAsia" w:ascii="华文仿宋" w:hAnsi="华文仿宋" w:eastAsia="华文仿宋" w:cs="华文仿宋"/>
                <w:kern w:val="2"/>
                <w:sz w:val="28"/>
                <w:szCs w:val="28"/>
                <w:lang w:val="en" w:eastAsia="zh-CN"/>
              </w:rPr>
              <w:t>封星验证</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1EA74A8D">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确保封星功能完整有效</w:t>
            </w:r>
          </w:p>
        </w:tc>
      </w:tr>
      <w:tr w14:paraId="4E546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7CAA7D45">
            <w:pPr>
              <w:pStyle w:val="18"/>
              <w:suppressAutoHyphens/>
              <w:bidi w:val="0"/>
              <w:spacing w:line="500" w:lineRule="exact"/>
              <w:jc w:val="center"/>
              <w:rPr>
                <w:rFonts w:hint="eastAsia" w:ascii="华文仿宋" w:hAnsi="华文仿宋" w:eastAsia="华文仿宋" w:cs="华文仿宋"/>
                <w:kern w:val="2"/>
                <w:sz w:val="28"/>
                <w:szCs w:val="28"/>
                <w:lang w:val="en"/>
              </w:rPr>
            </w:pPr>
            <w:r>
              <w:rPr>
                <w:rFonts w:hint="eastAsia" w:ascii="华文仿宋" w:hAnsi="华文仿宋" w:eastAsia="华文仿宋" w:cs="华文仿宋"/>
                <w:kern w:val="2"/>
                <w:sz w:val="28"/>
                <w:szCs w:val="28"/>
                <w:lang w:val="en"/>
              </w:rPr>
              <w:t>15</w:t>
            </w:r>
          </w:p>
        </w:tc>
        <w:tc>
          <w:tcPr>
            <w:tcW w:w="3381" w:type="dxa"/>
            <w:tcBorders>
              <w:top w:val="single" w:color="auto" w:sz="4" w:space="0"/>
              <w:left w:val="single" w:color="auto" w:sz="4" w:space="0"/>
              <w:bottom w:val="single" w:color="auto" w:sz="4" w:space="0"/>
              <w:right w:val="single" w:color="auto" w:sz="4" w:space="0"/>
            </w:tcBorders>
            <w:noWrap w:val="0"/>
            <w:vAlign w:val="center"/>
          </w:tcPr>
          <w:p w14:paraId="364C995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其他</w:t>
            </w:r>
          </w:p>
        </w:tc>
        <w:tc>
          <w:tcPr>
            <w:tcW w:w="5311" w:type="dxa"/>
            <w:tcBorders>
              <w:top w:val="single" w:color="auto" w:sz="4" w:space="0"/>
              <w:left w:val="single" w:color="auto" w:sz="4" w:space="0"/>
              <w:bottom w:val="single" w:color="auto" w:sz="4" w:space="0"/>
              <w:right w:val="single" w:color="auto" w:sz="4" w:space="0"/>
            </w:tcBorders>
            <w:noWrap w:val="0"/>
            <w:vAlign w:val="center"/>
          </w:tcPr>
          <w:p w14:paraId="6A2E2AF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除上述外其他服务</w:t>
            </w:r>
          </w:p>
        </w:tc>
      </w:tr>
    </w:tbl>
    <w:p w14:paraId="54B45EAD">
      <w:pPr>
        <w:pStyle w:val="18"/>
        <w:suppressAutoHyphens/>
        <w:bidi w:val="0"/>
        <w:spacing w:line="500" w:lineRule="exact"/>
        <w:rPr>
          <w:rFonts w:hint="eastAsia" w:ascii="华文仿宋" w:hAnsi="华文仿宋" w:eastAsia="华文仿宋" w:cs="华文仿宋"/>
          <w:kern w:val="2"/>
          <w:sz w:val="28"/>
          <w:szCs w:val="28"/>
        </w:rPr>
      </w:pPr>
    </w:p>
    <w:p w14:paraId="1BA736B1">
      <w:pPr>
        <w:pStyle w:val="18"/>
        <w:suppressAutoHyphens/>
        <w:bidi w:val="0"/>
        <w:spacing w:line="500" w:lineRule="exact"/>
        <w:jc w:val="left"/>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半年维保规定项目</w:t>
      </w:r>
    </w:p>
    <w:tbl>
      <w:tblPr>
        <w:tblStyle w:val="21"/>
        <w:tblpPr w:leftFromText="180" w:rightFromText="180" w:vertAnchor="text" w:horzAnchor="page" w:tblpX="1545" w:tblpY="848"/>
        <w:tblOverlap w:val="never"/>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363"/>
        <w:gridCol w:w="5222"/>
      </w:tblGrid>
      <w:tr w14:paraId="0787F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177F522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序号</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7DD80AA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维保项目（内容）</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4AAD18E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维保基本要求</w:t>
            </w:r>
          </w:p>
        </w:tc>
      </w:tr>
      <w:tr w14:paraId="25BF2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56EEEE1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299F290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电动机与减速机联轴器螺栓</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60A6144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连接无松动，弹性元件外观良好，无老化等现象</w:t>
            </w:r>
          </w:p>
        </w:tc>
      </w:tr>
      <w:tr w14:paraId="0F76F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644C5F2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1647D9FF">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驱动轮、导向轮轴承部</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00D74213">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无异常声,无振动,润滑良好</w:t>
            </w:r>
          </w:p>
        </w:tc>
      </w:tr>
      <w:tr w14:paraId="30B0A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32F6B17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3</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260810B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lang w:eastAsia="zh-CN"/>
              </w:rPr>
              <w:t>曳</w:t>
            </w:r>
            <w:r>
              <w:rPr>
                <w:rFonts w:hint="eastAsia" w:ascii="华文仿宋" w:hAnsi="华文仿宋" w:eastAsia="华文仿宋" w:cs="华文仿宋"/>
                <w:kern w:val="2"/>
                <w:sz w:val="28"/>
                <w:szCs w:val="28"/>
              </w:rPr>
              <w:t>引轮槽</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3BE8431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磨损量不超过制造单位要求</w:t>
            </w:r>
          </w:p>
        </w:tc>
      </w:tr>
      <w:tr w14:paraId="1072C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7CC14B2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4</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6B4852E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制动器动作状态监测装置</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2EAA917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工作正常,制动器动作可靠</w:t>
            </w:r>
          </w:p>
        </w:tc>
      </w:tr>
      <w:tr w14:paraId="00FB0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05346A7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5</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3343479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控制柜内各接线端子</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7223E52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各接线紧固，整齐，线号齐全清晰</w:t>
            </w:r>
          </w:p>
        </w:tc>
      </w:tr>
      <w:tr w14:paraId="7C246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3B43ACF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6</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704DDE1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控制柜各仪表</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4AFB606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显示正常</w:t>
            </w:r>
          </w:p>
        </w:tc>
      </w:tr>
      <w:tr w14:paraId="3E650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02A81FC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7</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054EF03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井道、对重、轿顶各反绳轮轴承部</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094AAD9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无异常声响,无振动,润滑良好</w:t>
            </w:r>
          </w:p>
        </w:tc>
      </w:tr>
      <w:tr w14:paraId="6A9B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5ADE27D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8</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3E59157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悬挂装置、补偿绳</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4541D30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磨损量、断丝数不超过要求</w:t>
            </w:r>
          </w:p>
        </w:tc>
      </w:tr>
      <w:tr w14:paraId="1035D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651FEB8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9</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4688CAE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绳头组合</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0F02125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螺母无松动</w:t>
            </w:r>
          </w:p>
        </w:tc>
      </w:tr>
      <w:tr w14:paraId="598EB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6E8D463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10</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256A9BF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限速器钢丝绳</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6874203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磨损量、断丝数不超过制造单位要求</w:t>
            </w:r>
          </w:p>
        </w:tc>
      </w:tr>
      <w:tr w14:paraId="1568A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1003C0C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11</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1A39920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层门、轿门门扇</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4960A103">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门扇各相关间隙符合标准值</w:t>
            </w:r>
          </w:p>
        </w:tc>
      </w:tr>
      <w:tr w14:paraId="7E0FB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1799854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12</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737F697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轿门开门限制装置</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76075C3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4B780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2D39D029">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rPr>
              <w:t>1</w:t>
            </w:r>
            <w:r>
              <w:rPr>
                <w:rFonts w:hint="eastAsia" w:ascii="华文仿宋" w:hAnsi="华文仿宋" w:eastAsia="华文仿宋" w:cs="华文仿宋"/>
                <w:kern w:val="2"/>
                <w:sz w:val="28"/>
                <w:szCs w:val="28"/>
                <w:lang w:val="en-US" w:eastAsia="zh-CN"/>
              </w:rPr>
              <w:t>3</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7CF6FD0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对重缓冲距离</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4880BEF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符合标准值</w:t>
            </w:r>
          </w:p>
        </w:tc>
      </w:tr>
      <w:tr w14:paraId="0BE46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2881B32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14</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4CA0E4B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补偿链（绳）与轿厢、对重接合处</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2223AF9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固定、无松动</w:t>
            </w:r>
          </w:p>
        </w:tc>
      </w:tr>
      <w:tr w14:paraId="07483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1C3863C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15</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07EA8D8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上下极限开关</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69BF431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129F2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14:paraId="2E9A6C9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16</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4FF87A9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其他</w:t>
            </w:r>
          </w:p>
        </w:tc>
        <w:tc>
          <w:tcPr>
            <w:tcW w:w="5222" w:type="dxa"/>
            <w:tcBorders>
              <w:top w:val="single" w:color="auto" w:sz="4" w:space="0"/>
              <w:left w:val="single" w:color="auto" w:sz="4" w:space="0"/>
              <w:bottom w:val="single" w:color="auto" w:sz="4" w:space="0"/>
              <w:right w:val="single" w:color="auto" w:sz="4" w:space="0"/>
            </w:tcBorders>
            <w:noWrap w:val="0"/>
            <w:vAlign w:val="center"/>
          </w:tcPr>
          <w:p w14:paraId="7A5A53EF">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除上述外其他服务</w:t>
            </w:r>
          </w:p>
        </w:tc>
      </w:tr>
    </w:tbl>
    <w:p w14:paraId="3B7FD1AA">
      <w:pPr>
        <w:pStyle w:val="18"/>
        <w:suppressAutoHyphens/>
        <w:bidi w:val="0"/>
        <w:spacing w:line="500" w:lineRule="exact"/>
        <w:jc w:val="left"/>
        <w:rPr>
          <w:rFonts w:hint="eastAsia" w:ascii="华文仿宋" w:hAnsi="华文仿宋" w:eastAsia="华文仿宋" w:cs="华文仿宋"/>
          <w:kern w:val="2"/>
          <w:sz w:val="28"/>
          <w:szCs w:val="28"/>
        </w:rPr>
      </w:pPr>
    </w:p>
    <w:p w14:paraId="08B26518">
      <w:pPr>
        <w:pStyle w:val="18"/>
        <w:suppressAutoHyphens/>
        <w:bidi w:val="0"/>
        <w:spacing w:line="500" w:lineRule="exact"/>
        <w:jc w:val="left"/>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 xml:space="preserve"> 年度维保规定项目</w:t>
      </w:r>
    </w:p>
    <w:p w14:paraId="57DB711B">
      <w:pPr>
        <w:pStyle w:val="18"/>
        <w:suppressAutoHyphens/>
        <w:bidi w:val="0"/>
        <w:spacing w:line="500" w:lineRule="exact"/>
        <w:jc w:val="left"/>
        <w:rPr>
          <w:rFonts w:hint="eastAsia" w:ascii="华文仿宋" w:hAnsi="华文仿宋" w:eastAsia="华文仿宋" w:cs="华文仿宋"/>
          <w:kern w:val="2"/>
          <w:sz w:val="28"/>
          <w:szCs w:val="28"/>
        </w:rPr>
      </w:pPr>
    </w:p>
    <w:tbl>
      <w:tblPr>
        <w:tblStyle w:val="21"/>
        <w:tblW w:w="96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5"/>
        <w:gridCol w:w="4047"/>
        <w:gridCol w:w="4953"/>
      </w:tblGrid>
      <w:tr w14:paraId="5198D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5C4B822F">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序号</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5DAD934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维保项目（内容）</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536B92A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维保基本要求</w:t>
            </w:r>
          </w:p>
        </w:tc>
      </w:tr>
      <w:tr w14:paraId="25A46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6770FCDF">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0F389E7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减速机润滑油</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318A051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按制造单位要求适时更换，保证油质符合要求</w:t>
            </w:r>
          </w:p>
        </w:tc>
      </w:tr>
      <w:tr w14:paraId="336C7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270B3D9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2</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1B40BFF3">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控制柜接触器，继电器触点</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1420DC4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接触良好</w:t>
            </w:r>
          </w:p>
        </w:tc>
      </w:tr>
      <w:tr w14:paraId="11C89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1AE2F24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3</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3627CD6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制动器铁芯（柱塞）</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5BCFC26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进行清洁、润滑、检查，磨损量不超过制造单位要求</w:t>
            </w:r>
          </w:p>
        </w:tc>
      </w:tr>
      <w:tr w14:paraId="0B66D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70D70BB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4</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77A709E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制动器制动能力</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1720EA6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符合制造单位要求，保持有足够的制动力，必要时轿厢装载125%Q制动试验</w:t>
            </w:r>
          </w:p>
        </w:tc>
      </w:tr>
      <w:tr w14:paraId="5160D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6EDAD26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5</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58D4A0A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导电回路绝缘性能测试</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6FF00B2F">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符合标准</w:t>
            </w:r>
          </w:p>
        </w:tc>
      </w:tr>
      <w:tr w14:paraId="0E39E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1E3A3773">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6</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6DA195E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限速器安全钳联动试验（使用年限≤15年，每2年进行一次限速器动作速度校验；使用年限＞15年，每年进行一次限速器动作速度校验）</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50245AB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40788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40E6B19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7</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592D9D4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上行超速保护装置动作试验</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747C69B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6F9C5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649E679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8</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3383F96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轿厢意外移动保护装置动作试验</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14493BB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工作正常</w:t>
            </w:r>
          </w:p>
        </w:tc>
      </w:tr>
      <w:tr w14:paraId="44797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7446082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9</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4554EF0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轿顶、轿厢架、轿门及期附件安装螺栓</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787BAA5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紧固</w:t>
            </w:r>
          </w:p>
        </w:tc>
      </w:tr>
      <w:tr w14:paraId="539C5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0555A60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10</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421DFC7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轿厢和对重/平衡重的导轨支架</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0C83FDC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固定，无松动</w:t>
            </w:r>
          </w:p>
        </w:tc>
      </w:tr>
      <w:tr w14:paraId="1E8A0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0B66772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11</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44D14BB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轿厢和对重/平衡重的导轨</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77FECEF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清洁，压板牢固</w:t>
            </w:r>
          </w:p>
        </w:tc>
      </w:tr>
      <w:tr w14:paraId="12938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5586E45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12</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54DA8A8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随行电缆</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0326DFD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无损伤</w:t>
            </w:r>
          </w:p>
        </w:tc>
      </w:tr>
      <w:tr w14:paraId="4A5BD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2C0D00B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13</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46114DD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层门装置和地坎</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2E451FC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无影响正常使用的变形，各安装螺栓紧固</w:t>
            </w:r>
          </w:p>
        </w:tc>
      </w:tr>
      <w:tr w14:paraId="672C5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7D4665F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14</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0D80AFD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轿厢称重装置</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164F6C6F">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准确有效</w:t>
            </w:r>
          </w:p>
        </w:tc>
      </w:tr>
      <w:tr w14:paraId="416FA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6AE8CAE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15</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45901AC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安全钳钳座</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47860A3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固定，无松动</w:t>
            </w:r>
          </w:p>
        </w:tc>
      </w:tr>
      <w:tr w14:paraId="4752D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2859F2B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16</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14B2083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轿底各安装螺栓</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7F4EC29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紧固</w:t>
            </w:r>
          </w:p>
        </w:tc>
      </w:tr>
      <w:tr w14:paraId="12F09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3655C56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17</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500568F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缓冲器</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684F0F1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固定，无松动</w:t>
            </w:r>
          </w:p>
        </w:tc>
      </w:tr>
      <w:tr w14:paraId="58CC5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45" w:type="dxa"/>
            <w:tcBorders>
              <w:top w:val="single" w:color="auto" w:sz="4" w:space="0"/>
              <w:left w:val="single" w:color="auto" w:sz="4" w:space="0"/>
              <w:bottom w:val="single" w:color="auto" w:sz="4" w:space="0"/>
              <w:right w:val="single" w:color="auto" w:sz="4" w:space="0"/>
            </w:tcBorders>
            <w:noWrap w:val="0"/>
            <w:vAlign w:val="center"/>
          </w:tcPr>
          <w:p w14:paraId="4DB5F59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18</w:t>
            </w:r>
          </w:p>
        </w:tc>
        <w:tc>
          <w:tcPr>
            <w:tcW w:w="4047" w:type="dxa"/>
            <w:tcBorders>
              <w:top w:val="single" w:color="auto" w:sz="4" w:space="0"/>
              <w:left w:val="single" w:color="auto" w:sz="4" w:space="0"/>
              <w:bottom w:val="single" w:color="auto" w:sz="4" w:space="0"/>
              <w:right w:val="single" w:color="auto" w:sz="4" w:space="0"/>
            </w:tcBorders>
            <w:noWrap w:val="0"/>
            <w:vAlign w:val="center"/>
          </w:tcPr>
          <w:p w14:paraId="7AF2401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其他</w:t>
            </w:r>
          </w:p>
        </w:tc>
        <w:tc>
          <w:tcPr>
            <w:tcW w:w="4953" w:type="dxa"/>
            <w:tcBorders>
              <w:top w:val="single" w:color="auto" w:sz="4" w:space="0"/>
              <w:left w:val="single" w:color="auto" w:sz="4" w:space="0"/>
              <w:bottom w:val="single" w:color="auto" w:sz="4" w:space="0"/>
              <w:right w:val="single" w:color="auto" w:sz="4" w:space="0"/>
            </w:tcBorders>
            <w:noWrap w:val="0"/>
            <w:vAlign w:val="center"/>
          </w:tcPr>
          <w:p w14:paraId="1D94916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除上述外其他服务</w:t>
            </w:r>
          </w:p>
        </w:tc>
      </w:tr>
    </w:tbl>
    <w:p w14:paraId="3237BFE9">
      <w:pPr>
        <w:keepNext w:val="0"/>
        <w:keepLines w:val="0"/>
        <w:pageBreakBefore w:val="0"/>
        <w:widowControl w:val="0"/>
        <w:numPr>
          <w:ilvl w:val="0"/>
          <w:numId w:val="0"/>
        </w:numPr>
        <w:suppressAutoHyphens/>
        <w:kinsoku/>
        <w:wordWrap/>
        <w:overflowPunct/>
        <w:topLinePunct w:val="0"/>
        <w:autoSpaceDE/>
        <w:autoSpaceDN/>
        <w:bidi w:val="0"/>
        <w:adjustRightInd/>
        <w:snapToGrid/>
        <w:spacing w:line="540" w:lineRule="atLeast"/>
        <w:ind w:firstLine="566" w:firstLineChars="200"/>
        <w:textAlignment w:val="auto"/>
        <w:rPr>
          <w:rFonts w:hint="eastAsia" w:ascii="华文仿宋" w:hAnsi="华文仿宋" w:eastAsia="华文仿宋" w:cs="华文仿宋"/>
          <w:b w:val="0"/>
          <w:color w:val="auto"/>
          <w:kern w:val="2"/>
          <w:sz w:val="28"/>
          <w:szCs w:val="28"/>
          <w:lang w:val="en-US" w:eastAsia="zh-CN" w:bidi="ar-SA"/>
        </w:rPr>
      </w:pPr>
      <w:r>
        <w:rPr>
          <w:rFonts w:hint="eastAsia" w:ascii="华文仿宋" w:hAnsi="华文仿宋" w:eastAsia="华文仿宋" w:cs="华文仿宋"/>
          <w:b w:val="0"/>
          <w:color w:val="auto"/>
          <w:kern w:val="2"/>
          <w:sz w:val="28"/>
          <w:szCs w:val="28"/>
          <w:lang w:val="en-US" w:eastAsia="zh-CN" w:bidi="ar-SA"/>
        </w:rPr>
        <w:t>2.电梯大中修：必须根据《电梯制造与安装安全规范》（GB 7588-2003），《电梯维护保养规则》（TSG T5002—2017），《电梯监督检验和定期检验规则》（TSG T7001-2023），《电梯自行检测规则》（TSG T7008-2023），《特种设备使用管理规则》（TSG 08—2026）等最新规范标准和电梯生产厂商标准规范实施维修保养及大中型维修。</w:t>
      </w:r>
    </w:p>
    <w:p w14:paraId="12E96931">
      <w:pPr>
        <w:pStyle w:val="2"/>
        <w:suppressAutoHyphens/>
        <w:bidi w:val="0"/>
        <w:jc w:val="left"/>
        <w:rPr>
          <w:rFonts w:hint="eastAsia" w:ascii="华文仿宋" w:hAnsi="华文仿宋" w:eastAsia="华文仿宋" w:cs="华文仿宋"/>
          <w:b w:val="0"/>
          <w:bCs w:val="0"/>
          <w:kern w:val="2"/>
          <w:sz w:val="28"/>
          <w:szCs w:val="28"/>
          <w:lang w:val="en-US" w:eastAsia="zh-CN" w:bidi="ar-SA"/>
        </w:rPr>
      </w:pPr>
      <w:r>
        <w:rPr>
          <w:rFonts w:hint="eastAsia" w:ascii="华文仿宋" w:hAnsi="华文仿宋" w:eastAsia="华文仿宋" w:cs="华文仿宋"/>
          <w:b w:val="0"/>
          <w:bCs w:val="0"/>
          <w:kern w:val="2"/>
          <w:sz w:val="28"/>
          <w:szCs w:val="28"/>
          <w:lang w:val="en-US" w:eastAsia="zh-CN" w:bidi="ar-SA"/>
        </w:rPr>
        <w:t>附表2   电梯大修及配件标准</w:t>
      </w:r>
    </w:p>
    <w:tbl>
      <w:tblPr>
        <w:tblStyle w:val="22"/>
        <w:tblW w:w="86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4"/>
        <w:gridCol w:w="2389"/>
        <w:gridCol w:w="930"/>
        <w:gridCol w:w="2376"/>
        <w:gridCol w:w="1005"/>
      </w:tblGrid>
      <w:tr w14:paraId="02BC8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jc w:val="center"/>
        </w:trPr>
        <w:tc>
          <w:tcPr>
            <w:tcW w:w="1964" w:type="dxa"/>
            <w:noWrap w:val="0"/>
            <w:vAlign w:val="center"/>
          </w:tcPr>
          <w:p w14:paraId="066B6E1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名 称</w:t>
            </w:r>
          </w:p>
        </w:tc>
        <w:tc>
          <w:tcPr>
            <w:tcW w:w="2389" w:type="dxa"/>
            <w:noWrap w:val="0"/>
            <w:vAlign w:val="center"/>
          </w:tcPr>
          <w:p w14:paraId="3331B68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标准磨损量或故障率</w:t>
            </w:r>
          </w:p>
        </w:tc>
        <w:tc>
          <w:tcPr>
            <w:tcW w:w="930" w:type="dxa"/>
            <w:noWrap w:val="0"/>
            <w:vAlign w:val="center"/>
          </w:tcPr>
          <w:p w14:paraId="5F8840C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规格</w:t>
            </w:r>
          </w:p>
        </w:tc>
        <w:tc>
          <w:tcPr>
            <w:tcW w:w="2376" w:type="dxa"/>
            <w:noWrap w:val="0"/>
            <w:vAlign w:val="center"/>
          </w:tcPr>
          <w:p w14:paraId="04655E8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lang w:eastAsia="zh-CN"/>
              </w:rPr>
              <w:t>建议</w:t>
            </w:r>
            <w:r>
              <w:rPr>
                <w:rFonts w:hint="eastAsia" w:ascii="华文仿宋" w:hAnsi="华文仿宋" w:eastAsia="华文仿宋" w:cs="华文仿宋"/>
                <w:kern w:val="2"/>
                <w:sz w:val="28"/>
                <w:szCs w:val="28"/>
              </w:rPr>
              <w:t>更换周期</w:t>
            </w:r>
          </w:p>
        </w:tc>
        <w:tc>
          <w:tcPr>
            <w:tcW w:w="1005" w:type="dxa"/>
            <w:noWrap w:val="0"/>
            <w:vAlign w:val="center"/>
          </w:tcPr>
          <w:p w14:paraId="3B6A886F">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备注</w:t>
            </w:r>
          </w:p>
        </w:tc>
      </w:tr>
      <w:tr w14:paraId="57DA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1964" w:type="dxa"/>
            <w:noWrap w:val="0"/>
            <w:vAlign w:val="center"/>
          </w:tcPr>
          <w:p w14:paraId="4477373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主板（</w:t>
            </w:r>
            <w:r>
              <w:rPr>
                <w:rFonts w:hint="eastAsia" w:ascii="华文仿宋" w:hAnsi="华文仿宋" w:eastAsia="华文仿宋" w:cs="华文仿宋"/>
                <w:kern w:val="2"/>
                <w:sz w:val="28"/>
                <w:szCs w:val="28"/>
                <w:lang w:eastAsia="zh-CN"/>
              </w:rPr>
              <w:t>原厂配件</w:t>
            </w:r>
            <w:r>
              <w:rPr>
                <w:rFonts w:hint="eastAsia" w:ascii="华文仿宋" w:hAnsi="华文仿宋" w:eastAsia="华文仿宋" w:cs="华文仿宋"/>
                <w:kern w:val="2"/>
                <w:sz w:val="28"/>
                <w:szCs w:val="28"/>
              </w:rPr>
              <w:t>）</w:t>
            </w:r>
          </w:p>
        </w:tc>
        <w:tc>
          <w:tcPr>
            <w:tcW w:w="2389" w:type="dxa"/>
            <w:noWrap w:val="0"/>
            <w:vAlign w:val="center"/>
          </w:tcPr>
          <w:p w14:paraId="07B5659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 xml:space="preserve">运行稳定 </w:t>
            </w:r>
          </w:p>
        </w:tc>
        <w:tc>
          <w:tcPr>
            <w:tcW w:w="930" w:type="dxa"/>
            <w:noWrap w:val="0"/>
            <w:vAlign w:val="center"/>
          </w:tcPr>
          <w:p w14:paraId="0194A807">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块</w:t>
            </w:r>
          </w:p>
        </w:tc>
        <w:tc>
          <w:tcPr>
            <w:tcW w:w="2376" w:type="dxa"/>
            <w:noWrap w:val="0"/>
            <w:vAlign w:val="center"/>
          </w:tcPr>
          <w:p w14:paraId="1E69E94A">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无法正常使用</w:t>
            </w:r>
          </w:p>
        </w:tc>
        <w:tc>
          <w:tcPr>
            <w:tcW w:w="1005" w:type="dxa"/>
            <w:noWrap w:val="0"/>
            <w:vAlign w:val="center"/>
          </w:tcPr>
          <w:p w14:paraId="125ED65D">
            <w:pPr>
              <w:pStyle w:val="18"/>
              <w:suppressAutoHyphens/>
              <w:bidi w:val="0"/>
              <w:spacing w:line="500" w:lineRule="exact"/>
              <w:jc w:val="center"/>
              <w:rPr>
                <w:rFonts w:hint="eastAsia" w:ascii="华文仿宋" w:hAnsi="华文仿宋" w:eastAsia="华文仿宋" w:cs="华文仿宋"/>
                <w:kern w:val="2"/>
                <w:sz w:val="28"/>
                <w:szCs w:val="28"/>
              </w:rPr>
            </w:pPr>
          </w:p>
        </w:tc>
      </w:tr>
      <w:tr w14:paraId="25956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964" w:type="dxa"/>
            <w:noWrap w:val="0"/>
            <w:vAlign w:val="center"/>
          </w:tcPr>
          <w:p w14:paraId="403E7D5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松闸装置（</w:t>
            </w:r>
            <w:r>
              <w:rPr>
                <w:rFonts w:hint="eastAsia" w:ascii="华文仿宋" w:hAnsi="华文仿宋" w:eastAsia="华文仿宋" w:cs="华文仿宋"/>
                <w:kern w:val="2"/>
                <w:sz w:val="28"/>
                <w:szCs w:val="28"/>
                <w:lang w:eastAsia="zh-CN"/>
              </w:rPr>
              <w:t>电池</w:t>
            </w:r>
            <w:r>
              <w:rPr>
                <w:rFonts w:hint="eastAsia" w:ascii="华文仿宋" w:hAnsi="华文仿宋" w:eastAsia="华文仿宋" w:cs="华文仿宋"/>
                <w:kern w:val="2"/>
                <w:sz w:val="28"/>
                <w:szCs w:val="28"/>
              </w:rPr>
              <w:t>）</w:t>
            </w:r>
          </w:p>
        </w:tc>
        <w:tc>
          <w:tcPr>
            <w:tcW w:w="2389" w:type="dxa"/>
            <w:noWrap w:val="0"/>
            <w:vAlign w:val="center"/>
          </w:tcPr>
          <w:p w14:paraId="61E51B40">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馈电无法启动</w:t>
            </w:r>
          </w:p>
        </w:tc>
        <w:tc>
          <w:tcPr>
            <w:tcW w:w="930" w:type="dxa"/>
            <w:noWrap w:val="0"/>
            <w:vAlign w:val="center"/>
          </w:tcPr>
          <w:p w14:paraId="5C23B53F">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块</w:t>
            </w:r>
          </w:p>
        </w:tc>
        <w:tc>
          <w:tcPr>
            <w:tcW w:w="2376" w:type="dxa"/>
            <w:noWrap w:val="0"/>
            <w:vAlign w:val="center"/>
          </w:tcPr>
          <w:p w14:paraId="014F46DE">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rPr>
              <w:t>三年/60万次</w:t>
            </w:r>
            <w:r>
              <w:rPr>
                <w:rFonts w:hint="eastAsia" w:ascii="华文仿宋" w:hAnsi="华文仿宋" w:eastAsia="华文仿宋" w:cs="华文仿宋"/>
                <w:kern w:val="2"/>
                <w:sz w:val="28"/>
                <w:szCs w:val="28"/>
                <w:lang w:eastAsia="zh-CN"/>
              </w:rPr>
              <w:t>试验</w:t>
            </w:r>
          </w:p>
        </w:tc>
        <w:tc>
          <w:tcPr>
            <w:tcW w:w="1005" w:type="dxa"/>
            <w:noWrap w:val="0"/>
            <w:vAlign w:val="center"/>
          </w:tcPr>
          <w:p w14:paraId="2B4CAB93">
            <w:pPr>
              <w:pStyle w:val="18"/>
              <w:suppressAutoHyphens/>
              <w:bidi w:val="0"/>
              <w:spacing w:line="500" w:lineRule="exact"/>
              <w:jc w:val="center"/>
              <w:rPr>
                <w:rFonts w:hint="eastAsia" w:ascii="华文仿宋" w:hAnsi="华文仿宋" w:eastAsia="华文仿宋" w:cs="华文仿宋"/>
                <w:kern w:val="2"/>
                <w:sz w:val="28"/>
                <w:szCs w:val="28"/>
              </w:rPr>
            </w:pPr>
          </w:p>
        </w:tc>
      </w:tr>
      <w:tr w14:paraId="1B120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1964" w:type="dxa"/>
            <w:noWrap w:val="0"/>
            <w:vAlign w:val="center"/>
          </w:tcPr>
          <w:p w14:paraId="6827EE2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40接触器</w:t>
            </w:r>
          </w:p>
        </w:tc>
        <w:tc>
          <w:tcPr>
            <w:tcW w:w="2389" w:type="dxa"/>
            <w:noWrap w:val="0"/>
            <w:vAlign w:val="center"/>
          </w:tcPr>
          <w:p w14:paraId="2C943E5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接触面</w:t>
            </w:r>
            <w:r>
              <w:rPr>
                <w:rFonts w:hint="eastAsia" w:ascii="华文仿宋" w:hAnsi="华文仿宋" w:eastAsia="华文仿宋" w:cs="华文仿宋"/>
                <w:kern w:val="2"/>
                <w:sz w:val="28"/>
                <w:szCs w:val="28"/>
                <w:lang w:val="en-US" w:eastAsia="zh-CN"/>
              </w:rPr>
              <w:t>&lt;</w:t>
            </w:r>
            <w:r>
              <w:rPr>
                <w:rFonts w:hint="eastAsia" w:ascii="华文仿宋" w:hAnsi="华文仿宋" w:eastAsia="华文仿宋" w:cs="华文仿宋"/>
                <w:kern w:val="2"/>
                <w:sz w:val="28"/>
                <w:szCs w:val="28"/>
              </w:rPr>
              <w:t>80%</w:t>
            </w:r>
          </w:p>
        </w:tc>
        <w:tc>
          <w:tcPr>
            <w:tcW w:w="930" w:type="dxa"/>
            <w:noWrap w:val="0"/>
            <w:vAlign w:val="center"/>
          </w:tcPr>
          <w:p w14:paraId="27189953">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0B2F010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w:t>
            </w:r>
            <w:r>
              <w:rPr>
                <w:rFonts w:hint="eastAsia" w:ascii="华文仿宋" w:hAnsi="华文仿宋" w:eastAsia="华文仿宋" w:cs="华文仿宋"/>
                <w:kern w:val="2"/>
                <w:sz w:val="28"/>
                <w:szCs w:val="28"/>
                <w:lang w:val="en-US" w:eastAsia="zh-CN"/>
              </w:rPr>
              <w:t>00-150</w:t>
            </w:r>
            <w:r>
              <w:rPr>
                <w:rFonts w:hint="eastAsia" w:ascii="华文仿宋" w:hAnsi="华文仿宋" w:eastAsia="华文仿宋" w:cs="华文仿宋"/>
                <w:kern w:val="2"/>
                <w:sz w:val="28"/>
                <w:szCs w:val="28"/>
              </w:rPr>
              <w:t>万次</w:t>
            </w:r>
          </w:p>
        </w:tc>
        <w:tc>
          <w:tcPr>
            <w:tcW w:w="1005" w:type="dxa"/>
            <w:noWrap w:val="0"/>
            <w:vAlign w:val="center"/>
          </w:tcPr>
          <w:p w14:paraId="605BB1B7">
            <w:pPr>
              <w:pStyle w:val="18"/>
              <w:suppressAutoHyphens/>
              <w:bidi w:val="0"/>
              <w:spacing w:line="500" w:lineRule="exact"/>
              <w:jc w:val="center"/>
              <w:rPr>
                <w:rFonts w:hint="eastAsia" w:ascii="华文仿宋" w:hAnsi="华文仿宋" w:eastAsia="华文仿宋" w:cs="华文仿宋"/>
                <w:kern w:val="2"/>
                <w:sz w:val="28"/>
                <w:szCs w:val="28"/>
              </w:rPr>
            </w:pPr>
          </w:p>
        </w:tc>
      </w:tr>
      <w:tr w14:paraId="59B90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1964" w:type="dxa"/>
            <w:noWrap w:val="0"/>
            <w:vAlign w:val="center"/>
          </w:tcPr>
          <w:p w14:paraId="05B1338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32接触器</w:t>
            </w:r>
          </w:p>
        </w:tc>
        <w:tc>
          <w:tcPr>
            <w:tcW w:w="2389" w:type="dxa"/>
            <w:noWrap w:val="0"/>
            <w:vAlign w:val="center"/>
          </w:tcPr>
          <w:p w14:paraId="28A1F50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接触面</w:t>
            </w:r>
            <w:r>
              <w:rPr>
                <w:rFonts w:hint="eastAsia" w:ascii="华文仿宋" w:hAnsi="华文仿宋" w:eastAsia="华文仿宋" w:cs="华文仿宋"/>
                <w:kern w:val="2"/>
                <w:sz w:val="28"/>
                <w:szCs w:val="28"/>
                <w:lang w:val="en-US" w:eastAsia="zh-CN"/>
              </w:rPr>
              <w:t>&lt;</w:t>
            </w:r>
            <w:r>
              <w:rPr>
                <w:rFonts w:hint="eastAsia" w:ascii="华文仿宋" w:hAnsi="华文仿宋" w:eastAsia="华文仿宋" w:cs="华文仿宋"/>
                <w:kern w:val="2"/>
                <w:sz w:val="28"/>
                <w:szCs w:val="28"/>
              </w:rPr>
              <w:t>80%</w:t>
            </w:r>
          </w:p>
        </w:tc>
        <w:tc>
          <w:tcPr>
            <w:tcW w:w="930" w:type="dxa"/>
            <w:noWrap w:val="0"/>
            <w:vAlign w:val="center"/>
          </w:tcPr>
          <w:p w14:paraId="5311811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75076F0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1</w:t>
            </w:r>
            <w:r>
              <w:rPr>
                <w:rFonts w:hint="eastAsia" w:ascii="华文仿宋" w:hAnsi="华文仿宋" w:eastAsia="华文仿宋" w:cs="华文仿宋"/>
                <w:kern w:val="2"/>
                <w:sz w:val="28"/>
                <w:szCs w:val="28"/>
                <w:lang w:val="en-US" w:eastAsia="zh-CN"/>
              </w:rPr>
              <w:t>00-150</w:t>
            </w:r>
            <w:r>
              <w:rPr>
                <w:rFonts w:hint="eastAsia" w:ascii="华文仿宋" w:hAnsi="华文仿宋" w:eastAsia="华文仿宋" w:cs="华文仿宋"/>
                <w:kern w:val="2"/>
                <w:sz w:val="28"/>
                <w:szCs w:val="28"/>
              </w:rPr>
              <w:t>万次</w:t>
            </w:r>
          </w:p>
        </w:tc>
        <w:tc>
          <w:tcPr>
            <w:tcW w:w="1005" w:type="dxa"/>
            <w:noWrap w:val="0"/>
            <w:vAlign w:val="center"/>
          </w:tcPr>
          <w:p w14:paraId="2EB2AA48">
            <w:pPr>
              <w:pStyle w:val="18"/>
              <w:suppressAutoHyphens/>
              <w:bidi w:val="0"/>
              <w:spacing w:line="500" w:lineRule="exact"/>
              <w:jc w:val="center"/>
              <w:rPr>
                <w:rFonts w:hint="eastAsia" w:ascii="华文仿宋" w:hAnsi="华文仿宋" w:eastAsia="华文仿宋" w:cs="华文仿宋"/>
                <w:kern w:val="2"/>
                <w:sz w:val="28"/>
                <w:szCs w:val="28"/>
              </w:rPr>
            </w:pPr>
          </w:p>
        </w:tc>
      </w:tr>
      <w:tr w14:paraId="6F689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964" w:type="dxa"/>
            <w:noWrap w:val="0"/>
            <w:vAlign w:val="center"/>
          </w:tcPr>
          <w:p w14:paraId="4C4CB782">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rPr>
              <w:t>轿门门锁</w:t>
            </w:r>
            <w:r>
              <w:rPr>
                <w:rFonts w:hint="eastAsia" w:ascii="华文仿宋" w:hAnsi="华文仿宋" w:eastAsia="华文仿宋" w:cs="华文仿宋"/>
                <w:kern w:val="2"/>
                <w:sz w:val="28"/>
                <w:szCs w:val="28"/>
                <w:lang w:eastAsia="zh-CN"/>
              </w:rPr>
              <w:t>触点</w:t>
            </w:r>
          </w:p>
        </w:tc>
        <w:tc>
          <w:tcPr>
            <w:tcW w:w="2389" w:type="dxa"/>
            <w:noWrap w:val="0"/>
            <w:vAlign w:val="center"/>
          </w:tcPr>
          <w:p w14:paraId="4F3082E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接触面</w:t>
            </w:r>
            <w:r>
              <w:rPr>
                <w:rFonts w:hint="eastAsia" w:ascii="华文仿宋" w:hAnsi="华文仿宋" w:eastAsia="华文仿宋" w:cs="华文仿宋"/>
                <w:kern w:val="2"/>
                <w:sz w:val="28"/>
                <w:szCs w:val="28"/>
                <w:lang w:val="en-US" w:eastAsia="zh-CN"/>
              </w:rPr>
              <w:t>&lt;9</w:t>
            </w:r>
            <w:r>
              <w:rPr>
                <w:rFonts w:hint="eastAsia" w:ascii="华文仿宋" w:hAnsi="华文仿宋" w:eastAsia="华文仿宋" w:cs="华文仿宋"/>
                <w:kern w:val="2"/>
                <w:sz w:val="28"/>
                <w:szCs w:val="28"/>
              </w:rPr>
              <w:t>0%</w:t>
            </w:r>
          </w:p>
        </w:tc>
        <w:tc>
          <w:tcPr>
            <w:tcW w:w="930" w:type="dxa"/>
            <w:noWrap w:val="0"/>
            <w:vAlign w:val="center"/>
          </w:tcPr>
          <w:p w14:paraId="6205E9B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套</w:t>
            </w:r>
          </w:p>
        </w:tc>
        <w:tc>
          <w:tcPr>
            <w:tcW w:w="2376" w:type="dxa"/>
            <w:noWrap w:val="0"/>
            <w:vAlign w:val="center"/>
          </w:tcPr>
          <w:p w14:paraId="475A64DA">
            <w:pPr>
              <w:pStyle w:val="18"/>
              <w:suppressAutoHyphens/>
              <w:bidi w:val="0"/>
              <w:spacing w:line="500" w:lineRule="exact"/>
              <w:jc w:val="center"/>
              <w:rPr>
                <w:rFonts w:hint="eastAsia" w:ascii="华文仿宋" w:hAnsi="华文仿宋" w:eastAsia="华文仿宋" w:cs="华文仿宋"/>
                <w:kern w:val="2"/>
                <w:sz w:val="28"/>
                <w:szCs w:val="28"/>
                <w:lang w:val="en-US" w:eastAsia="zh-CN"/>
              </w:rPr>
            </w:pPr>
            <w:r>
              <w:rPr>
                <w:rFonts w:hint="eastAsia" w:ascii="华文仿宋" w:hAnsi="华文仿宋" w:eastAsia="华文仿宋" w:cs="华文仿宋"/>
                <w:kern w:val="2"/>
                <w:sz w:val="28"/>
                <w:szCs w:val="28"/>
                <w:lang w:eastAsia="zh-CN"/>
              </w:rPr>
              <w:t>磨损</w:t>
            </w:r>
            <w:r>
              <w:rPr>
                <w:rFonts w:hint="eastAsia" w:ascii="华文仿宋" w:hAnsi="华文仿宋" w:eastAsia="华文仿宋" w:cs="华文仿宋"/>
                <w:kern w:val="2"/>
                <w:sz w:val="28"/>
                <w:szCs w:val="28"/>
                <w:lang w:val="en-US" w:eastAsia="zh-CN"/>
              </w:rPr>
              <w:t>&gt;2mm</w:t>
            </w:r>
          </w:p>
        </w:tc>
        <w:tc>
          <w:tcPr>
            <w:tcW w:w="1005" w:type="dxa"/>
            <w:noWrap w:val="0"/>
            <w:vAlign w:val="center"/>
          </w:tcPr>
          <w:p w14:paraId="415F9F1A">
            <w:pPr>
              <w:pStyle w:val="18"/>
              <w:suppressAutoHyphens/>
              <w:bidi w:val="0"/>
              <w:spacing w:line="500" w:lineRule="exact"/>
              <w:jc w:val="center"/>
              <w:rPr>
                <w:rFonts w:hint="eastAsia" w:ascii="华文仿宋" w:hAnsi="华文仿宋" w:eastAsia="华文仿宋" w:cs="华文仿宋"/>
                <w:kern w:val="2"/>
                <w:sz w:val="28"/>
                <w:szCs w:val="28"/>
              </w:rPr>
            </w:pPr>
          </w:p>
        </w:tc>
      </w:tr>
      <w:tr w14:paraId="0AD42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jc w:val="center"/>
        </w:trPr>
        <w:tc>
          <w:tcPr>
            <w:tcW w:w="1964" w:type="dxa"/>
            <w:noWrap w:val="0"/>
            <w:vAlign w:val="center"/>
          </w:tcPr>
          <w:p w14:paraId="5468D1F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抱闸检测开关</w:t>
            </w:r>
          </w:p>
          <w:p w14:paraId="34E9F62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w:t>
            </w:r>
            <w:r>
              <w:rPr>
                <w:rFonts w:hint="eastAsia" w:ascii="华文仿宋" w:hAnsi="华文仿宋" w:eastAsia="华文仿宋" w:cs="华文仿宋"/>
                <w:kern w:val="2"/>
                <w:sz w:val="28"/>
                <w:szCs w:val="28"/>
                <w:lang w:eastAsia="zh-CN"/>
              </w:rPr>
              <w:t>原厂配件</w:t>
            </w:r>
            <w:r>
              <w:rPr>
                <w:rFonts w:hint="eastAsia" w:ascii="华文仿宋" w:hAnsi="华文仿宋" w:eastAsia="华文仿宋" w:cs="华文仿宋"/>
                <w:kern w:val="2"/>
                <w:sz w:val="28"/>
                <w:szCs w:val="28"/>
              </w:rPr>
              <w:t>）</w:t>
            </w:r>
          </w:p>
        </w:tc>
        <w:tc>
          <w:tcPr>
            <w:tcW w:w="2389" w:type="dxa"/>
            <w:noWrap w:val="0"/>
            <w:vAlign w:val="center"/>
          </w:tcPr>
          <w:p w14:paraId="22886E8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动作同步</w:t>
            </w:r>
          </w:p>
        </w:tc>
        <w:tc>
          <w:tcPr>
            <w:tcW w:w="930" w:type="dxa"/>
            <w:noWrap w:val="0"/>
            <w:vAlign w:val="center"/>
          </w:tcPr>
          <w:p w14:paraId="12E708A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4FBC0E3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lang w:eastAsia="zh-CN"/>
              </w:rPr>
              <w:t>五</w:t>
            </w:r>
            <w:r>
              <w:rPr>
                <w:rFonts w:hint="eastAsia" w:ascii="华文仿宋" w:hAnsi="华文仿宋" w:eastAsia="华文仿宋" w:cs="华文仿宋"/>
                <w:kern w:val="2"/>
                <w:sz w:val="28"/>
                <w:szCs w:val="28"/>
              </w:rPr>
              <w:t>年/</w:t>
            </w:r>
            <w:r>
              <w:rPr>
                <w:rFonts w:hint="eastAsia" w:ascii="华文仿宋" w:hAnsi="华文仿宋" w:eastAsia="华文仿宋" w:cs="华文仿宋"/>
                <w:kern w:val="2"/>
                <w:sz w:val="28"/>
                <w:szCs w:val="28"/>
                <w:lang w:val="en-US" w:eastAsia="zh-CN"/>
              </w:rPr>
              <w:t>200</w:t>
            </w:r>
            <w:r>
              <w:rPr>
                <w:rFonts w:hint="eastAsia" w:ascii="华文仿宋" w:hAnsi="华文仿宋" w:eastAsia="华文仿宋" w:cs="华文仿宋"/>
                <w:kern w:val="2"/>
                <w:sz w:val="28"/>
                <w:szCs w:val="28"/>
              </w:rPr>
              <w:t>万次</w:t>
            </w:r>
          </w:p>
        </w:tc>
        <w:tc>
          <w:tcPr>
            <w:tcW w:w="1005" w:type="dxa"/>
            <w:noWrap w:val="0"/>
            <w:vAlign w:val="center"/>
          </w:tcPr>
          <w:p w14:paraId="1848588B">
            <w:pPr>
              <w:pStyle w:val="18"/>
              <w:suppressAutoHyphens/>
              <w:bidi w:val="0"/>
              <w:spacing w:line="500" w:lineRule="exact"/>
              <w:jc w:val="center"/>
              <w:rPr>
                <w:rFonts w:hint="eastAsia" w:ascii="华文仿宋" w:hAnsi="华文仿宋" w:eastAsia="华文仿宋" w:cs="华文仿宋"/>
                <w:kern w:val="2"/>
                <w:sz w:val="28"/>
                <w:szCs w:val="28"/>
              </w:rPr>
            </w:pPr>
          </w:p>
        </w:tc>
      </w:tr>
      <w:tr w14:paraId="7BB69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jc w:val="center"/>
        </w:trPr>
        <w:tc>
          <w:tcPr>
            <w:tcW w:w="1964" w:type="dxa"/>
            <w:noWrap w:val="0"/>
            <w:vAlign w:val="center"/>
          </w:tcPr>
          <w:p w14:paraId="6EF77B8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光幕</w:t>
            </w:r>
          </w:p>
        </w:tc>
        <w:tc>
          <w:tcPr>
            <w:tcW w:w="2389" w:type="dxa"/>
            <w:noWrap w:val="0"/>
            <w:vAlign w:val="center"/>
          </w:tcPr>
          <w:p w14:paraId="5231613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动作可靠灵敏</w:t>
            </w:r>
          </w:p>
        </w:tc>
        <w:tc>
          <w:tcPr>
            <w:tcW w:w="930" w:type="dxa"/>
            <w:noWrap w:val="0"/>
            <w:vAlign w:val="center"/>
          </w:tcPr>
          <w:p w14:paraId="1F827051">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套</w:t>
            </w:r>
          </w:p>
        </w:tc>
        <w:tc>
          <w:tcPr>
            <w:tcW w:w="2376" w:type="dxa"/>
            <w:noWrap w:val="0"/>
            <w:vAlign w:val="center"/>
          </w:tcPr>
          <w:p w14:paraId="683FC194">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无法正常使用</w:t>
            </w:r>
          </w:p>
        </w:tc>
        <w:tc>
          <w:tcPr>
            <w:tcW w:w="1005" w:type="dxa"/>
            <w:noWrap w:val="0"/>
            <w:vAlign w:val="center"/>
          </w:tcPr>
          <w:p w14:paraId="69568FA1">
            <w:pPr>
              <w:pStyle w:val="18"/>
              <w:suppressAutoHyphens/>
              <w:bidi w:val="0"/>
              <w:spacing w:line="500" w:lineRule="exact"/>
              <w:jc w:val="center"/>
              <w:rPr>
                <w:rFonts w:hint="eastAsia" w:ascii="华文仿宋" w:hAnsi="华文仿宋" w:eastAsia="华文仿宋" w:cs="华文仿宋"/>
                <w:kern w:val="2"/>
                <w:sz w:val="28"/>
                <w:szCs w:val="28"/>
              </w:rPr>
            </w:pPr>
          </w:p>
        </w:tc>
      </w:tr>
      <w:tr w14:paraId="65662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9" w:hRule="atLeast"/>
          <w:jc w:val="center"/>
        </w:trPr>
        <w:tc>
          <w:tcPr>
            <w:tcW w:w="1964" w:type="dxa"/>
            <w:noWrap w:val="0"/>
            <w:vAlign w:val="center"/>
          </w:tcPr>
          <w:p w14:paraId="783F087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变频器</w:t>
            </w:r>
          </w:p>
        </w:tc>
        <w:tc>
          <w:tcPr>
            <w:tcW w:w="2389" w:type="dxa"/>
            <w:noWrap w:val="0"/>
            <w:vAlign w:val="center"/>
          </w:tcPr>
          <w:p w14:paraId="221315C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 xml:space="preserve">运行稳定 </w:t>
            </w:r>
          </w:p>
        </w:tc>
        <w:tc>
          <w:tcPr>
            <w:tcW w:w="930" w:type="dxa"/>
            <w:noWrap w:val="0"/>
            <w:vAlign w:val="center"/>
          </w:tcPr>
          <w:p w14:paraId="79A6BB76">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件</w:t>
            </w:r>
          </w:p>
        </w:tc>
        <w:tc>
          <w:tcPr>
            <w:tcW w:w="2376" w:type="dxa"/>
            <w:noWrap w:val="0"/>
            <w:vAlign w:val="center"/>
          </w:tcPr>
          <w:p w14:paraId="6DC92BC1">
            <w:pPr>
              <w:pStyle w:val="18"/>
              <w:suppressAutoHyphens/>
              <w:bidi w:val="0"/>
              <w:spacing w:line="500" w:lineRule="exact"/>
              <w:jc w:val="both"/>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无法正常使用时以厂家检测结果为准</w:t>
            </w:r>
          </w:p>
        </w:tc>
        <w:tc>
          <w:tcPr>
            <w:tcW w:w="1005" w:type="dxa"/>
            <w:noWrap w:val="0"/>
            <w:vAlign w:val="center"/>
          </w:tcPr>
          <w:p w14:paraId="3D6F30B3">
            <w:pPr>
              <w:pStyle w:val="18"/>
              <w:suppressAutoHyphens/>
              <w:bidi w:val="0"/>
              <w:spacing w:line="500" w:lineRule="exact"/>
              <w:jc w:val="center"/>
              <w:rPr>
                <w:rFonts w:hint="eastAsia" w:ascii="华文仿宋" w:hAnsi="华文仿宋" w:eastAsia="华文仿宋" w:cs="华文仿宋"/>
                <w:kern w:val="2"/>
                <w:sz w:val="28"/>
                <w:szCs w:val="28"/>
              </w:rPr>
            </w:pPr>
          </w:p>
        </w:tc>
      </w:tr>
      <w:tr w14:paraId="6E1C2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964" w:type="dxa"/>
            <w:noWrap w:val="0"/>
            <w:vAlign w:val="center"/>
          </w:tcPr>
          <w:p w14:paraId="0DD53837">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rPr>
              <w:t>厅门门锁</w:t>
            </w:r>
            <w:r>
              <w:rPr>
                <w:rFonts w:hint="eastAsia" w:ascii="华文仿宋" w:hAnsi="华文仿宋" w:eastAsia="华文仿宋" w:cs="华文仿宋"/>
                <w:kern w:val="2"/>
                <w:sz w:val="28"/>
                <w:szCs w:val="28"/>
                <w:lang w:eastAsia="zh-CN"/>
              </w:rPr>
              <w:t>触点</w:t>
            </w:r>
          </w:p>
        </w:tc>
        <w:tc>
          <w:tcPr>
            <w:tcW w:w="2389" w:type="dxa"/>
            <w:noWrap w:val="0"/>
            <w:vAlign w:val="center"/>
          </w:tcPr>
          <w:p w14:paraId="3F86082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接触面＞</w:t>
            </w:r>
            <w:r>
              <w:rPr>
                <w:rFonts w:hint="eastAsia" w:ascii="华文仿宋" w:hAnsi="华文仿宋" w:eastAsia="华文仿宋" w:cs="华文仿宋"/>
                <w:kern w:val="2"/>
                <w:sz w:val="28"/>
                <w:szCs w:val="28"/>
                <w:lang w:val="en-US" w:eastAsia="zh-CN"/>
              </w:rPr>
              <w:t>9</w:t>
            </w:r>
            <w:r>
              <w:rPr>
                <w:rFonts w:hint="eastAsia" w:ascii="华文仿宋" w:hAnsi="华文仿宋" w:eastAsia="华文仿宋" w:cs="华文仿宋"/>
                <w:kern w:val="2"/>
                <w:sz w:val="28"/>
                <w:szCs w:val="28"/>
              </w:rPr>
              <w:t>0%</w:t>
            </w:r>
          </w:p>
        </w:tc>
        <w:tc>
          <w:tcPr>
            <w:tcW w:w="930" w:type="dxa"/>
            <w:noWrap w:val="0"/>
            <w:vAlign w:val="center"/>
          </w:tcPr>
          <w:p w14:paraId="4867015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套</w:t>
            </w:r>
          </w:p>
        </w:tc>
        <w:tc>
          <w:tcPr>
            <w:tcW w:w="2376" w:type="dxa"/>
            <w:noWrap w:val="0"/>
            <w:vAlign w:val="center"/>
          </w:tcPr>
          <w:p w14:paraId="5C2D27C1">
            <w:pPr>
              <w:pStyle w:val="18"/>
              <w:suppressAutoHyphens/>
              <w:bidi w:val="0"/>
              <w:spacing w:line="500" w:lineRule="exact"/>
              <w:jc w:val="center"/>
              <w:rPr>
                <w:rFonts w:hint="eastAsia" w:ascii="华文仿宋" w:hAnsi="华文仿宋" w:eastAsia="华文仿宋" w:cs="华文仿宋"/>
                <w:kern w:val="2"/>
                <w:sz w:val="28"/>
                <w:szCs w:val="28"/>
                <w:lang w:val="en-US" w:eastAsia="zh-CN"/>
              </w:rPr>
            </w:pPr>
            <w:r>
              <w:rPr>
                <w:rFonts w:hint="eastAsia" w:ascii="华文仿宋" w:hAnsi="华文仿宋" w:eastAsia="华文仿宋" w:cs="华文仿宋"/>
                <w:kern w:val="2"/>
                <w:sz w:val="28"/>
                <w:szCs w:val="28"/>
                <w:lang w:eastAsia="zh-CN"/>
              </w:rPr>
              <w:t>磨损</w:t>
            </w:r>
            <w:r>
              <w:rPr>
                <w:rFonts w:hint="eastAsia" w:ascii="华文仿宋" w:hAnsi="华文仿宋" w:eastAsia="华文仿宋" w:cs="华文仿宋"/>
                <w:kern w:val="2"/>
                <w:sz w:val="28"/>
                <w:szCs w:val="28"/>
                <w:lang w:val="en-US" w:eastAsia="zh-CN"/>
              </w:rPr>
              <w:t>&gt;2mm</w:t>
            </w:r>
          </w:p>
        </w:tc>
        <w:tc>
          <w:tcPr>
            <w:tcW w:w="1005" w:type="dxa"/>
            <w:noWrap w:val="0"/>
            <w:vAlign w:val="center"/>
          </w:tcPr>
          <w:p w14:paraId="6F0F4A5E">
            <w:pPr>
              <w:pStyle w:val="18"/>
              <w:suppressAutoHyphens/>
              <w:bidi w:val="0"/>
              <w:spacing w:line="500" w:lineRule="exact"/>
              <w:jc w:val="center"/>
              <w:rPr>
                <w:rFonts w:hint="eastAsia" w:ascii="华文仿宋" w:hAnsi="华文仿宋" w:eastAsia="华文仿宋" w:cs="华文仿宋"/>
                <w:kern w:val="2"/>
                <w:sz w:val="28"/>
                <w:szCs w:val="28"/>
              </w:rPr>
            </w:pPr>
          </w:p>
        </w:tc>
      </w:tr>
      <w:tr w14:paraId="73470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964" w:type="dxa"/>
            <w:noWrap w:val="0"/>
            <w:vAlign w:val="center"/>
          </w:tcPr>
          <w:p w14:paraId="70528C7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齿形皮带轮</w:t>
            </w:r>
          </w:p>
        </w:tc>
        <w:tc>
          <w:tcPr>
            <w:tcW w:w="2389" w:type="dxa"/>
            <w:noWrap w:val="0"/>
            <w:vAlign w:val="center"/>
          </w:tcPr>
          <w:p w14:paraId="748338E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深度＞90%</w:t>
            </w:r>
          </w:p>
        </w:tc>
        <w:tc>
          <w:tcPr>
            <w:tcW w:w="930" w:type="dxa"/>
            <w:noWrap w:val="0"/>
            <w:vAlign w:val="center"/>
          </w:tcPr>
          <w:p w14:paraId="2D53D92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套</w:t>
            </w:r>
          </w:p>
        </w:tc>
        <w:tc>
          <w:tcPr>
            <w:tcW w:w="2376" w:type="dxa"/>
            <w:noWrap w:val="0"/>
            <w:vAlign w:val="center"/>
          </w:tcPr>
          <w:p w14:paraId="3B4F77D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60万次</w:t>
            </w:r>
          </w:p>
        </w:tc>
        <w:tc>
          <w:tcPr>
            <w:tcW w:w="1005" w:type="dxa"/>
            <w:noWrap w:val="0"/>
            <w:vAlign w:val="center"/>
          </w:tcPr>
          <w:p w14:paraId="51508CCE">
            <w:pPr>
              <w:pStyle w:val="18"/>
              <w:suppressAutoHyphens/>
              <w:bidi w:val="0"/>
              <w:spacing w:line="500" w:lineRule="exact"/>
              <w:jc w:val="center"/>
              <w:rPr>
                <w:rFonts w:hint="eastAsia" w:ascii="华文仿宋" w:hAnsi="华文仿宋" w:eastAsia="华文仿宋" w:cs="华文仿宋"/>
                <w:kern w:val="2"/>
                <w:sz w:val="28"/>
                <w:szCs w:val="28"/>
              </w:rPr>
            </w:pPr>
          </w:p>
        </w:tc>
      </w:tr>
      <w:tr w14:paraId="03DEE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1964" w:type="dxa"/>
            <w:noWrap w:val="0"/>
            <w:vAlign w:val="center"/>
          </w:tcPr>
          <w:p w14:paraId="17309C53">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曳引绳</w:t>
            </w:r>
          </w:p>
        </w:tc>
        <w:tc>
          <w:tcPr>
            <w:tcW w:w="2389" w:type="dxa"/>
            <w:noWrap w:val="0"/>
            <w:vAlign w:val="center"/>
          </w:tcPr>
          <w:p w14:paraId="6AC4FA45">
            <w:pPr>
              <w:pStyle w:val="18"/>
              <w:suppressAutoHyphens/>
              <w:bidi w:val="0"/>
              <w:spacing w:line="500" w:lineRule="exact"/>
              <w:jc w:val="center"/>
              <w:rPr>
                <w:rFonts w:hint="eastAsia" w:ascii="华文仿宋" w:hAnsi="华文仿宋" w:eastAsia="华文仿宋" w:cs="华文仿宋"/>
                <w:kern w:val="2"/>
                <w:sz w:val="28"/>
                <w:szCs w:val="28"/>
                <w:lang w:val="en-US" w:eastAsia="zh-CN"/>
              </w:rPr>
            </w:pPr>
            <w:r>
              <w:rPr>
                <w:rFonts w:hint="eastAsia" w:ascii="华文仿宋" w:hAnsi="华文仿宋" w:eastAsia="华文仿宋" w:cs="华文仿宋"/>
                <w:kern w:val="2"/>
                <w:sz w:val="28"/>
                <w:szCs w:val="28"/>
              </w:rPr>
              <w:t>磨损</w:t>
            </w:r>
            <w:r>
              <w:rPr>
                <w:rFonts w:hint="eastAsia" w:ascii="华文仿宋" w:hAnsi="华文仿宋" w:eastAsia="华文仿宋" w:cs="华文仿宋"/>
                <w:kern w:val="2"/>
                <w:sz w:val="28"/>
                <w:szCs w:val="28"/>
                <w:lang w:val="en-US" w:eastAsia="zh-CN"/>
              </w:rPr>
              <w:t>&gt;</w:t>
            </w:r>
            <w:r>
              <w:rPr>
                <w:rFonts w:hint="eastAsia" w:ascii="华文仿宋" w:hAnsi="华文仿宋" w:eastAsia="华文仿宋" w:cs="华文仿宋"/>
                <w:kern w:val="2"/>
                <w:sz w:val="28"/>
                <w:szCs w:val="28"/>
              </w:rPr>
              <w:t>1</w:t>
            </w:r>
            <w:r>
              <w:rPr>
                <w:rFonts w:hint="eastAsia" w:ascii="华文仿宋" w:hAnsi="华文仿宋" w:eastAsia="华文仿宋" w:cs="华文仿宋"/>
                <w:kern w:val="2"/>
                <w:sz w:val="28"/>
                <w:szCs w:val="28"/>
                <w:lang w:val="en-US" w:eastAsia="zh-CN"/>
              </w:rPr>
              <w:t>0%</w:t>
            </w:r>
          </w:p>
        </w:tc>
        <w:tc>
          <w:tcPr>
            <w:tcW w:w="930" w:type="dxa"/>
            <w:noWrap w:val="0"/>
            <w:vAlign w:val="center"/>
          </w:tcPr>
          <w:p w14:paraId="6C91033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米</w:t>
            </w:r>
          </w:p>
        </w:tc>
        <w:tc>
          <w:tcPr>
            <w:tcW w:w="2376" w:type="dxa"/>
            <w:noWrap w:val="0"/>
            <w:vAlign w:val="center"/>
          </w:tcPr>
          <w:p w14:paraId="65CE103A">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出现断丝、断股</w:t>
            </w:r>
          </w:p>
        </w:tc>
        <w:tc>
          <w:tcPr>
            <w:tcW w:w="1005" w:type="dxa"/>
            <w:noWrap w:val="0"/>
            <w:vAlign w:val="center"/>
          </w:tcPr>
          <w:p w14:paraId="14375859">
            <w:pPr>
              <w:pStyle w:val="18"/>
              <w:suppressAutoHyphens/>
              <w:bidi w:val="0"/>
              <w:spacing w:line="500" w:lineRule="exact"/>
              <w:jc w:val="center"/>
              <w:rPr>
                <w:rFonts w:hint="eastAsia" w:ascii="华文仿宋" w:hAnsi="华文仿宋" w:eastAsia="华文仿宋" w:cs="华文仿宋"/>
                <w:kern w:val="2"/>
                <w:sz w:val="28"/>
                <w:szCs w:val="28"/>
              </w:rPr>
            </w:pPr>
          </w:p>
        </w:tc>
      </w:tr>
      <w:tr w14:paraId="65A44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jc w:val="center"/>
        </w:trPr>
        <w:tc>
          <w:tcPr>
            <w:tcW w:w="1964" w:type="dxa"/>
            <w:noWrap w:val="0"/>
            <w:vAlign w:val="center"/>
          </w:tcPr>
          <w:p w14:paraId="2CF4030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限速器</w:t>
            </w:r>
          </w:p>
        </w:tc>
        <w:tc>
          <w:tcPr>
            <w:tcW w:w="2389" w:type="dxa"/>
            <w:noWrap w:val="0"/>
            <w:vAlign w:val="center"/>
          </w:tcPr>
          <w:p w14:paraId="6D17A996">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速度正常、动作灵活</w:t>
            </w:r>
          </w:p>
        </w:tc>
        <w:tc>
          <w:tcPr>
            <w:tcW w:w="930" w:type="dxa"/>
            <w:noWrap w:val="0"/>
            <w:vAlign w:val="center"/>
          </w:tcPr>
          <w:p w14:paraId="6608597A">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件</w:t>
            </w:r>
          </w:p>
        </w:tc>
        <w:tc>
          <w:tcPr>
            <w:tcW w:w="2376" w:type="dxa"/>
            <w:noWrap w:val="0"/>
            <w:vAlign w:val="center"/>
          </w:tcPr>
          <w:p w14:paraId="6ED63558">
            <w:pPr>
              <w:pStyle w:val="18"/>
              <w:suppressAutoHyphens/>
              <w:bidi w:val="0"/>
              <w:spacing w:line="500" w:lineRule="exact"/>
              <w:jc w:val="center"/>
              <w:rPr>
                <w:rFonts w:hint="eastAsia" w:ascii="华文仿宋" w:hAnsi="华文仿宋" w:eastAsia="华文仿宋" w:cs="华文仿宋"/>
                <w:kern w:val="2"/>
                <w:sz w:val="28"/>
                <w:szCs w:val="28"/>
                <w:lang w:val="en-US" w:eastAsia="zh-CN"/>
              </w:rPr>
            </w:pPr>
            <w:r>
              <w:rPr>
                <w:rFonts w:hint="eastAsia" w:ascii="华文仿宋" w:hAnsi="华文仿宋" w:eastAsia="华文仿宋" w:cs="华文仿宋"/>
                <w:kern w:val="2"/>
                <w:sz w:val="28"/>
                <w:szCs w:val="28"/>
                <w:lang w:val="en-US" w:eastAsia="zh-CN"/>
              </w:rPr>
              <w:t>每2年进行一次速度校验，大于15年时每年进行一次校验，若发现不符合国标要求时更换</w:t>
            </w:r>
          </w:p>
        </w:tc>
        <w:tc>
          <w:tcPr>
            <w:tcW w:w="1005" w:type="dxa"/>
            <w:noWrap w:val="0"/>
            <w:vAlign w:val="center"/>
          </w:tcPr>
          <w:p w14:paraId="14F73FB1">
            <w:pPr>
              <w:pStyle w:val="18"/>
              <w:suppressAutoHyphens/>
              <w:bidi w:val="0"/>
              <w:spacing w:line="500" w:lineRule="exact"/>
              <w:jc w:val="center"/>
              <w:rPr>
                <w:rFonts w:hint="eastAsia" w:ascii="华文仿宋" w:hAnsi="华文仿宋" w:eastAsia="华文仿宋" w:cs="华文仿宋"/>
                <w:kern w:val="2"/>
                <w:sz w:val="28"/>
                <w:szCs w:val="28"/>
              </w:rPr>
            </w:pPr>
          </w:p>
        </w:tc>
      </w:tr>
      <w:tr w14:paraId="2E8A4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964" w:type="dxa"/>
            <w:noWrap w:val="0"/>
            <w:vAlign w:val="center"/>
          </w:tcPr>
          <w:p w14:paraId="040AC94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lang w:eastAsia="zh-CN"/>
              </w:rPr>
              <w:t>聚氨酯</w:t>
            </w:r>
            <w:r>
              <w:rPr>
                <w:rFonts w:hint="eastAsia" w:ascii="华文仿宋" w:hAnsi="华文仿宋" w:eastAsia="华文仿宋" w:cs="华文仿宋"/>
                <w:kern w:val="2"/>
                <w:sz w:val="28"/>
                <w:szCs w:val="28"/>
              </w:rPr>
              <w:t>缓冲器</w:t>
            </w:r>
          </w:p>
        </w:tc>
        <w:tc>
          <w:tcPr>
            <w:tcW w:w="2389" w:type="dxa"/>
            <w:noWrap w:val="0"/>
            <w:vAlign w:val="center"/>
          </w:tcPr>
          <w:p w14:paraId="6D228730">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动作灵活</w:t>
            </w:r>
          </w:p>
        </w:tc>
        <w:tc>
          <w:tcPr>
            <w:tcW w:w="930" w:type="dxa"/>
            <w:noWrap w:val="0"/>
            <w:vAlign w:val="center"/>
          </w:tcPr>
          <w:p w14:paraId="7743F3A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米</w:t>
            </w:r>
          </w:p>
        </w:tc>
        <w:tc>
          <w:tcPr>
            <w:tcW w:w="2376" w:type="dxa"/>
            <w:noWrap w:val="0"/>
            <w:vAlign w:val="center"/>
          </w:tcPr>
          <w:p w14:paraId="7234364D">
            <w:pPr>
              <w:pStyle w:val="18"/>
              <w:suppressAutoHyphens/>
              <w:bidi w:val="0"/>
              <w:spacing w:line="500" w:lineRule="exact"/>
              <w:ind w:firstLine="849" w:firstLineChars="300"/>
              <w:jc w:val="both"/>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每使用五年</w:t>
            </w:r>
          </w:p>
        </w:tc>
        <w:tc>
          <w:tcPr>
            <w:tcW w:w="1005" w:type="dxa"/>
            <w:noWrap w:val="0"/>
            <w:vAlign w:val="center"/>
          </w:tcPr>
          <w:p w14:paraId="1270CF02">
            <w:pPr>
              <w:pStyle w:val="18"/>
              <w:suppressAutoHyphens/>
              <w:bidi w:val="0"/>
              <w:spacing w:line="500" w:lineRule="exact"/>
              <w:jc w:val="center"/>
              <w:rPr>
                <w:rFonts w:hint="eastAsia" w:ascii="华文仿宋" w:hAnsi="华文仿宋" w:eastAsia="华文仿宋" w:cs="华文仿宋"/>
                <w:kern w:val="2"/>
                <w:sz w:val="28"/>
                <w:szCs w:val="28"/>
              </w:rPr>
            </w:pPr>
          </w:p>
        </w:tc>
      </w:tr>
      <w:tr w14:paraId="4C2D6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964" w:type="dxa"/>
            <w:noWrap w:val="0"/>
            <w:vAlign w:val="center"/>
          </w:tcPr>
          <w:p w14:paraId="4F3CA71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应急电源</w:t>
            </w:r>
          </w:p>
        </w:tc>
        <w:tc>
          <w:tcPr>
            <w:tcW w:w="2389" w:type="dxa"/>
            <w:noWrap w:val="0"/>
            <w:vAlign w:val="center"/>
          </w:tcPr>
          <w:p w14:paraId="632FD1F5">
            <w:pPr>
              <w:pStyle w:val="18"/>
              <w:suppressAutoHyphens/>
              <w:bidi w:val="0"/>
              <w:spacing w:line="500" w:lineRule="exact"/>
              <w:jc w:val="center"/>
              <w:rPr>
                <w:rFonts w:hint="eastAsia" w:ascii="华文仿宋" w:hAnsi="华文仿宋" w:eastAsia="华文仿宋" w:cs="华文仿宋"/>
                <w:kern w:val="2"/>
                <w:sz w:val="28"/>
                <w:szCs w:val="28"/>
                <w:lang w:val="en-US" w:eastAsia="zh-CN"/>
              </w:rPr>
            </w:pPr>
            <w:r>
              <w:rPr>
                <w:rFonts w:hint="eastAsia" w:ascii="华文仿宋" w:hAnsi="华文仿宋" w:eastAsia="华文仿宋" w:cs="华文仿宋"/>
                <w:kern w:val="2"/>
                <w:sz w:val="28"/>
                <w:szCs w:val="28"/>
                <w:lang w:val="en-US" w:eastAsia="zh-CN"/>
              </w:rPr>
              <w:t>动作正常</w:t>
            </w:r>
          </w:p>
        </w:tc>
        <w:tc>
          <w:tcPr>
            <w:tcW w:w="930" w:type="dxa"/>
            <w:noWrap w:val="0"/>
            <w:vAlign w:val="center"/>
          </w:tcPr>
          <w:p w14:paraId="11BE3FC8">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块</w:t>
            </w:r>
          </w:p>
        </w:tc>
        <w:tc>
          <w:tcPr>
            <w:tcW w:w="2376" w:type="dxa"/>
            <w:noWrap w:val="0"/>
            <w:vAlign w:val="center"/>
          </w:tcPr>
          <w:p w14:paraId="7D12848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lang w:eastAsia="zh-CN"/>
              </w:rPr>
              <w:t>不低于</w:t>
            </w:r>
            <w:r>
              <w:rPr>
                <w:rFonts w:hint="eastAsia" w:ascii="华文仿宋" w:hAnsi="华文仿宋" w:eastAsia="华文仿宋" w:cs="华文仿宋"/>
                <w:kern w:val="2"/>
                <w:sz w:val="28"/>
                <w:szCs w:val="28"/>
                <w:lang w:val="en-US" w:eastAsia="zh-CN"/>
              </w:rPr>
              <w:t>60分钟</w:t>
            </w:r>
          </w:p>
        </w:tc>
        <w:tc>
          <w:tcPr>
            <w:tcW w:w="1005" w:type="dxa"/>
            <w:noWrap w:val="0"/>
            <w:vAlign w:val="center"/>
          </w:tcPr>
          <w:p w14:paraId="1A8252C5">
            <w:pPr>
              <w:pStyle w:val="18"/>
              <w:suppressAutoHyphens/>
              <w:bidi w:val="0"/>
              <w:spacing w:line="500" w:lineRule="exact"/>
              <w:jc w:val="center"/>
              <w:rPr>
                <w:rFonts w:hint="eastAsia" w:ascii="华文仿宋" w:hAnsi="华文仿宋" w:eastAsia="华文仿宋" w:cs="华文仿宋"/>
                <w:kern w:val="2"/>
                <w:sz w:val="28"/>
                <w:szCs w:val="28"/>
              </w:rPr>
            </w:pPr>
          </w:p>
        </w:tc>
      </w:tr>
      <w:tr w14:paraId="65F9A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964" w:type="dxa"/>
            <w:noWrap w:val="0"/>
            <w:vAlign w:val="center"/>
          </w:tcPr>
          <w:p w14:paraId="50BF597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主板电源盒</w:t>
            </w:r>
          </w:p>
        </w:tc>
        <w:tc>
          <w:tcPr>
            <w:tcW w:w="2389" w:type="dxa"/>
            <w:noWrap w:val="0"/>
            <w:vAlign w:val="center"/>
          </w:tcPr>
          <w:p w14:paraId="4C868E0B">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运行正常</w:t>
            </w:r>
          </w:p>
        </w:tc>
        <w:tc>
          <w:tcPr>
            <w:tcW w:w="930" w:type="dxa"/>
            <w:noWrap w:val="0"/>
            <w:vAlign w:val="center"/>
          </w:tcPr>
          <w:p w14:paraId="56E8F6AD">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块</w:t>
            </w:r>
          </w:p>
        </w:tc>
        <w:tc>
          <w:tcPr>
            <w:tcW w:w="2376" w:type="dxa"/>
            <w:noWrap w:val="0"/>
            <w:vAlign w:val="center"/>
          </w:tcPr>
          <w:p w14:paraId="37494FCD">
            <w:pPr>
              <w:pStyle w:val="18"/>
              <w:suppressAutoHyphens/>
              <w:bidi w:val="0"/>
              <w:spacing w:line="500" w:lineRule="exact"/>
              <w:jc w:val="center"/>
              <w:rPr>
                <w:rFonts w:hint="eastAsia" w:ascii="华文仿宋" w:hAnsi="华文仿宋" w:eastAsia="华文仿宋" w:cs="华文仿宋"/>
                <w:kern w:val="2"/>
                <w:sz w:val="28"/>
                <w:szCs w:val="28"/>
                <w:lang w:val="en-US" w:eastAsia="zh-CN"/>
              </w:rPr>
            </w:pPr>
            <w:r>
              <w:rPr>
                <w:rFonts w:hint="eastAsia" w:ascii="华文仿宋" w:hAnsi="华文仿宋" w:eastAsia="华文仿宋" w:cs="华文仿宋"/>
                <w:kern w:val="2"/>
                <w:sz w:val="28"/>
                <w:szCs w:val="28"/>
                <w:lang w:eastAsia="zh-CN"/>
              </w:rPr>
              <w:t>电压波动不大于</w:t>
            </w:r>
            <w:r>
              <w:rPr>
                <w:rFonts w:hint="eastAsia" w:ascii="华文仿宋" w:hAnsi="华文仿宋" w:eastAsia="华文仿宋" w:cs="华文仿宋"/>
                <w:kern w:val="2"/>
                <w:sz w:val="28"/>
                <w:szCs w:val="28"/>
                <w:lang w:val="en-US" w:eastAsia="zh-CN"/>
              </w:rPr>
              <w:t>7%</w:t>
            </w:r>
          </w:p>
        </w:tc>
        <w:tc>
          <w:tcPr>
            <w:tcW w:w="1005" w:type="dxa"/>
            <w:noWrap w:val="0"/>
            <w:vAlign w:val="center"/>
          </w:tcPr>
          <w:p w14:paraId="6C51866A">
            <w:pPr>
              <w:pStyle w:val="18"/>
              <w:suppressAutoHyphens/>
              <w:bidi w:val="0"/>
              <w:spacing w:line="500" w:lineRule="exact"/>
              <w:jc w:val="center"/>
              <w:rPr>
                <w:rFonts w:hint="eastAsia" w:ascii="华文仿宋" w:hAnsi="华文仿宋" w:eastAsia="华文仿宋" w:cs="华文仿宋"/>
                <w:kern w:val="2"/>
                <w:sz w:val="28"/>
                <w:szCs w:val="28"/>
              </w:rPr>
            </w:pPr>
          </w:p>
        </w:tc>
      </w:tr>
      <w:tr w14:paraId="57847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jc w:val="center"/>
        </w:trPr>
        <w:tc>
          <w:tcPr>
            <w:tcW w:w="1964" w:type="dxa"/>
            <w:noWrap w:val="0"/>
            <w:vAlign w:val="center"/>
          </w:tcPr>
          <w:p w14:paraId="2C6CFBB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称重</w:t>
            </w:r>
          </w:p>
        </w:tc>
        <w:tc>
          <w:tcPr>
            <w:tcW w:w="2389" w:type="dxa"/>
            <w:noWrap w:val="0"/>
            <w:vAlign w:val="center"/>
          </w:tcPr>
          <w:p w14:paraId="46B6B0B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动作可靠</w:t>
            </w:r>
          </w:p>
        </w:tc>
        <w:tc>
          <w:tcPr>
            <w:tcW w:w="930" w:type="dxa"/>
            <w:noWrap w:val="0"/>
            <w:vAlign w:val="center"/>
          </w:tcPr>
          <w:p w14:paraId="78220D3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3A4A9CD4">
            <w:pPr>
              <w:pStyle w:val="18"/>
              <w:suppressAutoHyphens/>
              <w:bidi w:val="0"/>
              <w:spacing w:line="500" w:lineRule="exact"/>
              <w:jc w:val="both"/>
              <w:rPr>
                <w:rFonts w:hint="eastAsia" w:ascii="华文仿宋" w:hAnsi="华文仿宋" w:eastAsia="华文仿宋" w:cs="华文仿宋"/>
                <w:kern w:val="2"/>
                <w:sz w:val="28"/>
                <w:szCs w:val="28"/>
                <w:lang w:val="en-US" w:eastAsia="zh-CN"/>
              </w:rPr>
            </w:pPr>
            <w:r>
              <w:rPr>
                <w:rFonts w:hint="eastAsia" w:ascii="华文仿宋" w:hAnsi="华文仿宋" w:eastAsia="华文仿宋" w:cs="华文仿宋"/>
                <w:kern w:val="2"/>
                <w:sz w:val="28"/>
                <w:szCs w:val="28"/>
                <w:lang w:val="en-US" w:eastAsia="zh-CN"/>
              </w:rPr>
              <w:t>根据现场实际使用情况检测结果判定</w:t>
            </w:r>
          </w:p>
        </w:tc>
        <w:tc>
          <w:tcPr>
            <w:tcW w:w="1005" w:type="dxa"/>
            <w:noWrap w:val="0"/>
            <w:vAlign w:val="center"/>
          </w:tcPr>
          <w:p w14:paraId="716FB5A7">
            <w:pPr>
              <w:pStyle w:val="18"/>
              <w:suppressAutoHyphens/>
              <w:bidi w:val="0"/>
              <w:spacing w:line="500" w:lineRule="exact"/>
              <w:jc w:val="center"/>
              <w:rPr>
                <w:rFonts w:hint="eastAsia" w:ascii="华文仿宋" w:hAnsi="华文仿宋" w:eastAsia="华文仿宋" w:cs="华文仿宋"/>
                <w:kern w:val="2"/>
                <w:sz w:val="28"/>
                <w:szCs w:val="28"/>
              </w:rPr>
            </w:pPr>
          </w:p>
        </w:tc>
      </w:tr>
      <w:tr w14:paraId="1064C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964" w:type="dxa"/>
            <w:noWrap w:val="0"/>
            <w:vAlign w:val="center"/>
          </w:tcPr>
          <w:p w14:paraId="6024E6D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称重传感器</w:t>
            </w:r>
          </w:p>
        </w:tc>
        <w:tc>
          <w:tcPr>
            <w:tcW w:w="2389" w:type="dxa"/>
            <w:noWrap w:val="0"/>
            <w:vAlign w:val="center"/>
          </w:tcPr>
          <w:p w14:paraId="3BD26A4F">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动作可靠灵敏</w:t>
            </w:r>
          </w:p>
        </w:tc>
        <w:tc>
          <w:tcPr>
            <w:tcW w:w="930" w:type="dxa"/>
            <w:noWrap w:val="0"/>
            <w:vAlign w:val="center"/>
          </w:tcPr>
          <w:p w14:paraId="6626E88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6EACCF20">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lang w:eastAsia="zh-CN"/>
              </w:rPr>
              <w:t>五</w:t>
            </w:r>
            <w:r>
              <w:rPr>
                <w:rFonts w:hint="eastAsia" w:ascii="华文仿宋" w:hAnsi="华文仿宋" w:eastAsia="华文仿宋" w:cs="华文仿宋"/>
                <w:kern w:val="2"/>
                <w:sz w:val="28"/>
                <w:szCs w:val="28"/>
              </w:rPr>
              <w:t>年/</w:t>
            </w:r>
            <w:r>
              <w:rPr>
                <w:rFonts w:hint="eastAsia" w:ascii="华文仿宋" w:hAnsi="华文仿宋" w:eastAsia="华文仿宋" w:cs="华文仿宋"/>
                <w:kern w:val="2"/>
                <w:sz w:val="28"/>
                <w:szCs w:val="28"/>
                <w:lang w:val="en-US" w:eastAsia="zh-CN"/>
              </w:rPr>
              <w:t>150</w:t>
            </w:r>
            <w:r>
              <w:rPr>
                <w:rFonts w:hint="eastAsia" w:ascii="华文仿宋" w:hAnsi="华文仿宋" w:eastAsia="华文仿宋" w:cs="华文仿宋"/>
                <w:kern w:val="2"/>
                <w:sz w:val="28"/>
                <w:szCs w:val="28"/>
              </w:rPr>
              <w:t>万次</w:t>
            </w:r>
          </w:p>
        </w:tc>
        <w:tc>
          <w:tcPr>
            <w:tcW w:w="1005" w:type="dxa"/>
            <w:noWrap w:val="0"/>
            <w:vAlign w:val="center"/>
          </w:tcPr>
          <w:p w14:paraId="1C8967D9">
            <w:pPr>
              <w:pStyle w:val="18"/>
              <w:suppressAutoHyphens/>
              <w:bidi w:val="0"/>
              <w:spacing w:line="500" w:lineRule="exact"/>
              <w:jc w:val="center"/>
              <w:rPr>
                <w:rFonts w:hint="eastAsia" w:ascii="华文仿宋" w:hAnsi="华文仿宋" w:eastAsia="华文仿宋" w:cs="华文仿宋"/>
                <w:kern w:val="2"/>
                <w:sz w:val="28"/>
                <w:szCs w:val="28"/>
              </w:rPr>
            </w:pPr>
          </w:p>
        </w:tc>
      </w:tr>
      <w:tr w14:paraId="63F80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964" w:type="dxa"/>
            <w:noWrap w:val="0"/>
            <w:vAlign w:val="center"/>
          </w:tcPr>
          <w:p w14:paraId="1F61C9D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消防盒</w:t>
            </w:r>
          </w:p>
        </w:tc>
        <w:tc>
          <w:tcPr>
            <w:tcW w:w="2389" w:type="dxa"/>
            <w:noWrap w:val="0"/>
            <w:vAlign w:val="center"/>
          </w:tcPr>
          <w:p w14:paraId="3716973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动作灵敏</w:t>
            </w:r>
          </w:p>
        </w:tc>
        <w:tc>
          <w:tcPr>
            <w:tcW w:w="930" w:type="dxa"/>
            <w:noWrap w:val="0"/>
            <w:vAlign w:val="center"/>
          </w:tcPr>
          <w:p w14:paraId="53EA4614">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16B44717">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破损无法正常使用时</w:t>
            </w:r>
          </w:p>
        </w:tc>
        <w:tc>
          <w:tcPr>
            <w:tcW w:w="1005" w:type="dxa"/>
            <w:noWrap w:val="0"/>
            <w:vAlign w:val="center"/>
          </w:tcPr>
          <w:p w14:paraId="1471E021">
            <w:pPr>
              <w:pStyle w:val="18"/>
              <w:suppressAutoHyphens/>
              <w:bidi w:val="0"/>
              <w:spacing w:line="500" w:lineRule="exact"/>
              <w:jc w:val="center"/>
              <w:rPr>
                <w:rFonts w:hint="eastAsia" w:ascii="华文仿宋" w:hAnsi="华文仿宋" w:eastAsia="华文仿宋" w:cs="华文仿宋"/>
                <w:kern w:val="2"/>
                <w:sz w:val="28"/>
                <w:szCs w:val="28"/>
              </w:rPr>
            </w:pPr>
          </w:p>
        </w:tc>
      </w:tr>
      <w:tr w14:paraId="7459B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964" w:type="dxa"/>
            <w:noWrap w:val="0"/>
            <w:vAlign w:val="center"/>
          </w:tcPr>
          <w:p w14:paraId="74C806B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抱闸板</w:t>
            </w:r>
          </w:p>
        </w:tc>
        <w:tc>
          <w:tcPr>
            <w:tcW w:w="2389" w:type="dxa"/>
            <w:noWrap w:val="0"/>
            <w:vAlign w:val="center"/>
          </w:tcPr>
          <w:p w14:paraId="42F695E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动作灵敏</w:t>
            </w:r>
          </w:p>
        </w:tc>
        <w:tc>
          <w:tcPr>
            <w:tcW w:w="930" w:type="dxa"/>
            <w:noWrap w:val="0"/>
            <w:vAlign w:val="center"/>
          </w:tcPr>
          <w:p w14:paraId="7AEA0D36">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12C22A3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lang w:eastAsia="zh-CN"/>
              </w:rPr>
              <w:t>五</w:t>
            </w:r>
            <w:r>
              <w:rPr>
                <w:rFonts w:hint="eastAsia" w:ascii="华文仿宋" w:hAnsi="华文仿宋" w:eastAsia="华文仿宋" w:cs="华文仿宋"/>
                <w:kern w:val="2"/>
                <w:sz w:val="28"/>
                <w:szCs w:val="28"/>
              </w:rPr>
              <w:t>年/</w:t>
            </w:r>
            <w:r>
              <w:rPr>
                <w:rFonts w:hint="eastAsia" w:ascii="华文仿宋" w:hAnsi="华文仿宋" w:eastAsia="华文仿宋" w:cs="华文仿宋"/>
                <w:kern w:val="2"/>
                <w:sz w:val="28"/>
                <w:szCs w:val="28"/>
                <w:lang w:val="en-US" w:eastAsia="zh-CN"/>
              </w:rPr>
              <w:t>150</w:t>
            </w:r>
            <w:r>
              <w:rPr>
                <w:rFonts w:hint="eastAsia" w:ascii="华文仿宋" w:hAnsi="华文仿宋" w:eastAsia="华文仿宋" w:cs="华文仿宋"/>
                <w:kern w:val="2"/>
                <w:sz w:val="28"/>
                <w:szCs w:val="28"/>
              </w:rPr>
              <w:t>万次</w:t>
            </w:r>
          </w:p>
        </w:tc>
        <w:tc>
          <w:tcPr>
            <w:tcW w:w="1005" w:type="dxa"/>
            <w:noWrap w:val="0"/>
            <w:vAlign w:val="center"/>
          </w:tcPr>
          <w:p w14:paraId="229FA62B">
            <w:pPr>
              <w:pStyle w:val="18"/>
              <w:suppressAutoHyphens/>
              <w:bidi w:val="0"/>
              <w:spacing w:line="500" w:lineRule="exact"/>
              <w:jc w:val="center"/>
              <w:rPr>
                <w:rFonts w:hint="eastAsia" w:ascii="华文仿宋" w:hAnsi="华文仿宋" w:eastAsia="华文仿宋" w:cs="华文仿宋"/>
                <w:kern w:val="2"/>
                <w:sz w:val="28"/>
                <w:szCs w:val="28"/>
              </w:rPr>
            </w:pPr>
          </w:p>
        </w:tc>
      </w:tr>
      <w:tr w14:paraId="5AEF0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1964" w:type="dxa"/>
            <w:noWrap w:val="0"/>
            <w:vAlign w:val="center"/>
          </w:tcPr>
          <w:p w14:paraId="4A4A13B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钥匙开关</w:t>
            </w:r>
          </w:p>
        </w:tc>
        <w:tc>
          <w:tcPr>
            <w:tcW w:w="2389" w:type="dxa"/>
            <w:noWrap w:val="0"/>
            <w:vAlign w:val="center"/>
          </w:tcPr>
          <w:p w14:paraId="2B8994B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动作灵敏</w:t>
            </w:r>
          </w:p>
        </w:tc>
        <w:tc>
          <w:tcPr>
            <w:tcW w:w="930" w:type="dxa"/>
            <w:noWrap w:val="0"/>
            <w:vAlign w:val="center"/>
          </w:tcPr>
          <w:p w14:paraId="6F20571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6DF06AE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三年/60万次</w:t>
            </w:r>
          </w:p>
        </w:tc>
        <w:tc>
          <w:tcPr>
            <w:tcW w:w="1005" w:type="dxa"/>
            <w:noWrap w:val="0"/>
            <w:vAlign w:val="center"/>
          </w:tcPr>
          <w:p w14:paraId="708D78FD">
            <w:pPr>
              <w:pStyle w:val="18"/>
              <w:suppressAutoHyphens/>
              <w:bidi w:val="0"/>
              <w:spacing w:line="500" w:lineRule="exact"/>
              <w:jc w:val="center"/>
              <w:rPr>
                <w:rFonts w:hint="eastAsia" w:ascii="华文仿宋" w:hAnsi="华文仿宋" w:eastAsia="华文仿宋" w:cs="华文仿宋"/>
                <w:kern w:val="2"/>
                <w:sz w:val="28"/>
                <w:szCs w:val="28"/>
              </w:rPr>
            </w:pPr>
          </w:p>
        </w:tc>
      </w:tr>
      <w:tr w14:paraId="16C90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964" w:type="dxa"/>
            <w:noWrap w:val="0"/>
            <w:vAlign w:val="center"/>
          </w:tcPr>
          <w:p w14:paraId="49553DA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计数器</w:t>
            </w:r>
          </w:p>
        </w:tc>
        <w:tc>
          <w:tcPr>
            <w:tcW w:w="2389" w:type="dxa"/>
            <w:noWrap w:val="0"/>
            <w:vAlign w:val="center"/>
          </w:tcPr>
          <w:p w14:paraId="43029C5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准确计数</w:t>
            </w:r>
          </w:p>
        </w:tc>
        <w:tc>
          <w:tcPr>
            <w:tcW w:w="930" w:type="dxa"/>
            <w:noWrap w:val="0"/>
            <w:vAlign w:val="center"/>
          </w:tcPr>
          <w:p w14:paraId="4AC067B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43D0B1C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三年</w:t>
            </w:r>
          </w:p>
        </w:tc>
        <w:tc>
          <w:tcPr>
            <w:tcW w:w="1005" w:type="dxa"/>
            <w:noWrap w:val="0"/>
            <w:vAlign w:val="center"/>
          </w:tcPr>
          <w:p w14:paraId="1BF7FA6C">
            <w:pPr>
              <w:pStyle w:val="18"/>
              <w:suppressAutoHyphens/>
              <w:bidi w:val="0"/>
              <w:spacing w:line="500" w:lineRule="exact"/>
              <w:jc w:val="center"/>
              <w:rPr>
                <w:rFonts w:hint="eastAsia" w:ascii="华文仿宋" w:hAnsi="华文仿宋" w:eastAsia="华文仿宋" w:cs="华文仿宋"/>
                <w:kern w:val="2"/>
                <w:sz w:val="28"/>
                <w:szCs w:val="28"/>
              </w:rPr>
            </w:pPr>
          </w:p>
        </w:tc>
      </w:tr>
      <w:tr w14:paraId="40648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964" w:type="dxa"/>
            <w:noWrap w:val="0"/>
            <w:vAlign w:val="center"/>
          </w:tcPr>
          <w:p w14:paraId="24BC19B7">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轿厢风机</w:t>
            </w:r>
          </w:p>
        </w:tc>
        <w:tc>
          <w:tcPr>
            <w:tcW w:w="2389" w:type="dxa"/>
            <w:noWrap w:val="0"/>
            <w:vAlign w:val="center"/>
          </w:tcPr>
          <w:p w14:paraId="65D3579B">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运行稳定</w:t>
            </w:r>
          </w:p>
        </w:tc>
        <w:tc>
          <w:tcPr>
            <w:tcW w:w="930" w:type="dxa"/>
            <w:noWrap w:val="0"/>
            <w:vAlign w:val="center"/>
          </w:tcPr>
          <w:p w14:paraId="1693D20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4574E43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lang w:eastAsia="zh-CN"/>
              </w:rPr>
              <w:t>五</w:t>
            </w:r>
            <w:r>
              <w:rPr>
                <w:rFonts w:hint="eastAsia" w:ascii="华文仿宋" w:hAnsi="华文仿宋" w:eastAsia="华文仿宋" w:cs="华文仿宋"/>
                <w:kern w:val="2"/>
                <w:sz w:val="28"/>
                <w:szCs w:val="28"/>
              </w:rPr>
              <w:t>年</w:t>
            </w:r>
          </w:p>
        </w:tc>
        <w:tc>
          <w:tcPr>
            <w:tcW w:w="1005" w:type="dxa"/>
            <w:noWrap w:val="0"/>
            <w:vAlign w:val="center"/>
          </w:tcPr>
          <w:p w14:paraId="43E226A8">
            <w:pPr>
              <w:pStyle w:val="18"/>
              <w:suppressAutoHyphens/>
              <w:bidi w:val="0"/>
              <w:spacing w:line="500" w:lineRule="exact"/>
              <w:jc w:val="center"/>
              <w:rPr>
                <w:rFonts w:hint="eastAsia" w:ascii="华文仿宋" w:hAnsi="华文仿宋" w:eastAsia="华文仿宋" w:cs="华文仿宋"/>
                <w:kern w:val="2"/>
                <w:sz w:val="28"/>
                <w:szCs w:val="28"/>
              </w:rPr>
            </w:pPr>
          </w:p>
        </w:tc>
      </w:tr>
      <w:tr w14:paraId="29ED7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1964" w:type="dxa"/>
            <w:noWrap w:val="0"/>
            <w:vAlign w:val="center"/>
          </w:tcPr>
          <w:p w14:paraId="1754D71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编码器</w:t>
            </w:r>
          </w:p>
        </w:tc>
        <w:tc>
          <w:tcPr>
            <w:tcW w:w="2389" w:type="dxa"/>
            <w:noWrap w:val="0"/>
            <w:vAlign w:val="center"/>
          </w:tcPr>
          <w:p w14:paraId="4C3E429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运行稳定</w:t>
            </w:r>
          </w:p>
        </w:tc>
        <w:tc>
          <w:tcPr>
            <w:tcW w:w="930" w:type="dxa"/>
            <w:noWrap w:val="0"/>
            <w:vAlign w:val="center"/>
          </w:tcPr>
          <w:p w14:paraId="14F4332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3319BAAD">
            <w:pPr>
              <w:pStyle w:val="18"/>
              <w:suppressAutoHyphens/>
              <w:bidi w:val="0"/>
              <w:spacing w:line="500" w:lineRule="exact"/>
              <w:jc w:val="center"/>
              <w:rPr>
                <w:rFonts w:hint="eastAsia" w:ascii="华文仿宋" w:hAnsi="华文仿宋" w:eastAsia="华文仿宋" w:cs="华文仿宋"/>
                <w:kern w:val="2"/>
                <w:sz w:val="28"/>
                <w:szCs w:val="28"/>
                <w:lang w:eastAsia="zh-CN"/>
              </w:rPr>
            </w:pPr>
            <w:r>
              <w:rPr>
                <w:rFonts w:hint="eastAsia" w:ascii="华文仿宋" w:hAnsi="华文仿宋" w:eastAsia="华文仿宋" w:cs="华文仿宋"/>
                <w:kern w:val="2"/>
                <w:sz w:val="28"/>
                <w:szCs w:val="28"/>
                <w:lang w:eastAsia="zh-CN"/>
              </w:rPr>
              <w:t>无法正常使用</w:t>
            </w:r>
          </w:p>
        </w:tc>
        <w:tc>
          <w:tcPr>
            <w:tcW w:w="1005" w:type="dxa"/>
            <w:noWrap w:val="0"/>
            <w:vAlign w:val="center"/>
          </w:tcPr>
          <w:p w14:paraId="5C73F31D">
            <w:pPr>
              <w:pStyle w:val="18"/>
              <w:suppressAutoHyphens/>
              <w:bidi w:val="0"/>
              <w:spacing w:line="500" w:lineRule="exact"/>
              <w:jc w:val="center"/>
              <w:rPr>
                <w:rFonts w:hint="eastAsia" w:ascii="华文仿宋" w:hAnsi="华文仿宋" w:eastAsia="华文仿宋" w:cs="华文仿宋"/>
                <w:kern w:val="2"/>
                <w:sz w:val="28"/>
                <w:szCs w:val="28"/>
              </w:rPr>
            </w:pPr>
          </w:p>
        </w:tc>
      </w:tr>
      <w:tr w14:paraId="6B7FD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964" w:type="dxa"/>
            <w:noWrap w:val="0"/>
            <w:vAlign w:val="center"/>
          </w:tcPr>
          <w:p w14:paraId="12B0C5D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相序继电器</w:t>
            </w:r>
          </w:p>
        </w:tc>
        <w:tc>
          <w:tcPr>
            <w:tcW w:w="2389" w:type="dxa"/>
            <w:noWrap w:val="0"/>
            <w:vAlign w:val="center"/>
          </w:tcPr>
          <w:p w14:paraId="6C62F312">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动作灵敏可靠</w:t>
            </w:r>
          </w:p>
        </w:tc>
        <w:tc>
          <w:tcPr>
            <w:tcW w:w="930" w:type="dxa"/>
            <w:noWrap w:val="0"/>
            <w:vAlign w:val="center"/>
          </w:tcPr>
          <w:p w14:paraId="34E97BC3">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44B65FC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三年/60万次</w:t>
            </w:r>
          </w:p>
        </w:tc>
        <w:tc>
          <w:tcPr>
            <w:tcW w:w="1005" w:type="dxa"/>
            <w:noWrap w:val="0"/>
            <w:vAlign w:val="center"/>
          </w:tcPr>
          <w:p w14:paraId="491DC6F4">
            <w:pPr>
              <w:pStyle w:val="18"/>
              <w:suppressAutoHyphens/>
              <w:bidi w:val="0"/>
              <w:spacing w:line="500" w:lineRule="exact"/>
              <w:jc w:val="center"/>
              <w:rPr>
                <w:rFonts w:hint="eastAsia" w:ascii="华文仿宋" w:hAnsi="华文仿宋" w:eastAsia="华文仿宋" w:cs="华文仿宋"/>
                <w:kern w:val="2"/>
                <w:sz w:val="28"/>
                <w:szCs w:val="28"/>
              </w:rPr>
            </w:pPr>
          </w:p>
        </w:tc>
      </w:tr>
      <w:tr w14:paraId="0E3E07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64" w:type="dxa"/>
            <w:noWrap w:val="0"/>
            <w:vAlign w:val="center"/>
          </w:tcPr>
          <w:p w14:paraId="0199FDF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磁开关</w:t>
            </w:r>
          </w:p>
        </w:tc>
        <w:tc>
          <w:tcPr>
            <w:tcW w:w="2389" w:type="dxa"/>
            <w:noWrap w:val="0"/>
            <w:vAlign w:val="center"/>
          </w:tcPr>
          <w:p w14:paraId="7FD7F3F8">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动作灵敏可靠</w:t>
            </w:r>
          </w:p>
        </w:tc>
        <w:tc>
          <w:tcPr>
            <w:tcW w:w="930" w:type="dxa"/>
            <w:noWrap w:val="0"/>
            <w:vAlign w:val="center"/>
          </w:tcPr>
          <w:p w14:paraId="352517C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6460AEC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三年/60万次</w:t>
            </w:r>
          </w:p>
        </w:tc>
        <w:tc>
          <w:tcPr>
            <w:tcW w:w="1005" w:type="dxa"/>
            <w:noWrap w:val="0"/>
            <w:vAlign w:val="center"/>
          </w:tcPr>
          <w:p w14:paraId="7FA747AE">
            <w:pPr>
              <w:pStyle w:val="18"/>
              <w:suppressAutoHyphens/>
              <w:bidi w:val="0"/>
              <w:spacing w:line="500" w:lineRule="exact"/>
              <w:jc w:val="center"/>
              <w:rPr>
                <w:rFonts w:hint="eastAsia" w:ascii="华文仿宋" w:hAnsi="华文仿宋" w:eastAsia="华文仿宋" w:cs="华文仿宋"/>
                <w:kern w:val="2"/>
                <w:sz w:val="28"/>
                <w:szCs w:val="28"/>
              </w:rPr>
            </w:pPr>
          </w:p>
        </w:tc>
      </w:tr>
      <w:tr w14:paraId="1B767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964" w:type="dxa"/>
            <w:noWrap w:val="0"/>
            <w:vAlign w:val="center"/>
          </w:tcPr>
          <w:p w14:paraId="633859AD">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中继器</w:t>
            </w:r>
          </w:p>
        </w:tc>
        <w:tc>
          <w:tcPr>
            <w:tcW w:w="2389" w:type="dxa"/>
            <w:noWrap w:val="0"/>
            <w:vAlign w:val="center"/>
          </w:tcPr>
          <w:p w14:paraId="77C47159">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动作灵敏可靠</w:t>
            </w:r>
          </w:p>
        </w:tc>
        <w:tc>
          <w:tcPr>
            <w:tcW w:w="930" w:type="dxa"/>
            <w:noWrap w:val="0"/>
            <w:vAlign w:val="center"/>
          </w:tcPr>
          <w:p w14:paraId="70948D0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27F261B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三年/60万次</w:t>
            </w:r>
          </w:p>
        </w:tc>
        <w:tc>
          <w:tcPr>
            <w:tcW w:w="1005" w:type="dxa"/>
            <w:noWrap w:val="0"/>
            <w:vAlign w:val="center"/>
          </w:tcPr>
          <w:p w14:paraId="28C87D3B">
            <w:pPr>
              <w:pStyle w:val="18"/>
              <w:suppressAutoHyphens/>
              <w:bidi w:val="0"/>
              <w:spacing w:line="500" w:lineRule="exact"/>
              <w:jc w:val="center"/>
              <w:rPr>
                <w:rFonts w:hint="eastAsia" w:ascii="华文仿宋" w:hAnsi="华文仿宋" w:eastAsia="华文仿宋" w:cs="华文仿宋"/>
                <w:kern w:val="2"/>
                <w:sz w:val="28"/>
                <w:szCs w:val="28"/>
              </w:rPr>
            </w:pPr>
          </w:p>
        </w:tc>
      </w:tr>
      <w:tr w14:paraId="2CC73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1964" w:type="dxa"/>
            <w:noWrap w:val="0"/>
            <w:vAlign w:val="center"/>
          </w:tcPr>
          <w:p w14:paraId="5FFE2EDE">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消防返回信号双稳态开关</w:t>
            </w:r>
          </w:p>
        </w:tc>
        <w:tc>
          <w:tcPr>
            <w:tcW w:w="2389" w:type="dxa"/>
            <w:noWrap w:val="0"/>
            <w:vAlign w:val="center"/>
          </w:tcPr>
          <w:p w14:paraId="513EEB0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动作灵敏可靠</w:t>
            </w:r>
          </w:p>
        </w:tc>
        <w:tc>
          <w:tcPr>
            <w:tcW w:w="930" w:type="dxa"/>
            <w:noWrap w:val="0"/>
            <w:vAlign w:val="center"/>
          </w:tcPr>
          <w:p w14:paraId="4E6DB68C">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46917811">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lang w:eastAsia="zh-CN"/>
              </w:rPr>
              <w:t>五</w:t>
            </w:r>
            <w:r>
              <w:rPr>
                <w:rFonts w:hint="eastAsia" w:ascii="华文仿宋" w:hAnsi="华文仿宋" w:eastAsia="华文仿宋" w:cs="华文仿宋"/>
                <w:kern w:val="2"/>
                <w:sz w:val="28"/>
                <w:szCs w:val="28"/>
              </w:rPr>
              <w:t>年/</w:t>
            </w:r>
            <w:r>
              <w:rPr>
                <w:rFonts w:hint="eastAsia" w:ascii="华文仿宋" w:hAnsi="华文仿宋" w:eastAsia="华文仿宋" w:cs="华文仿宋"/>
                <w:kern w:val="2"/>
                <w:sz w:val="28"/>
                <w:szCs w:val="28"/>
                <w:lang w:val="en-US" w:eastAsia="zh-CN"/>
              </w:rPr>
              <w:t>150</w:t>
            </w:r>
            <w:r>
              <w:rPr>
                <w:rFonts w:hint="eastAsia" w:ascii="华文仿宋" w:hAnsi="华文仿宋" w:eastAsia="华文仿宋" w:cs="华文仿宋"/>
                <w:kern w:val="2"/>
                <w:sz w:val="28"/>
                <w:szCs w:val="28"/>
              </w:rPr>
              <w:t>万次</w:t>
            </w:r>
          </w:p>
        </w:tc>
        <w:tc>
          <w:tcPr>
            <w:tcW w:w="1005" w:type="dxa"/>
            <w:noWrap w:val="0"/>
            <w:vAlign w:val="center"/>
          </w:tcPr>
          <w:p w14:paraId="2EF6CC91">
            <w:pPr>
              <w:pStyle w:val="18"/>
              <w:suppressAutoHyphens/>
              <w:bidi w:val="0"/>
              <w:spacing w:line="500" w:lineRule="exact"/>
              <w:jc w:val="center"/>
              <w:rPr>
                <w:rFonts w:hint="eastAsia" w:ascii="华文仿宋" w:hAnsi="华文仿宋" w:eastAsia="华文仿宋" w:cs="华文仿宋"/>
                <w:kern w:val="2"/>
                <w:sz w:val="28"/>
                <w:szCs w:val="28"/>
              </w:rPr>
            </w:pPr>
          </w:p>
        </w:tc>
      </w:tr>
      <w:tr w14:paraId="1DAF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964" w:type="dxa"/>
            <w:noWrap w:val="0"/>
            <w:vAlign w:val="center"/>
          </w:tcPr>
          <w:p w14:paraId="42FD851A">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制动电阻</w:t>
            </w:r>
          </w:p>
        </w:tc>
        <w:tc>
          <w:tcPr>
            <w:tcW w:w="2389" w:type="dxa"/>
            <w:noWrap w:val="0"/>
            <w:vAlign w:val="center"/>
          </w:tcPr>
          <w:p w14:paraId="21F29183">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光滑可靠</w:t>
            </w:r>
          </w:p>
        </w:tc>
        <w:tc>
          <w:tcPr>
            <w:tcW w:w="930" w:type="dxa"/>
            <w:noWrap w:val="0"/>
            <w:vAlign w:val="center"/>
          </w:tcPr>
          <w:p w14:paraId="155B69D5">
            <w:pPr>
              <w:pStyle w:val="18"/>
              <w:suppressAutoHyphens/>
              <w:bidi w:val="0"/>
              <w:spacing w:line="500" w:lineRule="exact"/>
              <w:jc w:val="center"/>
              <w:rPr>
                <w:rFonts w:hint="eastAsia" w:ascii="华文仿宋" w:hAnsi="华文仿宋" w:eastAsia="华文仿宋" w:cs="华文仿宋"/>
                <w:kern w:val="2"/>
                <w:sz w:val="28"/>
                <w:szCs w:val="28"/>
              </w:rPr>
            </w:pPr>
            <w:r>
              <w:rPr>
                <w:rFonts w:hint="eastAsia" w:ascii="华文仿宋" w:hAnsi="华文仿宋" w:eastAsia="华文仿宋" w:cs="华文仿宋"/>
                <w:kern w:val="2"/>
                <w:sz w:val="28"/>
                <w:szCs w:val="28"/>
              </w:rPr>
              <w:t>个</w:t>
            </w:r>
          </w:p>
        </w:tc>
        <w:tc>
          <w:tcPr>
            <w:tcW w:w="2376" w:type="dxa"/>
            <w:noWrap w:val="0"/>
            <w:vAlign w:val="center"/>
          </w:tcPr>
          <w:p w14:paraId="542168C3">
            <w:pPr>
              <w:pStyle w:val="18"/>
              <w:suppressAutoHyphens/>
              <w:bidi w:val="0"/>
              <w:spacing w:line="500" w:lineRule="exact"/>
              <w:jc w:val="center"/>
              <w:rPr>
                <w:rFonts w:hint="eastAsia" w:ascii="华文仿宋" w:hAnsi="华文仿宋" w:eastAsia="华文仿宋" w:cs="华文仿宋"/>
                <w:kern w:val="2"/>
                <w:sz w:val="28"/>
                <w:szCs w:val="28"/>
                <w:lang w:val="en-US" w:eastAsia="zh-CN"/>
              </w:rPr>
            </w:pPr>
            <w:r>
              <w:rPr>
                <w:rFonts w:hint="eastAsia" w:ascii="华文仿宋" w:hAnsi="华文仿宋" w:eastAsia="华文仿宋" w:cs="华文仿宋"/>
                <w:kern w:val="2"/>
                <w:sz w:val="28"/>
                <w:szCs w:val="28"/>
                <w:lang w:val="en-US" w:eastAsia="zh-CN"/>
              </w:rPr>
              <w:t>无法正常使用</w:t>
            </w:r>
          </w:p>
        </w:tc>
        <w:tc>
          <w:tcPr>
            <w:tcW w:w="1005" w:type="dxa"/>
            <w:noWrap w:val="0"/>
            <w:vAlign w:val="center"/>
          </w:tcPr>
          <w:p w14:paraId="7260FAF5">
            <w:pPr>
              <w:pStyle w:val="18"/>
              <w:suppressAutoHyphens/>
              <w:bidi w:val="0"/>
              <w:spacing w:line="500" w:lineRule="exact"/>
              <w:jc w:val="center"/>
              <w:rPr>
                <w:rFonts w:hint="eastAsia" w:ascii="华文仿宋" w:hAnsi="华文仿宋" w:eastAsia="华文仿宋" w:cs="华文仿宋"/>
                <w:kern w:val="2"/>
                <w:sz w:val="28"/>
                <w:szCs w:val="28"/>
              </w:rPr>
            </w:pPr>
          </w:p>
        </w:tc>
      </w:tr>
    </w:tbl>
    <w:p w14:paraId="6D70B8D4">
      <w:pPr>
        <w:pStyle w:val="2"/>
        <w:suppressAutoHyphens/>
        <w:bidi w:val="0"/>
        <w:spacing w:before="0" w:after="0" w:line="560" w:lineRule="exact"/>
        <w:rPr>
          <w:rFonts w:hint="eastAsia" w:ascii="华文仿宋" w:hAnsi="华文仿宋" w:eastAsia="华文仿宋" w:cs="华文仿宋"/>
          <w:sz w:val="28"/>
          <w:szCs w:val="28"/>
        </w:rPr>
      </w:pPr>
      <w:r>
        <w:rPr>
          <w:rFonts w:hint="eastAsia" w:ascii="华文仿宋" w:hAnsi="华文仿宋" w:eastAsia="华文仿宋" w:cs="华文仿宋"/>
          <w:sz w:val="28"/>
          <w:szCs w:val="28"/>
        </w:rPr>
        <w:t>机械部件磨损量（按原厂家要求）：</w:t>
      </w:r>
    </w:p>
    <w:p w14:paraId="50D88C06">
      <w:pPr>
        <w:suppressAutoHyphens/>
        <w:bidi w:val="0"/>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①制动闸接触面不小于70%；</w:t>
      </w:r>
    </w:p>
    <w:p w14:paraId="579B6C97">
      <w:pPr>
        <w:pStyle w:val="2"/>
        <w:suppressAutoHyphens/>
        <w:bidi w:val="0"/>
        <w:spacing w:before="0" w:after="0" w:line="560" w:lineRule="exact"/>
        <w:ind w:firstLine="566" w:firstLineChars="200"/>
        <w:rPr>
          <w:rFonts w:hint="eastAsia" w:ascii="华文仿宋" w:hAnsi="华文仿宋" w:eastAsia="华文仿宋" w:cs="华文仿宋"/>
          <w:b w:val="0"/>
          <w:color w:val="auto"/>
          <w:kern w:val="2"/>
          <w:sz w:val="28"/>
          <w:szCs w:val="28"/>
          <w:lang w:val="en-US" w:eastAsia="zh-CN" w:bidi="ar-SA"/>
        </w:rPr>
      </w:pPr>
      <w:r>
        <w:rPr>
          <w:rFonts w:hint="eastAsia" w:ascii="华文仿宋" w:hAnsi="华文仿宋" w:eastAsia="华文仿宋" w:cs="华文仿宋"/>
          <w:b w:val="0"/>
          <w:color w:val="auto"/>
          <w:kern w:val="2"/>
          <w:sz w:val="28"/>
          <w:szCs w:val="28"/>
          <w:lang w:val="en-US" w:eastAsia="zh-CN" w:bidi="ar-SA"/>
        </w:rPr>
        <w:t>②运行时两侧间隙不大于0.7㎜（或厂家要求）；</w:t>
      </w:r>
    </w:p>
    <w:p w14:paraId="4A41496B">
      <w:pPr>
        <w:suppressAutoHyphens/>
        <w:bidi w:val="0"/>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③线圈温升不超过60℃，线圈绝缘电阻不小于0</w:t>
      </w:r>
      <w:r>
        <w:rPr>
          <w:rFonts w:hint="eastAsia" w:ascii="华文仿宋" w:hAnsi="华文仿宋" w:eastAsia="华文仿宋" w:cs="华文仿宋"/>
          <w:sz w:val="28"/>
          <w:szCs w:val="28"/>
          <w:lang w:val="en-US" w:eastAsia="zh-CN"/>
        </w:rPr>
        <w:t>.</w:t>
      </w:r>
      <w:r>
        <w:rPr>
          <w:rFonts w:hint="eastAsia" w:ascii="华文仿宋" w:hAnsi="华文仿宋" w:eastAsia="华文仿宋" w:cs="华文仿宋"/>
          <w:sz w:val="28"/>
          <w:szCs w:val="28"/>
        </w:rPr>
        <w:t>5</w:t>
      </w:r>
      <w:r>
        <w:rPr>
          <w:rFonts w:hint="eastAsia" w:ascii="华文仿宋" w:hAnsi="华文仿宋" w:eastAsia="华文仿宋" w:cs="华文仿宋"/>
          <w:sz w:val="28"/>
          <w:szCs w:val="28"/>
          <w:lang w:val="en-US" w:eastAsia="zh-CN"/>
        </w:rPr>
        <w:t>MΩ</w:t>
      </w:r>
      <w:r>
        <w:rPr>
          <w:rFonts w:hint="eastAsia" w:ascii="华文仿宋" w:hAnsi="华文仿宋" w:eastAsia="华文仿宋" w:cs="华文仿宋"/>
          <w:sz w:val="28"/>
          <w:szCs w:val="28"/>
        </w:rPr>
        <w:t>；</w:t>
      </w:r>
    </w:p>
    <w:p w14:paraId="4639EF08">
      <w:pPr>
        <w:suppressAutoHyphens/>
        <w:bidi w:val="0"/>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④制动器灵敏可靠；</w:t>
      </w:r>
    </w:p>
    <w:p w14:paraId="15E5715F">
      <w:pPr>
        <w:suppressAutoHyphens/>
        <w:bidi w:val="0"/>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⑤滑动轴圆度允许误差不大于0</w:t>
      </w:r>
      <w:r>
        <w:rPr>
          <w:rFonts w:hint="eastAsia" w:ascii="华文仿宋" w:hAnsi="华文仿宋" w:eastAsia="华文仿宋" w:cs="华文仿宋"/>
          <w:sz w:val="28"/>
          <w:szCs w:val="28"/>
          <w:lang w:val="en-US" w:eastAsia="zh-CN"/>
        </w:rPr>
        <w:t>.</w:t>
      </w:r>
      <w:r>
        <w:rPr>
          <w:rFonts w:hint="eastAsia" w:ascii="华文仿宋" w:hAnsi="华文仿宋" w:eastAsia="华文仿宋" w:cs="华文仿宋"/>
          <w:sz w:val="28"/>
          <w:szCs w:val="28"/>
        </w:rPr>
        <w:t>023</w:t>
      </w:r>
      <w:r>
        <w:rPr>
          <w:rFonts w:hint="eastAsia" w:ascii="华文仿宋" w:hAnsi="华文仿宋" w:eastAsia="华文仿宋" w:cs="华文仿宋"/>
          <w:sz w:val="28"/>
          <w:szCs w:val="28"/>
          <w:lang w:val="en-US" w:eastAsia="zh-CN"/>
        </w:rPr>
        <w:t>㎜</w:t>
      </w:r>
      <w:r>
        <w:rPr>
          <w:rFonts w:hint="eastAsia" w:ascii="华文仿宋" w:hAnsi="华文仿宋" w:eastAsia="华文仿宋" w:cs="华文仿宋"/>
          <w:sz w:val="28"/>
          <w:szCs w:val="28"/>
        </w:rPr>
        <w:t>；</w:t>
      </w:r>
    </w:p>
    <w:p w14:paraId="08337D6E">
      <w:pPr>
        <w:suppressAutoHyphens/>
        <w:bidi w:val="0"/>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⑥钢丝绳之间张力互差不大于5%；</w:t>
      </w:r>
    </w:p>
    <w:p w14:paraId="005D683C">
      <w:pPr>
        <w:suppressAutoHyphens/>
        <w:bidi w:val="0"/>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⑦安全钳钳口与导轨正面间隙不小于</w:t>
      </w:r>
      <w:r>
        <w:rPr>
          <w:rFonts w:hint="eastAsia" w:ascii="华文仿宋" w:hAnsi="华文仿宋" w:eastAsia="华文仿宋" w:cs="华文仿宋"/>
          <w:sz w:val="28"/>
          <w:szCs w:val="28"/>
          <w:lang w:val="en-US" w:eastAsia="zh-CN"/>
        </w:rPr>
        <w:t>2㎜</w:t>
      </w:r>
      <w:r>
        <w:rPr>
          <w:rFonts w:hint="eastAsia" w:ascii="华文仿宋" w:hAnsi="华文仿宋" w:eastAsia="华文仿宋" w:cs="华文仿宋"/>
          <w:sz w:val="28"/>
          <w:szCs w:val="28"/>
        </w:rPr>
        <w:t>；</w:t>
      </w:r>
    </w:p>
    <w:p w14:paraId="21D900CF">
      <w:pPr>
        <w:suppressAutoHyphens/>
        <w:bidi w:val="0"/>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⑧电子元器件灵敏可靠；</w:t>
      </w:r>
    </w:p>
    <w:p w14:paraId="71ECA65B">
      <w:pPr>
        <w:suppressAutoHyphens/>
        <w:bidi w:val="0"/>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⑨门扇垂直度不大于</w:t>
      </w:r>
      <w:r>
        <w:rPr>
          <w:rFonts w:hint="eastAsia" w:ascii="华文仿宋" w:hAnsi="华文仿宋" w:eastAsia="华文仿宋" w:cs="华文仿宋"/>
          <w:sz w:val="28"/>
          <w:szCs w:val="28"/>
          <w:lang w:val="en-US" w:eastAsia="zh-CN"/>
        </w:rPr>
        <w:t>2㎜</w:t>
      </w:r>
      <w:r>
        <w:rPr>
          <w:rFonts w:hint="eastAsia" w:ascii="华文仿宋" w:hAnsi="华文仿宋" w:eastAsia="华文仿宋" w:cs="华文仿宋"/>
          <w:sz w:val="28"/>
          <w:szCs w:val="28"/>
        </w:rPr>
        <w:t>；</w:t>
      </w:r>
    </w:p>
    <w:p w14:paraId="7D845D26">
      <w:pPr>
        <w:suppressAutoHyphens/>
        <w:bidi w:val="0"/>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⑩对重装置的撞击中心偏差不大于20</w:t>
      </w:r>
      <w:r>
        <w:rPr>
          <w:rFonts w:hint="eastAsia" w:ascii="华文仿宋" w:hAnsi="华文仿宋" w:eastAsia="华文仿宋" w:cs="华文仿宋"/>
          <w:sz w:val="28"/>
          <w:szCs w:val="28"/>
          <w:lang w:val="en-US" w:eastAsia="zh-CN"/>
        </w:rPr>
        <w:t>㎜</w:t>
      </w:r>
      <w:r>
        <w:rPr>
          <w:rFonts w:hint="eastAsia" w:ascii="华文仿宋" w:hAnsi="华文仿宋" w:eastAsia="华文仿宋" w:cs="华文仿宋"/>
          <w:sz w:val="28"/>
          <w:szCs w:val="28"/>
        </w:rPr>
        <w:t>；</w:t>
      </w:r>
    </w:p>
    <w:p w14:paraId="2487AFE7">
      <w:pPr>
        <w:suppressAutoHyphens/>
        <w:bidi w:val="0"/>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⑪导轨接头处允许台阶不大于0</w:t>
      </w:r>
      <w:r>
        <w:rPr>
          <w:rFonts w:hint="eastAsia" w:ascii="华文仿宋" w:hAnsi="华文仿宋" w:eastAsia="华文仿宋" w:cs="华文仿宋"/>
          <w:sz w:val="28"/>
          <w:szCs w:val="28"/>
          <w:lang w:val="en-US" w:eastAsia="zh-CN"/>
        </w:rPr>
        <w:t>.</w:t>
      </w:r>
      <w:r>
        <w:rPr>
          <w:rFonts w:hint="eastAsia" w:ascii="华文仿宋" w:hAnsi="华文仿宋" w:eastAsia="华文仿宋" w:cs="华文仿宋"/>
          <w:sz w:val="28"/>
          <w:szCs w:val="28"/>
        </w:rPr>
        <w:t>05</w:t>
      </w:r>
      <w:r>
        <w:rPr>
          <w:rFonts w:hint="eastAsia" w:ascii="华文仿宋" w:hAnsi="华文仿宋" w:eastAsia="华文仿宋" w:cs="华文仿宋"/>
          <w:sz w:val="28"/>
          <w:szCs w:val="28"/>
          <w:lang w:val="en-US" w:eastAsia="zh-CN"/>
        </w:rPr>
        <w:t>㎜</w:t>
      </w:r>
      <w:r>
        <w:rPr>
          <w:rFonts w:hint="eastAsia" w:ascii="华文仿宋" w:hAnsi="华文仿宋" w:eastAsia="华文仿宋" w:cs="华文仿宋"/>
          <w:sz w:val="28"/>
          <w:szCs w:val="28"/>
        </w:rPr>
        <w:t>，接头处修光长度为250—300</w:t>
      </w:r>
      <w:r>
        <w:rPr>
          <w:rFonts w:hint="eastAsia" w:ascii="华文仿宋" w:hAnsi="华文仿宋" w:eastAsia="华文仿宋" w:cs="华文仿宋"/>
          <w:sz w:val="28"/>
          <w:szCs w:val="28"/>
          <w:lang w:val="en-US" w:eastAsia="zh-CN"/>
        </w:rPr>
        <w:t>㎜</w:t>
      </w:r>
      <w:r>
        <w:rPr>
          <w:rFonts w:hint="eastAsia" w:ascii="华文仿宋" w:hAnsi="华文仿宋" w:eastAsia="华文仿宋" w:cs="华文仿宋"/>
          <w:sz w:val="28"/>
          <w:szCs w:val="28"/>
        </w:rPr>
        <w:t>；</w:t>
      </w:r>
    </w:p>
    <w:p w14:paraId="67B262A5">
      <w:pPr>
        <w:suppressAutoHyphens/>
        <w:bidi w:val="0"/>
        <w:spacing w:line="560" w:lineRule="exact"/>
        <w:ind w:firstLine="566" w:firstLineChars="200"/>
        <w:rPr>
          <w:rFonts w:hint="eastAsia" w:ascii="华文仿宋" w:hAnsi="华文仿宋" w:eastAsia="华文仿宋" w:cs="华文仿宋"/>
          <w:sz w:val="28"/>
          <w:szCs w:val="28"/>
        </w:rPr>
      </w:pPr>
      <w:r>
        <w:rPr>
          <w:rFonts w:hint="eastAsia" w:ascii="华文仿宋" w:hAnsi="华文仿宋" w:eastAsia="华文仿宋" w:cs="华文仿宋"/>
          <w:sz w:val="28"/>
          <w:szCs w:val="28"/>
        </w:rPr>
        <w:t>⑫门开关噪音不超过65</w:t>
      </w:r>
      <w:r>
        <w:rPr>
          <w:rFonts w:hint="eastAsia" w:ascii="华文仿宋" w:hAnsi="华文仿宋" w:eastAsia="华文仿宋" w:cs="华文仿宋"/>
          <w:sz w:val="28"/>
          <w:szCs w:val="28"/>
          <w:lang w:val="en-US" w:eastAsia="zh-CN"/>
        </w:rPr>
        <w:t>dB</w:t>
      </w:r>
      <w:r>
        <w:rPr>
          <w:rFonts w:hint="eastAsia" w:ascii="华文仿宋" w:hAnsi="华文仿宋" w:eastAsia="华文仿宋" w:cs="华文仿宋"/>
          <w:sz w:val="28"/>
          <w:szCs w:val="28"/>
        </w:rPr>
        <w:t>，轿门开限制力为</w:t>
      </w:r>
      <w:r>
        <w:rPr>
          <w:rFonts w:hint="eastAsia" w:ascii="华文仿宋" w:hAnsi="华文仿宋" w:eastAsia="华文仿宋" w:cs="华文仿宋"/>
          <w:sz w:val="28"/>
          <w:szCs w:val="28"/>
          <w:lang w:eastAsia="zh-CN"/>
        </w:rPr>
        <w:t>不小于</w:t>
      </w:r>
      <w:r>
        <w:rPr>
          <w:rFonts w:hint="eastAsia" w:ascii="华文仿宋" w:hAnsi="华文仿宋" w:eastAsia="华文仿宋" w:cs="华文仿宋"/>
          <w:sz w:val="28"/>
          <w:szCs w:val="28"/>
        </w:rPr>
        <w:t>15</w:t>
      </w:r>
      <w:r>
        <w:rPr>
          <w:rFonts w:hint="eastAsia" w:ascii="华文仿宋" w:hAnsi="华文仿宋" w:eastAsia="华文仿宋" w:cs="华文仿宋"/>
          <w:sz w:val="28"/>
          <w:szCs w:val="28"/>
          <w:lang w:val="en-US" w:eastAsia="zh-CN"/>
        </w:rPr>
        <w:t>0N</w:t>
      </w:r>
      <w:r>
        <w:rPr>
          <w:rFonts w:hint="eastAsia" w:ascii="华文仿宋" w:hAnsi="华文仿宋" w:eastAsia="华文仿宋" w:cs="华文仿宋"/>
          <w:sz w:val="28"/>
          <w:szCs w:val="28"/>
        </w:rPr>
        <w:t>。</w:t>
      </w:r>
    </w:p>
    <w:p w14:paraId="6CC4D3C4">
      <w:pPr>
        <w:suppressAutoHyphens/>
        <w:bidi w:val="0"/>
        <w:ind w:firstLine="566" w:firstLineChars="200"/>
        <w:jc w:val="left"/>
        <w:rPr>
          <w:rFonts w:hint="eastAsia" w:ascii="华文仿宋" w:hAnsi="华文仿宋" w:eastAsia="华文仿宋" w:cs="华文仿宋"/>
          <w:sz w:val="28"/>
          <w:szCs w:val="28"/>
        </w:rPr>
      </w:pPr>
      <w:r>
        <w:rPr>
          <w:rFonts w:hint="eastAsia" w:ascii="华文仿宋" w:hAnsi="华文仿宋" w:eastAsia="华文仿宋" w:cs="华文仿宋"/>
          <w:sz w:val="28"/>
          <w:szCs w:val="28"/>
        </w:rPr>
        <w:t>3.中小型和日常维修：所有电梯非自然灾害事件发生或者政府部门变更等不可抗拒的损坏以外，对电梯中不能使用的配件进行更换，发生故障</w:t>
      </w:r>
      <w:r>
        <w:rPr>
          <w:rFonts w:hint="eastAsia" w:ascii="华文仿宋" w:hAnsi="华文仿宋" w:eastAsia="华文仿宋" w:cs="华文仿宋"/>
          <w:sz w:val="28"/>
          <w:szCs w:val="28"/>
          <w:lang w:val="en-US" w:eastAsia="zh-CN"/>
        </w:rPr>
        <w:t>10</w:t>
      </w:r>
      <w:r>
        <w:rPr>
          <w:rFonts w:hint="eastAsia" w:ascii="华文仿宋" w:hAnsi="华文仿宋" w:eastAsia="华文仿宋" w:cs="华文仿宋"/>
          <w:sz w:val="28"/>
          <w:szCs w:val="28"/>
        </w:rPr>
        <w:t>分钟到达现场，2小时排除和解决故障，设备完好率达100%，确保电梯安全有效运行。</w:t>
      </w:r>
    </w:p>
    <w:p w14:paraId="0001C640">
      <w:pPr>
        <w:rPr>
          <w:rFonts w:hint="eastAsia"/>
          <w:lang w:val="en-US" w:eastAsia="zh-CN"/>
        </w:rPr>
      </w:pPr>
    </w:p>
    <w:p w14:paraId="23324EC7">
      <w:pPr>
        <w:spacing w:line="240" w:lineRule="auto"/>
        <w:ind w:firstLine="566" w:firstLineChars="200"/>
        <w:jc w:val="both"/>
        <w:outlineLvl w:val="9"/>
        <w:rPr>
          <w:rStyle w:val="31"/>
          <w:rFonts w:hint="eastAsia" w:ascii="黑体" w:hAnsi="黑体" w:eastAsia="黑体" w:cs="黑体"/>
          <w:b w:val="0"/>
          <w:bCs/>
          <w:color w:val="000000"/>
          <w:sz w:val="32"/>
          <w:szCs w:val="32"/>
        </w:rPr>
      </w:pPr>
      <w:r>
        <w:rPr>
          <w:rFonts w:hint="eastAsia" w:ascii="仿宋" w:hAnsi="仿宋" w:eastAsia="仿宋" w:cs="仿宋"/>
          <w:b/>
          <w:bCs/>
          <w:color w:val="auto"/>
          <w:kern w:val="2"/>
          <w:sz w:val="28"/>
          <w:szCs w:val="28"/>
          <w:highlight w:val="none"/>
          <w:lang w:val="en-US" w:eastAsia="zh-CN" w:bidi="ar-SA"/>
        </w:rPr>
        <w:t>注：该项目技术参数由采购人提供。</w:t>
      </w:r>
    </w:p>
    <w:p w14:paraId="430E5282">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31"/>
          <w:rFonts w:ascii="黑体" w:hAnsi="黑体" w:eastAsia="黑体" w:cs="黑体"/>
          <w:b w:val="0"/>
          <w:bCs/>
          <w:color w:val="000000"/>
          <w:sz w:val="32"/>
          <w:szCs w:val="32"/>
        </w:rPr>
      </w:pPr>
      <w:r>
        <w:rPr>
          <w:rStyle w:val="31"/>
          <w:rFonts w:hint="eastAsia" w:ascii="黑体" w:hAnsi="黑体" w:eastAsia="黑体" w:cs="黑体"/>
          <w:b w:val="0"/>
          <w:bCs/>
          <w:color w:val="000000"/>
          <w:sz w:val="32"/>
          <w:szCs w:val="32"/>
        </w:rPr>
        <w:t>四章  合同草案条款</w:t>
      </w:r>
    </w:p>
    <w:p w14:paraId="6347A8C5">
      <w:pPr>
        <w:keepNext w:val="0"/>
        <w:keepLines w:val="0"/>
        <w:pageBreakBefore w:val="0"/>
        <w:widowControl w:val="0"/>
        <w:numPr>
          <w:ilvl w:val="0"/>
          <w:numId w:val="0"/>
        </w:numPr>
        <w:suppressAutoHyphens/>
        <w:kinsoku/>
        <w:wordWrap/>
        <w:overflowPunct/>
        <w:topLinePunct w:val="0"/>
        <w:autoSpaceDE/>
        <w:autoSpaceDN/>
        <w:bidi w:val="0"/>
        <w:adjustRightInd/>
        <w:snapToGrid/>
        <w:spacing w:line="560" w:lineRule="exact"/>
        <w:ind w:firstLine="566" w:firstLineChars="200"/>
        <w:textAlignment w:val="auto"/>
        <w:rPr>
          <w:rFonts w:hint="eastAsia" w:ascii="华文仿宋" w:hAnsi="华文仿宋" w:eastAsia="华文仿宋" w:cs="华文仿宋"/>
          <w:sz w:val="28"/>
          <w:szCs w:val="28"/>
        </w:rPr>
      </w:pPr>
      <w:r>
        <w:rPr>
          <w:rFonts w:hint="eastAsia" w:ascii="华文仿宋" w:hAnsi="华文仿宋" w:cs="华文仿宋"/>
          <w:b/>
          <w:bCs/>
          <w:color w:val="000000"/>
          <w:sz w:val="28"/>
          <w:szCs w:val="28"/>
          <w:lang w:val="en-US" w:eastAsia="zh-CN"/>
        </w:rPr>
        <w:t>一、</w:t>
      </w:r>
      <w:r>
        <w:rPr>
          <w:rFonts w:hint="eastAsia" w:ascii="华文仿宋" w:hAnsi="华文仿宋" w:eastAsia="华文仿宋" w:cs="华文仿宋"/>
          <w:b/>
          <w:color w:val="auto"/>
          <w:kern w:val="2"/>
          <w:sz w:val="28"/>
          <w:szCs w:val="28"/>
          <w:lang w:val="en-US" w:eastAsia="zh-Hans" w:bidi="ar-SA"/>
        </w:rPr>
        <w:t>委托管理事项</w:t>
      </w:r>
    </w:p>
    <w:p w14:paraId="68B0193C">
      <w:pPr>
        <w:keepNext w:val="0"/>
        <w:keepLines w:val="0"/>
        <w:pageBreakBefore w:val="0"/>
        <w:widowControl w:val="0"/>
        <w:numPr>
          <w:ilvl w:val="0"/>
          <w:numId w:val="0"/>
        </w:numPr>
        <w:suppressAutoHyphens/>
        <w:kinsoku/>
        <w:wordWrap/>
        <w:overflowPunct/>
        <w:topLinePunct w:val="0"/>
        <w:autoSpaceDE/>
        <w:autoSpaceDN/>
        <w:bidi w:val="0"/>
        <w:adjustRightInd/>
        <w:snapToGrid/>
        <w:spacing w:line="560" w:lineRule="exact"/>
        <w:ind w:leftChars="0"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sz w:val="28"/>
          <w:szCs w:val="28"/>
          <w:lang w:eastAsia="zh-Hans"/>
        </w:rPr>
        <w:t>为民服务中心</w:t>
      </w:r>
      <w:r>
        <w:rPr>
          <w:rFonts w:hint="eastAsia" w:ascii="华文仿宋" w:hAnsi="华文仿宋" w:eastAsia="华文仿宋" w:cs="华文仿宋"/>
          <w:sz w:val="28"/>
          <w:szCs w:val="28"/>
        </w:rPr>
        <w:t>38部</w:t>
      </w:r>
      <w:r>
        <w:rPr>
          <w:rFonts w:hint="eastAsia" w:ascii="华文仿宋" w:hAnsi="华文仿宋" w:eastAsia="华文仿宋" w:cs="华文仿宋"/>
          <w:sz w:val="28"/>
          <w:szCs w:val="28"/>
          <w:lang w:eastAsia="zh-Hans"/>
        </w:rPr>
        <w:t>电梯</w:t>
      </w:r>
      <w:r>
        <w:rPr>
          <w:rFonts w:hint="eastAsia" w:ascii="华文仿宋" w:hAnsi="华文仿宋" w:eastAsia="华文仿宋" w:cs="华文仿宋"/>
          <w:sz w:val="28"/>
          <w:szCs w:val="28"/>
          <w:lang w:eastAsia="zh-CN"/>
        </w:rPr>
        <w:t>的维修保养、日常维修、电梯操作、系统升级以及大中修等达到所有电梯安全高效运行状态的所有事项</w:t>
      </w:r>
      <w:r>
        <w:rPr>
          <w:rFonts w:hint="eastAsia" w:ascii="华文仿宋" w:hAnsi="华文仿宋" w:eastAsia="华文仿宋" w:cs="华文仿宋"/>
          <w:sz w:val="28"/>
          <w:szCs w:val="28"/>
          <w:lang w:val="ru-RU" w:eastAsia="zh-CN"/>
        </w:rPr>
        <w:t>。本项目采用包工包料方式承包，项目的</w:t>
      </w:r>
      <w:r>
        <w:rPr>
          <w:rFonts w:hint="eastAsia" w:ascii="华文仿宋" w:hAnsi="华文仿宋" w:eastAsia="华文仿宋" w:cs="华文仿宋"/>
          <w:sz w:val="28"/>
          <w:szCs w:val="28"/>
          <w:lang w:eastAsia="zh-CN"/>
        </w:rPr>
        <w:t>维修保养、日常维修、电梯操作、系统升级以及大中修等达到所有电梯安全高效运行状态的所有事项所产生的人工、材料、配件、税金等各项费用均由供应方承担。</w:t>
      </w:r>
    </w:p>
    <w:p w14:paraId="139CC754">
      <w:pPr>
        <w:keepNext w:val="0"/>
        <w:keepLines w:val="0"/>
        <w:pageBreakBefore w:val="0"/>
        <w:widowControl w:val="0"/>
        <w:suppressAutoHyphens/>
        <w:kinsoku/>
        <w:wordWrap/>
        <w:overflowPunct/>
        <w:topLinePunct w:val="0"/>
        <w:autoSpaceDE/>
        <w:autoSpaceDN/>
        <w:bidi w:val="0"/>
        <w:adjustRightInd/>
        <w:snapToGrid/>
        <w:spacing w:line="560" w:lineRule="exact"/>
        <w:ind w:leftChars="0" w:firstLine="566" w:firstLineChars="200"/>
        <w:jc w:val="center"/>
        <w:textAlignment w:val="auto"/>
        <w:rPr>
          <w:rFonts w:hint="eastAsia" w:ascii="华文仿宋" w:hAnsi="华文仿宋" w:eastAsia="华文仿宋" w:cs="华文仿宋"/>
          <w:b/>
          <w:sz w:val="28"/>
          <w:szCs w:val="28"/>
        </w:rPr>
      </w:pPr>
      <w:r>
        <w:rPr>
          <w:rFonts w:hint="eastAsia" w:ascii="华文仿宋" w:hAnsi="华文仿宋" w:eastAsia="华文仿宋" w:cs="华文仿宋"/>
          <w:b/>
          <w:sz w:val="28"/>
          <w:szCs w:val="28"/>
        </w:rPr>
        <w:t>参数明细</w:t>
      </w:r>
    </w:p>
    <w:tbl>
      <w:tblPr>
        <w:tblStyle w:val="21"/>
        <w:tblpPr w:leftFromText="180" w:rightFromText="180" w:vertAnchor="text" w:horzAnchor="page" w:tblpX="1374" w:tblpY="222"/>
        <w:tblOverlap w:val="never"/>
        <w:tblW w:w="97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53"/>
        <w:gridCol w:w="2751"/>
        <w:gridCol w:w="2126"/>
        <w:gridCol w:w="1417"/>
      </w:tblGrid>
      <w:tr w14:paraId="07B5B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3453" w:type="dxa"/>
            <w:noWrap w:val="0"/>
            <w:vAlign w:val="center"/>
          </w:tcPr>
          <w:p w14:paraId="14D0EA40">
            <w:pPr>
              <w:pBdr>
                <w:top w:val="none" w:color="auto" w:sz="0" w:space="1"/>
                <w:left w:val="none" w:color="auto" w:sz="0" w:space="4"/>
                <w:bottom w:val="none" w:color="auto" w:sz="0" w:space="1"/>
                <w:right w:val="none" w:color="auto" w:sz="0" w:space="4"/>
              </w:pBdr>
              <w:tabs>
                <w:tab w:val="left" w:pos="3070"/>
              </w:tabs>
              <w:spacing w:line="590" w:lineRule="exact"/>
              <w:jc w:val="center"/>
              <w:rPr>
                <w:rFonts w:hint="eastAsia" w:ascii="华文仿宋" w:hAnsi="华文仿宋" w:eastAsia="华文仿宋" w:cs="华文仿宋"/>
                <w:bCs/>
                <w:color w:val="000000"/>
                <w:sz w:val="28"/>
                <w:szCs w:val="28"/>
                <w:lang w:eastAsia="zh-Hans"/>
              </w:rPr>
            </w:pPr>
            <w:r>
              <w:rPr>
                <w:rFonts w:hint="eastAsia" w:ascii="华文仿宋" w:hAnsi="华文仿宋" w:eastAsia="华文仿宋" w:cs="华文仿宋"/>
                <w:bCs/>
                <w:color w:val="000000"/>
                <w:sz w:val="28"/>
                <w:szCs w:val="28"/>
                <w:lang w:eastAsia="zh-Hans"/>
              </w:rPr>
              <w:t>位置</w:t>
            </w:r>
          </w:p>
        </w:tc>
        <w:tc>
          <w:tcPr>
            <w:tcW w:w="2751" w:type="dxa"/>
            <w:noWrap w:val="0"/>
            <w:vAlign w:val="center"/>
          </w:tcPr>
          <w:p w14:paraId="66C66431">
            <w:pPr>
              <w:pBdr>
                <w:top w:val="none" w:color="auto" w:sz="0" w:space="1"/>
                <w:left w:val="none" w:color="auto" w:sz="0" w:space="4"/>
                <w:bottom w:val="none" w:color="auto" w:sz="0" w:space="1"/>
                <w:right w:val="none" w:color="auto" w:sz="0" w:space="4"/>
              </w:pBdr>
              <w:tabs>
                <w:tab w:val="left" w:pos="3070"/>
              </w:tabs>
              <w:spacing w:line="590" w:lineRule="exact"/>
              <w:jc w:val="center"/>
              <w:rPr>
                <w:rFonts w:hint="eastAsia" w:ascii="华文仿宋" w:hAnsi="华文仿宋" w:eastAsia="华文仿宋" w:cs="华文仿宋"/>
                <w:bCs/>
                <w:color w:val="000000"/>
                <w:sz w:val="28"/>
                <w:szCs w:val="28"/>
                <w:lang w:eastAsia="zh-Hans"/>
              </w:rPr>
            </w:pPr>
            <w:r>
              <w:rPr>
                <w:rFonts w:hint="eastAsia" w:ascii="华文仿宋" w:hAnsi="华文仿宋" w:eastAsia="华文仿宋" w:cs="华文仿宋"/>
                <w:bCs/>
                <w:color w:val="000000"/>
                <w:sz w:val="28"/>
                <w:szCs w:val="28"/>
                <w:lang w:eastAsia="zh-Hans"/>
              </w:rPr>
              <w:t>电梯编号</w:t>
            </w:r>
          </w:p>
        </w:tc>
        <w:tc>
          <w:tcPr>
            <w:tcW w:w="2126" w:type="dxa"/>
            <w:noWrap w:val="0"/>
            <w:vAlign w:val="center"/>
          </w:tcPr>
          <w:p w14:paraId="79849E2A">
            <w:pPr>
              <w:pBdr>
                <w:top w:val="none" w:color="auto" w:sz="0" w:space="1"/>
                <w:left w:val="none" w:color="auto" w:sz="0" w:space="4"/>
                <w:bottom w:val="none" w:color="auto" w:sz="0" w:space="1"/>
                <w:right w:val="none" w:color="auto" w:sz="0" w:space="4"/>
              </w:pBdr>
              <w:tabs>
                <w:tab w:val="left" w:pos="3070"/>
              </w:tabs>
              <w:spacing w:line="590" w:lineRule="exact"/>
              <w:jc w:val="center"/>
              <w:rPr>
                <w:rFonts w:hint="eastAsia" w:ascii="华文仿宋" w:hAnsi="华文仿宋" w:eastAsia="华文仿宋" w:cs="华文仿宋"/>
                <w:bCs/>
                <w:color w:val="000000"/>
                <w:sz w:val="28"/>
                <w:szCs w:val="28"/>
              </w:rPr>
            </w:pPr>
            <w:r>
              <w:rPr>
                <w:rFonts w:hint="eastAsia" w:ascii="华文仿宋" w:hAnsi="华文仿宋" w:eastAsia="华文仿宋" w:cs="华文仿宋"/>
                <w:bCs/>
                <w:color w:val="000000"/>
                <w:sz w:val="28"/>
                <w:szCs w:val="28"/>
                <w:lang w:eastAsia="zh-Hans"/>
              </w:rPr>
              <w:t>规格型号</w:t>
            </w:r>
          </w:p>
        </w:tc>
        <w:tc>
          <w:tcPr>
            <w:tcW w:w="1417" w:type="dxa"/>
            <w:noWrap w:val="0"/>
            <w:vAlign w:val="center"/>
          </w:tcPr>
          <w:p w14:paraId="78552725">
            <w:pPr>
              <w:pBdr>
                <w:top w:val="none" w:color="auto" w:sz="0" w:space="1"/>
                <w:left w:val="none" w:color="auto" w:sz="0" w:space="4"/>
                <w:bottom w:val="none" w:color="auto" w:sz="0" w:space="1"/>
                <w:right w:val="none" w:color="auto" w:sz="0" w:space="4"/>
              </w:pBdr>
              <w:tabs>
                <w:tab w:val="left" w:pos="3070"/>
              </w:tabs>
              <w:spacing w:line="590" w:lineRule="exact"/>
              <w:rPr>
                <w:rFonts w:hint="eastAsia" w:ascii="华文仿宋" w:hAnsi="华文仿宋" w:eastAsia="华文仿宋" w:cs="华文仿宋"/>
                <w:bCs/>
                <w:color w:val="000000"/>
                <w:sz w:val="28"/>
                <w:szCs w:val="28"/>
              </w:rPr>
            </w:pPr>
            <w:r>
              <w:rPr>
                <w:rFonts w:hint="eastAsia" w:ascii="华文仿宋" w:hAnsi="华文仿宋" w:eastAsia="华文仿宋" w:cs="华文仿宋"/>
                <w:bCs/>
                <w:color w:val="000000"/>
                <w:sz w:val="28"/>
                <w:szCs w:val="28"/>
                <w:lang w:eastAsia="zh-Hans"/>
              </w:rPr>
              <w:t>数量（部）</w:t>
            </w:r>
          </w:p>
        </w:tc>
      </w:tr>
      <w:tr w14:paraId="453E2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3453" w:type="dxa"/>
            <w:noWrap w:val="0"/>
            <w:vAlign w:val="center"/>
          </w:tcPr>
          <w:p w14:paraId="049E121E">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新区为民服务中心1#楼</w:t>
            </w:r>
          </w:p>
        </w:tc>
        <w:tc>
          <w:tcPr>
            <w:tcW w:w="2751" w:type="dxa"/>
            <w:noWrap w:val="0"/>
            <w:vAlign w:val="center"/>
          </w:tcPr>
          <w:p w14:paraId="3804E5CB">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E/30034651.001-013</w:t>
            </w:r>
          </w:p>
        </w:tc>
        <w:tc>
          <w:tcPr>
            <w:tcW w:w="2126" w:type="dxa"/>
            <w:noWrap w:val="0"/>
            <w:vAlign w:val="center"/>
          </w:tcPr>
          <w:p w14:paraId="3ADF72A9">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TE-Evolution1</w:t>
            </w:r>
          </w:p>
        </w:tc>
        <w:tc>
          <w:tcPr>
            <w:tcW w:w="1417" w:type="dxa"/>
            <w:noWrap w:val="0"/>
            <w:vAlign w:val="center"/>
          </w:tcPr>
          <w:p w14:paraId="4DE2C591">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13</w:t>
            </w:r>
          </w:p>
        </w:tc>
      </w:tr>
      <w:tr w14:paraId="6F08C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3453" w:type="dxa"/>
            <w:noWrap w:val="0"/>
            <w:vAlign w:val="center"/>
          </w:tcPr>
          <w:p w14:paraId="5206B0B9">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北区餐厅</w:t>
            </w:r>
          </w:p>
        </w:tc>
        <w:tc>
          <w:tcPr>
            <w:tcW w:w="2751" w:type="dxa"/>
            <w:noWrap w:val="0"/>
            <w:vAlign w:val="center"/>
          </w:tcPr>
          <w:p w14:paraId="7ACCEFB0">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E/30034651.014-015</w:t>
            </w:r>
          </w:p>
        </w:tc>
        <w:tc>
          <w:tcPr>
            <w:tcW w:w="2126" w:type="dxa"/>
            <w:noWrap w:val="0"/>
            <w:vAlign w:val="center"/>
          </w:tcPr>
          <w:p w14:paraId="5894BF12">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TE-Evolutionl</w:t>
            </w:r>
          </w:p>
        </w:tc>
        <w:tc>
          <w:tcPr>
            <w:tcW w:w="1417" w:type="dxa"/>
            <w:noWrap w:val="0"/>
            <w:vAlign w:val="center"/>
          </w:tcPr>
          <w:p w14:paraId="5F00256E">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2</w:t>
            </w:r>
          </w:p>
        </w:tc>
      </w:tr>
      <w:tr w14:paraId="4BFA9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trPr>
        <w:tc>
          <w:tcPr>
            <w:tcW w:w="3453" w:type="dxa"/>
            <w:noWrap w:val="0"/>
            <w:vAlign w:val="center"/>
          </w:tcPr>
          <w:p w14:paraId="4E5BC6F4">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新区为民服务中心2-5#楼</w:t>
            </w:r>
          </w:p>
        </w:tc>
        <w:tc>
          <w:tcPr>
            <w:tcW w:w="2751" w:type="dxa"/>
            <w:noWrap w:val="0"/>
            <w:vAlign w:val="center"/>
          </w:tcPr>
          <w:p w14:paraId="2F4CA902">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E/30034651.016-023</w:t>
            </w:r>
          </w:p>
        </w:tc>
        <w:tc>
          <w:tcPr>
            <w:tcW w:w="2126" w:type="dxa"/>
            <w:noWrap w:val="0"/>
            <w:vAlign w:val="center"/>
          </w:tcPr>
          <w:p w14:paraId="56340E49">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TE-Evolutionl</w:t>
            </w:r>
          </w:p>
        </w:tc>
        <w:tc>
          <w:tcPr>
            <w:tcW w:w="1417" w:type="dxa"/>
            <w:noWrap w:val="0"/>
            <w:vAlign w:val="center"/>
          </w:tcPr>
          <w:p w14:paraId="1F827AC7">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8</w:t>
            </w:r>
          </w:p>
        </w:tc>
      </w:tr>
      <w:tr w14:paraId="25571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3453" w:type="dxa"/>
            <w:noWrap w:val="0"/>
            <w:vAlign w:val="center"/>
          </w:tcPr>
          <w:p w14:paraId="660E0E2D">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新区为民服务中心6-7#楼</w:t>
            </w:r>
          </w:p>
        </w:tc>
        <w:tc>
          <w:tcPr>
            <w:tcW w:w="2751" w:type="dxa"/>
            <w:noWrap w:val="0"/>
            <w:vAlign w:val="center"/>
          </w:tcPr>
          <w:p w14:paraId="59AF891A">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E/30034651.024-036</w:t>
            </w:r>
          </w:p>
        </w:tc>
        <w:tc>
          <w:tcPr>
            <w:tcW w:w="2126" w:type="dxa"/>
            <w:noWrap w:val="0"/>
            <w:vAlign w:val="center"/>
          </w:tcPr>
          <w:p w14:paraId="618563A3">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TE-Evolutionl</w:t>
            </w:r>
          </w:p>
        </w:tc>
        <w:tc>
          <w:tcPr>
            <w:tcW w:w="1417" w:type="dxa"/>
            <w:noWrap w:val="0"/>
            <w:vAlign w:val="center"/>
          </w:tcPr>
          <w:p w14:paraId="55EB4F8A">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13</w:t>
            </w:r>
          </w:p>
        </w:tc>
      </w:tr>
      <w:tr w14:paraId="7FADC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3453" w:type="dxa"/>
            <w:noWrap w:val="0"/>
            <w:vAlign w:val="center"/>
          </w:tcPr>
          <w:p w14:paraId="546BB2DF">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新区为民服务中心8#楼</w:t>
            </w:r>
          </w:p>
        </w:tc>
        <w:tc>
          <w:tcPr>
            <w:tcW w:w="2751" w:type="dxa"/>
            <w:noWrap w:val="0"/>
            <w:vAlign w:val="center"/>
          </w:tcPr>
          <w:p w14:paraId="35F6840F">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E/30034651.037-038</w:t>
            </w:r>
          </w:p>
        </w:tc>
        <w:tc>
          <w:tcPr>
            <w:tcW w:w="2126" w:type="dxa"/>
            <w:noWrap w:val="0"/>
            <w:vAlign w:val="center"/>
          </w:tcPr>
          <w:p w14:paraId="346114D7">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TE-Evolutionl</w:t>
            </w:r>
          </w:p>
        </w:tc>
        <w:tc>
          <w:tcPr>
            <w:tcW w:w="1417" w:type="dxa"/>
            <w:noWrap w:val="0"/>
            <w:vAlign w:val="center"/>
          </w:tcPr>
          <w:p w14:paraId="7B44C00C">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2</w:t>
            </w:r>
          </w:p>
        </w:tc>
      </w:tr>
      <w:tr w14:paraId="29CD3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8330" w:type="dxa"/>
            <w:gridSpan w:val="3"/>
            <w:noWrap w:val="0"/>
            <w:vAlign w:val="center"/>
          </w:tcPr>
          <w:p w14:paraId="17BC4E98">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合计</w:t>
            </w:r>
          </w:p>
        </w:tc>
        <w:tc>
          <w:tcPr>
            <w:tcW w:w="1417" w:type="dxa"/>
            <w:noWrap w:val="0"/>
            <w:vAlign w:val="center"/>
          </w:tcPr>
          <w:p w14:paraId="2692956F">
            <w:pPr>
              <w:spacing w:line="360" w:lineRule="auto"/>
              <w:jc w:val="center"/>
              <w:rPr>
                <w:rFonts w:hint="eastAsia" w:ascii="华文仿宋" w:hAnsi="华文仿宋" w:eastAsia="华文仿宋" w:cs="华文仿宋"/>
                <w:sz w:val="28"/>
                <w:szCs w:val="28"/>
              </w:rPr>
            </w:pPr>
            <w:r>
              <w:rPr>
                <w:rFonts w:hint="eastAsia" w:ascii="华文仿宋" w:hAnsi="华文仿宋" w:eastAsia="华文仿宋" w:cs="华文仿宋"/>
                <w:sz w:val="28"/>
                <w:szCs w:val="28"/>
              </w:rPr>
              <w:t>38</w:t>
            </w:r>
          </w:p>
        </w:tc>
      </w:tr>
    </w:tbl>
    <w:p w14:paraId="069B1066">
      <w:pPr>
        <w:widowControl w:val="0"/>
        <w:spacing w:line="560" w:lineRule="exact"/>
        <w:ind w:firstLine="566" w:firstLineChars="200"/>
        <w:jc w:val="both"/>
        <w:rPr>
          <w:rFonts w:hint="eastAsia" w:ascii="华文仿宋" w:hAnsi="华文仿宋" w:eastAsia="华文仿宋" w:cs="华文仿宋"/>
          <w:b/>
          <w:color w:val="auto"/>
          <w:kern w:val="2"/>
          <w:sz w:val="28"/>
          <w:szCs w:val="28"/>
          <w:lang w:val="en-US" w:eastAsia="zh-CN" w:bidi="ar-SA"/>
        </w:rPr>
      </w:pPr>
      <w:r>
        <w:rPr>
          <w:rFonts w:hint="eastAsia" w:ascii="华文仿宋" w:hAnsi="华文仿宋" w:cs="华文仿宋"/>
          <w:b/>
          <w:color w:val="auto"/>
          <w:kern w:val="2"/>
          <w:sz w:val="28"/>
          <w:szCs w:val="28"/>
          <w:lang w:val="en-US" w:eastAsia="zh-CN" w:bidi="ar-SA"/>
        </w:rPr>
        <w:t>二、</w:t>
      </w:r>
      <w:r>
        <w:rPr>
          <w:rFonts w:hint="eastAsia" w:ascii="华文仿宋" w:hAnsi="华文仿宋" w:eastAsia="华文仿宋" w:cs="华文仿宋"/>
          <w:b/>
          <w:color w:val="auto"/>
          <w:kern w:val="2"/>
          <w:sz w:val="28"/>
          <w:szCs w:val="28"/>
          <w:lang w:val="en-US" w:eastAsia="zh-Hans" w:bidi="ar-SA"/>
        </w:rPr>
        <w:t>委托</w:t>
      </w:r>
      <w:r>
        <w:rPr>
          <w:rFonts w:hint="eastAsia" w:ascii="华文仿宋" w:hAnsi="华文仿宋" w:eastAsia="华文仿宋" w:cs="华文仿宋"/>
          <w:b/>
          <w:color w:val="auto"/>
          <w:kern w:val="2"/>
          <w:sz w:val="28"/>
          <w:szCs w:val="28"/>
          <w:lang w:val="en-US" w:eastAsia="zh-CN" w:bidi="ar-SA"/>
        </w:rPr>
        <w:t>服务内容</w:t>
      </w:r>
    </w:p>
    <w:p w14:paraId="77339C45">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延安市为民服务中心38部电梯维保（包括大包</w:t>
      </w:r>
      <w:r>
        <w:rPr>
          <w:rFonts w:hint="eastAsia" w:ascii="华文仿宋" w:hAnsi="华文仿宋" w:eastAsia="华文仿宋" w:cs="华文仿宋"/>
          <w:sz w:val="28"/>
          <w:szCs w:val="28"/>
          <w:lang w:val="en-US" w:eastAsia="zh-Hans"/>
        </w:rPr>
        <w:t>大中</w:t>
      </w:r>
      <w:r>
        <w:rPr>
          <w:rFonts w:hint="eastAsia" w:ascii="华文仿宋" w:hAnsi="华文仿宋" w:eastAsia="华文仿宋" w:cs="华文仿宋"/>
          <w:sz w:val="28"/>
          <w:szCs w:val="28"/>
          <w:lang w:val="en-US" w:eastAsia="zh-CN"/>
        </w:rPr>
        <w:t>小</w:t>
      </w:r>
      <w:r>
        <w:rPr>
          <w:rFonts w:hint="eastAsia" w:ascii="华文仿宋" w:hAnsi="华文仿宋" w:eastAsia="华文仿宋" w:cs="华文仿宋"/>
          <w:sz w:val="28"/>
          <w:szCs w:val="28"/>
          <w:lang w:val="en-US" w:eastAsia="zh-Hans"/>
        </w:rPr>
        <w:t>维修</w:t>
      </w:r>
      <w:r>
        <w:rPr>
          <w:rFonts w:hint="eastAsia" w:ascii="华文仿宋" w:hAnsi="华文仿宋" w:eastAsia="华文仿宋" w:cs="华文仿宋"/>
          <w:sz w:val="28"/>
          <w:szCs w:val="28"/>
          <w:lang w:val="en-US" w:eastAsia="zh-CN"/>
        </w:rPr>
        <w:t>）：一是常规保养。严格按照《电梯维护保养规则》（TSG T5002-2017）、</w:t>
      </w:r>
      <w:r>
        <w:rPr>
          <w:rFonts w:hint="eastAsia" w:ascii="华文仿宋" w:hAnsi="华文仿宋" w:eastAsia="华文仿宋" w:cs="华文仿宋"/>
          <w:sz w:val="28"/>
          <w:szCs w:val="28"/>
          <w:lang w:val="zh-CN" w:eastAsia="zh-CN"/>
        </w:rPr>
        <w:t xml:space="preserve">《特种设备使用管理规则》（TSG </w:t>
      </w:r>
      <w:r>
        <w:rPr>
          <w:rFonts w:hint="eastAsia" w:ascii="华文仿宋" w:hAnsi="华文仿宋" w:eastAsia="华文仿宋" w:cs="华文仿宋"/>
          <w:sz w:val="28"/>
          <w:szCs w:val="28"/>
          <w:lang w:val="en-US" w:eastAsia="zh-CN"/>
        </w:rPr>
        <w:t>08</w:t>
      </w:r>
      <w:r>
        <w:rPr>
          <w:rFonts w:hint="eastAsia" w:ascii="华文仿宋" w:hAnsi="华文仿宋" w:eastAsia="华文仿宋" w:cs="华文仿宋"/>
          <w:sz w:val="28"/>
          <w:szCs w:val="28"/>
          <w:lang w:val="zh-CN" w:eastAsia="zh-CN"/>
        </w:rPr>
        <w:t>-20</w:t>
      </w:r>
      <w:r>
        <w:rPr>
          <w:rFonts w:hint="eastAsia" w:ascii="华文仿宋" w:hAnsi="华文仿宋" w:eastAsia="华文仿宋" w:cs="华文仿宋"/>
          <w:sz w:val="28"/>
          <w:szCs w:val="28"/>
          <w:lang w:val="en-US" w:eastAsia="zh-CN"/>
        </w:rPr>
        <w:t>26</w:t>
      </w:r>
      <w:r>
        <w:rPr>
          <w:rFonts w:hint="eastAsia" w:ascii="华文仿宋" w:hAnsi="华文仿宋" w:eastAsia="华文仿宋" w:cs="华文仿宋"/>
          <w:sz w:val="28"/>
          <w:szCs w:val="28"/>
          <w:lang w:val="zh-CN" w:eastAsia="zh-CN"/>
        </w:rPr>
        <w:t>）等相关规定</w:t>
      </w:r>
      <w:r>
        <w:rPr>
          <w:rFonts w:hint="eastAsia" w:ascii="华文仿宋" w:hAnsi="华文仿宋" w:eastAsia="华文仿宋" w:cs="华文仿宋"/>
          <w:sz w:val="28"/>
          <w:szCs w:val="28"/>
          <w:lang w:val="en-US" w:eastAsia="zh-CN"/>
        </w:rPr>
        <w:t>和电梯生产厂商保养标准要求，对电梯实施日常、季度、半年、年度保养。二是大</w:t>
      </w:r>
      <w:r>
        <w:rPr>
          <w:rFonts w:hint="eastAsia" w:ascii="华文仿宋" w:hAnsi="华文仿宋" w:eastAsia="华文仿宋" w:cs="华文仿宋"/>
          <w:sz w:val="28"/>
          <w:szCs w:val="28"/>
          <w:lang w:val="en-US" w:eastAsia="zh-Hans"/>
        </w:rPr>
        <w:t>中</w:t>
      </w:r>
      <w:r>
        <w:rPr>
          <w:rFonts w:hint="eastAsia" w:ascii="华文仿宋" w:hAnsi="华文仿宋" w:eastAsia="华文仿宋" w:cs="华文仿宋"/>
          <w:sz w:val="28"/>
          <w:szCs w:val="28"/>
          <w:lang w:val="en-US" w:eastAsia="zh-CN"/>
        </w:rPr>
        <w:t>小型维修保养。根据行业规定标准和电梯厂家的运行规范，对已到达使用寿命或损坏的配件和设备进行更换。三是故障维修。对所有电梯进行安全运行排查检修，对运行中的意外</w:t>
      </w:r>
      <w:r>
        <w:rPr>
          <w:rFonts w:hint="eastAsia" w:ascii="华文仿宋" w:hAnsi="华文仿宋" w:eastAsia="华文仿宋" w:cs="华文仿宋"/>
          <w:sz w:val="28"/>
          <w:szCs w:val="28"/>
          <w:lang w:val="en-US" w:eastAsia="zh-Hans"/>
        </w:rPr>
        <w:t>故障</w:t>
      </w:r>
      <w:r>
        <w:rPr>
          <w:rFonts w:hint="eastAsia" w:ascii="华文仿宋" w:hAnsi="华文仿宋" w:eastAsia="华文仿宋" w:cs="华文仿宋"/>
          <w:sz w:val="28"/>
          <w:szCs w:val="28"/>
          <w:lang w:val="en-US" w:eastAsia="zh-CN"/>
        </w:rPr>
        <w:t>进行维修、抢修。四是电梯服务。定期进行电梯联动调试，并按采购方要求实现电梯联动运行；承担重大活动的电梯操作控制任务，保障重大活动顺利进行。</w:t>
      </w:r>
    </w:p>
    <w:p w14:paraId="1A2FDA29">
      <w:pPr>
        <w:widowControl w:val="0"/>
        <w:spacing w:line="560" w:lineRule="exact"/>
        <w:ind w:firstLine="566" w:firstLineChars="200"/>
        <w:jc w:val="both"/>
        <w:rPr>
          <w:rFonts w:hint="eastAsia" w:ascii="华文仿宋" w:hAnsi="华文仿宋" w:eastAsia="华文仿宋" w:cs="华文仿宋"/>
          <w:b/>
          <w:bCs/>
          <w:color w:val="auto"/>
          <w:kern w:val="2"/>
          <w:sz w:val="28"/>
          <w:szCs w:val="28"/>
          <w:lang w:val="en-US" w:eastAsia="zh-CN" w:bidi="ar-SA"/>
        </w:rPr>
      </w:pPr>
      <w:r>
        <w:rPr>
          <w:rFonts w:hint="eastAsia" w:ascii="华文仿宋" w:hAnsi="华文仿宋" w:cs="华文仿宋"/>
          <w:b/>
          <w:bCs/>
          <w:color w:val="auto"/>
          <w:kern w:val="2"/>
          <w:sz w:val="28"/>
          <w:szCs w:val="28"/>
          <w:lang w:val="en-US" w:eastAsia="zh-CN" w:bidi="ar-SA"/>
        </w:rPr>
        <w:t>三、</w:t>
      </w:r>
      <w:r>
        <w:rPr>
          <w:rFonts w:hint="eastAsia" w:ascii="华文仿宋" w:hAnsi="华文仿宋" w:eastAsia="华文仿宋" w:cs="华文仿宋"/>
          <w:b/>
          <w:bCs/>
          <w:color w:val="auto"/>
          <w:kern w:val="2"/>
          <w:sz w:val="28"/>
          <w:szCs w:val="28"/>
          <w:lang w:val="en-US" w:eastAsia="zh-Hans" w:bidi="ar-SA"/>
        </w:rPr>
        <w:t>委托</w:t>
      </w:r>
      <w:r>
        <w:rPr>
          <w:rFonts w:hint="eastAsia" w:ascii="华文仿宋" w:hAnsi="华文仿宋" w:eastAsia="华文仿宋" w:cs="华文仿宋"/>
          <w:b/>
          <w:bCs/>
          <w:color w:val="auto"/>
          <w:kern w:val="2"/>
          <w:sz w:val="28"/>
          <w:szCs w:val="28"/>
          <w:lang w:val="en-US" w:eastAsia="zh-CN" w:bidi="ar-SA"/>
        </w:rPr>
        <w:t>服务期限</w:t>
      </w:r>
    </w:p>
    <w:p w14:paraId="16A0D127">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合同签订期限：按一年预算进行招标，服务期最长三年，合同自签订之日起，一年一签。合同期满前六十日内，经采购人对成交人进行年度考核，考核得分达到90分及以上，在双方就服务内容及价格无异议且财政预算有保障的前提下，可续签下一年度合同，最多续签两次，考核得分未达到前述标准的，采购人有权不在续签，另行组织采购。</w:t>
      </w:r>
    </w:p>
    <w:p w14:paraId="42CCDE6B">
      <w:pPr>
        <w:keepNext w:val="0"/>
        <w:keepLines w:val="0"/>
        <w:pageBreakBefore w:val="0"/>
        <w:widowControl w:val="0"/>
        <w:numPr>
          <w:ilvl w:val="0"/>
          <w:numId w:val="0"/>
        </w:numPr>
        <w:suppressAutoHyphens/>
        <w:kinsoku/>
        <w:wordWrap/>
        <w:overflowPunct/>
        <w:topLinePunct w:val="0"/>
        <w:autoSpaceDE/>
        <w:autoSpaceDN/>
        <w:bidi w:val="0"/>
        <w:adjustRightInd/>
        <w:snapToGrid/>
        <w:spacing w:line="540" w:lineRule="atLeast"/>
        <w:ind w:firstLine="566" w:firstLineChars="200"/>
        <w:textAlignment w:val="auto"/>
        <w:rPr>
          <w:rFonts w:hint="eastAsia" w:ascii="华文仿宋" w:hAnsi="华文仿宋" w:eastAsia="华文仿宋" w:cs="华文仿宋"/>
          <w:b/>
          <w:bCs/>
          <w:sz w:val="28"/>
          <w:szCs w:val="28"/>
        </w:rPr>
      </w:pPr>
      <w:r>
        <w:rPr>
          <w:rFonts w:hint="eastAsia" w:ascii="华文仿宋" w:hAnsi="华文仿宋" w:eastAsia="华文仿宋" w:cs="华文仿宋"/>
          <w:b/>
          <w:bCs/>
          <w:sz w:val="28"/>
          <w:szCs w:val="28"/>
          <w:lang w:eastAsia="zh-CN"/>
        </w:rPr>
        <w:t>四</w:t>
      </w:r>
      <w:r>
        <w:rPr>
          <w:rFonts w:hint="eastAsia" w:ascii="华文仿宋" w:hAnsi="华文仿宋" w:cs="华文仿宋"/>
          <w:b/>
          <w:bCs/>
          <w:sz w:val="28"/>
          <w:szCs w:val="28"/>
          <w:lang w:eastAsia="zh-CN"/>
        </w:rPr>
        <w:t>、</w:t>
      </w:r>
      <w:r>
        <w:rPr>
          <w:rFonts w:hint="eastAsia" w:ascii="华文仿宋" w:hAnsi="华文仿宋" w:eastAsia="华文仿宋" w:cs="华文仿宋"/>
          <w:b/>
          <w:bCs/>
          <w:sz w:val="28"/>
          <w:szCs w:val="28"/>
        </w:rPr>
        <w:t>发包形式</w:t>
      </w:r>
    </w:p>
    <w:p w14:paraId="2647A056">
      <w:pPr>
        <w:keepNext w:val="0"/>
        <w:keepLines w:val="0"/>
        <w:pageBreakBefore w:val="0"/>
        <w:widowControl w:val="0"/>
        <w:numPr>
          <w:ilvl w:val="0"/>
          <w:numId w:val="0"/>
        </w:numPr>
        <w:suppressAutoHyphens/>
        <w:kinsoku/>
        <w:wordWrap/>
        <w:overflowPunct/>
        <w:topLinePunct w:val="0"/>
        <w:autoSpaceDE/>
        <w:autoSpaceDN/>
        <w:bidi w:val="0"/>
        <w:adjustRightInd/>
        <w:snapToGrid/>
        <w:spacing w:line="540" w:lineRule="atLeast"/>
        <w:ind w:firstLine="566" w:firstLineChars="200"/>
        <w:textAlignment w:val="auto"/>
        <w:rPr>
          <w:rFonts w:hint="eastAsia" w:ascii="华文仿宋" w:hAnsi="华文仿宋" w:eastAsia="华文仿宋" w:cs="华文仿宋"/>
          <w:sz w:val="28"/>
          <w:szCs w:val="28"/>
        </w:rPr>
      </w:pPr>
      <w:r>
        <w:rPr>
          <w:rFonts w:hint="eastAsia" w:ascii="华文仿宋" w:hAnsi="华文仿宋" w:eastAsia="华文仿宋" w:cs="华文仿宋"/>
          <w:bCs/>
          <w:sz w:val="28"/>
          <w:szCs w:val="28"/>
        </w:rPr>
        <w:t>完全</w:t>
      </w:r>
      <w:r>
        <w:rPr>
          <w:rFonts w:hint="eastAsia" w:ascii="华文仿宋" w:hAnsi="华文仿宋" w:eastAsia="华文仿宋" w:cs="华文仿宋"/>
          <w:sz w:val="28"/>
          <w:szCs w:val="28"/>
        </w:rPr>
        <w:t>包工包料，包括该项目达到安全正常运行所产生所有人工以及电梯维保及大中维修和日常维修所需的维修材料、配件更新、系统升级等达到服务质量标准的一切费用。</w:t>
      </w:r>
    </w:p>
    <w:p w14:paraId="29B17359">
      <w:pPr>
        <w:widowControl w:val="0"/>
        <w:spacing w:line="560" w:lineRule="exact"/>
        <w:ind w:firstLine="566" w:firstLineChars="200"/>
        <w:jc w:val="both"/>
        <w:rPr>
          <w:rFonts w:hint="eastAsia" w:ascii="华文仿宋" w:hAnsi="华文仿宋" w:eastAsia="华文仿宋" w:cs="华文仿宋"/>
          <w:b/>
          <w:bCs/>
          <w:color w:val="auto"/>
          <w:kern w:val="2"/>
          <w:sz w:val="28"/>
          <w:szCs w:val="28"/>
          <w:lang w:val="en-US" w:eastAsia="zh-CN" w:bidi="ar-SA"/>
        </w:rPr>
      </w:pPr>
      <w:r>
        <w:rPr>
          <w:rFonts w:hint="eastAsia" w:ascii="华文仿宋" w:hAnsi="华文仿宋" w:eastAsia="华文仿宋" w:cs="华文仿宋"/>
          <w:b/>
          <w:bCs/>
          <w:color w:val="auto"/>
          <w:kern w:val="2"/>
          <w:sz w:val="28"/>
          <w:szCs w:val="28"/>
          <w:lang w:val="en-US" w:eastAsia="zh-CN" w:bidi="ar-SA"/>
        </w:rPr>
        <w:t>五</w:t>
      </w:r>
      <w:r>
        <w:rPr>
          <w:rFonts w:hint="eastAsia" w:ascii="华文仿宋" w:hAnsi="华文仿宋" w:cs="华文仿宋"/>
          <w:b/>
          <w:bCs/>
          <w:color w:val="auto"/>
          <w:kern w:val="2"/>
          <w:sz w:val="28"/>
          <w:szCs w:val="28"/>
          <w:lang w:val="en-US" w:eastAsia="zh-CN" w:bidi="ar-SA"/>
        </w:rPr>
        <w:t>、</w:t>
      </w:r>
      <w:r>
        <w:rPr>
          <w:rFonts w:hint="eastAsia" w:ascii="华文仿宋" w:hAnsi="华文仿宋" w:eastAsia="华文仿宋" w:cs="华文仿宋"/>
          <w:b/>
          <w:bCs/>
          <w:color w:val="auto"/>
          <w:kern w:val="2"/>
          <w:sz w:val="28"/>
          <w:szCs w:val="28"/>
          <w:lang w:val="en-US" w:eastAsia="zh-CN" w:bidi="ar-SA"/>
        </w:rPr>
        <w:t>服务方针</w:t>
      </w:r>
    </w:p>
    <w:p w14:paraId="6EEA9679">
      <w:pPr>
        <w:widowControl w:val="0"/>
        <w:spacing w:line="560" w:lineRule="exact"/>
        <w:ind w:firstLine="566" w:firstLineChars="200"/>
        <w:jc w:val="both"/>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全体员工须认真执行国家法律、法规和行业规程，严格按照</w:t>
      </w:r>
      <w:r>
        <w:rPr>
          <w:rFonts w:hint="eastAsia" w:ascii="华文仿宋" w:hAnsi="华文仿宋" w:eastAsia="华文仿宋" w:cs="华文仿宋"/>
          <w:color w:val="auto"/>
          <w:kern w:val="2"/>
          <w:sz w:val="28"/>
          <w:szCs w:val="28"/>
          <w:lang w:val="en-US" w:eastAsia="zh-Hans" w:bidi="ar-SA"/>
        </w:rPr>
        <w:t>蒂森克虏伯公司</w:t>
      </w:r>
      <w:r>
        <w:rPr>
          <w:rFonts w:hint="eastAsia" w:ascii="华文仿宋" w:hAnsi="华文仿宋" w:eastAsia="华文仿宋" w:cs="华文仿宋"/>
          <w:color w:val="auto"/>
          <w:kern w:val="2"/>
          <w:sz w:val="28"/>
          <w:szCs w:val="28"/>
          <w:lang w:val="en-US" w:eastAsia="zh-CN" w:bidi="ar-SA"/>
        </w:rPr>
        <w:t>的各项安全、质量、职业道德的管理要求，本着“安全第一、质量优良、用户至上、持续改进”的质量方针和“卓越服务、八大准则”的服务理念,为用户提供更满意的服务。</w:t>
      </w:r>
    </w:p>
    <w:p w14:paraId="3BEA82D0">
      <w:pPr>
        <w:widowControl w:val="0"/>
        <w:spacing w:line="560" w:lineRule="exact"/>
        <w:ind w:firstLine="566" w:firstLineChars="200"/>
        <w:jc w:val="both"/>
        <w:rPr>
          <w:rFonts w:hint="eastAsia" w:ascii="华文仿宋" w:hAnsi="华文仿宋" w:eastAsia="华文仿宋" w:cs="华文仿宋"/>
          <w:b/>
          <w:bCs/>
          <w:color w:val="993300"/>
          <w:kern w:val="2"/>
          <w:sz w:val="28"/>
          <w:szCs w:val="28"/>
          <w:lang w:val="en-US" w:eastAsia="zh-CN" w:bidi="ar-SA"/>
        </w:rPr>
      </w:pPr>
      <w:r>
        <w:rPr>
          <w:rFonts w:hint="eastAsia" w:ascii="华文仿宋" w:hAnsi="华文仿宋" w:eastAsia="华文仿宋" w:cs="华文仿宋"/>
          <w:b/>
          <w:bCs/>
          <w:color w:val="auto"/>
          <w:kern w:val="2"/>
          <w:sz w:val="28"/>
          <w:szCs w:val="28"/>
          <w:lang w:val="en-US" w:eastAsia="zh-CN" w:bidi="ar-SA"/>
        </w:rPr>
        <w:t>六</w:t>
      </w:r>
      <w:r>
        <w:rPr>
          <w:rFonts w:hint="eastAsia" w:ascii="华文仿宋" w:hAnsi="华文仿宋" w:cs="华文仿宋"/>
          <w:b/>
          <w:bCs/>
          <w:color w:val="auto"/>
          <w:kern w:val="2"/>
          <w:sz w:val="28"/>
          <w:szCs w:val="28"/>
          <w:lang w:val="en-US" w:eastAsia="zh-CN" w:bidi="ar-SA"/>
        </w:rPr>
        <w:t>、</w:t>
      </w:r>
      <w:r>
        <w:rPr>
          <w:rFonts w:hint="eastAsia" w:ascii="华文仿宋" w:hAnsi="华文仿宋" w:eastAsia="华文仿宋" w:cs="华文仿宋"/>
          <w:b/>
          <w:bCs/>
          <w:color w:val="auto"/>
          <w:kern w:val="2"/>
          <w:sz w:val="28"/>
          <w:szCs w:val="28"/>
          <w:lang w:val="en-US" w:eastAsia="zh-CN" w:bidi="ar-SA"/>
        </w:rPr>
        <w:t>服务质量标准</w:t>
      </w:r>
    </w:p>
    <w:p w14:paraId="32315B5A">
      <w:pPr>
        <w:widowControl w:val="0"/>
        <w:spacing w:line="560" w:lineRule="exact"/>
        <w:ind w:firstLine="566" w:firstLineChars="200"/>
        <w:jc w:val="both"/>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sz w:val="28"/>
          <w:szCs w:val="28"/>
          <w:lang w:val="en-US" w:eastAsia="zh-CN"/>
        </w:rPr>
        <w:t>成交人</w:t>
      </w:r>
      <w:r>
        <w:rPr>
          <w:rFonts w:hint="eastAsia" w:ascii="华文仿宋" w:hAnsi="华文仿宋" w:eastAsia="华文仿宋" w:cs="华文仿宋"/>
          <w:color w:val="auto"/>
          <w:kern w:val="2"/>
          <w:sz w:val="28"/>
          <w:szCs w:val="28"/>
          <w:lang w:val="en-US" w:eastAsia="zh-CN" w:bidi="ar-SA"/>
        </w:rPr>
        <w:t>须严格依据国家和生产厂商关于电梯的维保、日常维修和大中修有关标准，对每部电梯实施全生命周期管理，完成相应任务，年每部电梯发生一般故障不高于1次，无重大故障发生，确保每部电梯运行安全平稳。设施设备出现故障，10分钟内到达现场，并救援完毕。按采购方要求，完成重大活动保障。</w:t>
      </w:r>
    </w:p>
    <w:p w14:paraId="6D8F58CE">
      <w:pPr>
        <w:widowControl w:val="0"/>
        <w:spacing w:line="560" w:lineRule="exact"/>
        <w:ind w:firstLine="566" w:firstLineChars="200"/>
        <w:jc w:val="both"/>
        <w:rPr>
          <w:rFonts w:hint="eastAsia" w:ascii="华文仿宋" w:hAnsi="华文仿宋" w:eastAsia="华文仿宋" w:cs="华文仿宋"/>
          <w:color w:val="auto"/>
          <w:kern w:val="2"/>
          <w:sz w:val="28"/>
          <w:szCs w:val="28"/>
          <w:lang w:val="en-US" w:eastAsia="zh-Hans" w:bidi="ar-SA"/>
        </w:rPr>
      </w:pPr>
      <w:r>
        <w:rPr>
          <w:rFonts w:hint="eastAsia" w:ascii="华文仿宋" w:hAnsi="华文仿宋" w:eastAsia="华文仿宋" w:cs="华文仿宋"/>
          <w:color w:val="auto"/>
          <w:kern w:val="2"/>
          <w:sz w:val="28"/>
          <w:szCs w:val="28"/>
          <w:lang w:val="en-US" w:eastAsia="zh-CN" w:bidi="ar-SA"/>
        </w:rPr>
        <w:t>1.</w:t>
      </w:r>
      <w:r>
        <w:rPr>
          <w:rFonts w:hint="eastAsia" w:ascii="华文仿宋" w:hAnsi="华文仿宋" w:eastAsia="华文仿宋" w:cs="华文仿宋"/>
          <w:color w:val="auto"/>
          <w:kern w:val="2"/>
          <w:sz w:val="28"/>
          <w:szCs w:val="28"/>
          <w:lang w:val="en-US" w:eastAsia="zh-Hans" w:bidi="ar-SA"/>
        </w:rPr>
        <w:t>电梯按照蒂森克虏伯电梯厂家行业规定，</w:t>
      </w:r>
      <w:r>
        <w:rPr>
          <w:rFonts w:hint="eastAsia" w:ascii="华文仿宋" w:hAnsi="华文仿宋" w:eastAsia="华文仿宋" w:cs="华文仿宋"/>
          <w:color w:val="auto"/>
          <w:kern w:val="2"/>
          <w:sz w:val="28"/>
          <w:szCs w:val="28"/>
          <w:lang w:val="en-US" w:eastAsia="zh-CN" w:bidi="ar-SA"/>
        </w:rPr>
        <w:t>每日巡查，</w:t>
      </w:r>
      <w:r>
        <w:rPr>
          <w:rFonts w:hint="eastAsia" w:ascii="华文仿宋" w:hAnsi="华文仿宋" w:eastAsia="华文仿宋" w:cs="华文仿宋"/>
          <w:color w:val="auto"/>
          <w:kern w:val="2"/>
          <w:sz w:val="28"/>
          <w:szCs w:val="28"/>
          <w:lang w:val="en-US" w:eastAsia="zh-Hans" w:bidi="ar-SA"/>
        </w:rPr>
        <w:t>每半月、季度、半年、一年保养规定进行。</w:t>
      </w:r>
      <w:r>
        <w:rPr>
          <w:rFonts w:hint="eastAsia" w:ascii="华文仿宋" w:hAnsi="华文仿宋" w:eastAsia="华文仿宋" w:cs="华文仿宋"/>
          <w:color w:val="auto"/>
          <w:kern w:val="2"/>
          <w:sz w:val="28"/>
          <w:szCs w:val="28"/>
          <w:lang w:val="en-US" w:eastAsia="zh-CN" w:bidi="ar-SA"/>
        </w:rPr>
        <w:t>（详见附表一）</w:t>
      </w:r>
    </w:p>
    <w:p w14:paraId="2E0B1BF0">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w:t>
      </w:r>
      <w:r>
        <w:rPr>
          <w:rFonts w:hint="eastAsia" w:ascii="华文仿宋" w:hAnsi="华文仿宋" w:eastAsia="华文仿宋" w:cs="华文仿宋"/>
          <w:sz w:val="28"/>
          <w:szCs w:val="28"/>
          <w:lang w:val="en-US" w:eastAsia="zh-Hans"/>
        </w:rPr>
        <w:t>根据电梯管理办法，蒂森克虏伯电梯</w:t>
      </w:r>
      <w:r>
        <w:rPr>
          <w:rFonts w:hint="eastAsia" w:ascii="华文仿宋" w:hAnsi="华文仿宋" w:eastAsia="华文仿宋" w:cs="华文仿宋"/>
          <w:sz w:val="28"/>
          <w:szCs w:val="28"/>
          <w:lang w:val="en-US" w:eastAsia="zh-CN"/>
        </w:rPr>
        <w:t>制造厂商公开发布或提供的维修技术标准及规范</w:t>
      </w:r>
      <w:r>
        <w:rPr>
          <w:rFonts w:hint="eastAsia" w:ascii="华文仿宋" w:hAnsi="华文仿宋" w:eastAsia="华文仿宋" w:cs="华文仿宋"/>
          <w:sz w:val="28"/>
          <w:szCs w:val="28"/>
          <w:lang w:val="en-US" w:eastAsia="zh-Hans"/>
        </w:rPr>
        <w:t>，</w:t>
      </w:r>
      <w:r>
        <w:rPr>
          <w:rFonts w:hint="eastAsia" w:ascii="华文仿宋" w:hAnsi="华文仿宋" w:eastAsia="华文仿宋" w:cs="华文仿宋"/>
          <w:sz w:val="28"/>
          <w:szCs w:val="28"/>
          <w:lang w:val="en-US" w:eastAsia="zh-CN"/>
        </w:rPr>
        <w:t>做好易损部件的储备，及时更换已达到使用寿命或已损坏的配件</w:t>
      </w:r>
      <w:r>
        <w:rPr>
          <w:rFonts w:hint="eastAsia" w:ascii="华文仿宋" w:hAnsi="华文仿宋" w:eastAsia="华文仿宋" w:cs="华文仿宋"/>
          <w:sz w:val="28"/>
          <w:szCs w:val="28"/>
          <w:lang w:val="en-US" w:eastAsia="zh-Hans"/>
        </w:rPr>
        <w:t>。</w:t>
      </w:r>
      <w:r>
        <w:rPr>
          <w:rFonts w:hint="eastAsia" w:ascii="华文仿宋" w:hAnsi="华文仿宋" w:eastAsia="华文仿宋" w:cs="华文仿宋"/>
          <w:sz w:val="28"/>
          <w:szCs w:val="28"/>
          <w:lang w:val="en-US" w:eastAsia="zh-CN"/>
        </w:rPr>
        <w:t>（详见附表二）</w:t>
      </w:r>
    </w:p>
    <w:p w14:paraId="1BDBC664">
      <w:pPr>
        <w:widowControl w:val="0"/>
        <w:spacing w:line="560" w:lineRule="exact"/>
        <w:ind w:firstLine="566" w:firstLineChars="200"/>
        <w:jc w:val="both"/>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Hans" w:bidi="ar-SA"/>
        </w:rPr>
        <w:t>3</w:t>
      </w:r>
      <w:r>
        <w:rPr>
          <w:rFonts w:hint="eastAsia" w:ascii="华文仿宋" w:hAnsi="华文仿宋" w:eastAsia="华文仿宋" w:cs="华文仿宋"/>
          <w:color w:val="auto"/>
          <w:kern w:val="2"/>
          <w:sz w:val="28"/>
          <w:szCs w:val="28"/>
          <w:lang w:val="en-US" w:eastAsia="zh-CN" w:bidi="ar-SA"/>
        </w:rPr>
        <w:t>.</w:t>
      </w:r>
      <w:r>
        <w:rPr>
          <w:rFonts w:hint="eastAsia" w:ascii="华文仿宋" w:hAnsi="华文仿宋" w:eastAsia="华文仿宋" w:cs="华文仿宋"/>
          <w:color w:val="auto"/>
          <w:kern w:val="2"/>
          <w:sz w:val="28"/>
          <w:szCs w:val="28"/>
          <w:lang w:val="en-US" w:eastAsia="zh-Hans" w:bidi="ar-SA"/>
        </w:rPr>
        <w:t>故障维修及时得当，</w:t>
      </w:r>
      <w:r>
        <w:rPr>
          <w:rFonts w:hint="eastAsia" w:ascii="华文仿宋" w:hAnsi="华文仿宋" w:eastAsia="华文仿宋" w:cs="华文仿宋"/>
          <w:color w:val="auto"/>
          <w:kern w:val="2"/>
          <w:sz w:val="28"/>
          <w:szCs w:val="28"/>
          <w:lang w:val="en-US" w:eastAsia="zh-CN" w:bidi="ar-SA"/>
        </w:rPr>
        <w:t>每天至少</w:t>
      </w:r>
      <w:r>
        <w:rPr>
          <w:rFonts w:hint="eastAsia" w:ascii="华文仿宋" w:hAnsi="华文仿宋" w:eastAsia="华文仿宋" w:cs="华文仿宋"/>
          <w:color w:val="auto"/>
          <w:kern w:val="2"/>
          <w:sz w:val="28"/>
          <w:szCs w:val="28"/>
          <w:lang w:val="en-US" w:eastAsia="zh-Hans" w:bidi="ar-SA"/>
        </w:rPr>
        <w:t>安排</w:t>
      </w:r>
      <w:r>
        <w:rPr>
          <w:rFonts w:hint="eastAsia" w:ascii="华文仿宋" w:hAnsi="华文仿宋" w:eastAsia="华文仿宋" w:cs="华文仿宋"/>
          <w:color w:val="auto"/>
          <w:kern w:val="2"/>
          <w:sz w:val="28"/>
          <w:szCs w:val="28"/>
          <w:lang w:val="en-US" w:eastAsia="zh-CN" w:bidi="ar-SA"/>
        </w:rPr>
        <w:t>3名具有从业资格</w:t>
      </w:r>
      <w:r>
        <w:rPr>
          <w:rFonts w:hint="eastAsia" w:ascii="华文仿宋" w:hAnsi="华文仿宋" w:eastAsia="华文仿宋" w:cs="华文仿宋"/>
          <w:color w:val="auto"/>
          <w:kern w:val="2"/>
          <w:sz w:val="28"/>
          <w:szCs w:val="28"/>
          <w:lang w:val="en-US" w:eastAsia="zh-Hans" w:bidi="ar-SA"/>
        </w:rPr>
        <w:t>人员24小时值班，发现故障</w:t>
      </w:r>
      <w:r>
        <w:rPr>
          <w:rFonts w:hint="eastAsia" w:ascii="华文仿宋" w:hAnsi="华文仿宋" w:eastAsia="华文仿宋" w:cs="华文仿宋"/>
          <w:color w:val="auto"/>
          <w:kern w:val="2"/>
          <w:sz w:val="28"/>
          <w:szCs w:val="28"/>
          <w:lang w:val="en-US" w:eastAsia="zh-CN" w:bidi="ar-SA"/>
        </w:rPr>
        <w:t>10</w:t>
      </w:r>
      <w:r>
        <w:rPr>
          <w:rFonts w:hint="eastAsia" w:ascii="华文仿宋" w:hAnsi="华文仿宋" w:eastAsia="华文仿宋" w:cs="华文仿宋"/>
          <w:color w:val="auto"/>
          <w:kern w:val="2"/>
          <w:sz w:val="28"/>
          <w:szCs w:val="28"/>
          <w:lang w:val="en-US" w:eastAsia="zh-Hans" w:bidi="ar-SA"/>
        </w:rPr>
        <w:t>分钟内到达现场，</w:t>
      </w:r>
      <w:r>
        <w:rPr>
          <w:rFonts w:hint="eastAsia" w:ascii="华文仿宋" w:hAnsi="华文仿宋" w:eastAsia="华文仿宋" w:cs="华文仿宋"/>
          <w:color w:val="auto"/>
          <w:kern w:val="2"/>
          <w:sz w:val="28"/>
          <w:szCs w:val="28"/>
          <w:lang w:val="en-US" w:eastAsia="zh-CN" w:bidi="ar-SA"/>
        </w:rPr>
        <w:t>2</w:t>
      </w:r>
      <w:r>
        <w:rPr>
          <w:rFonts w:hint="eastAsia" w:ascii="华文仿宋" w:hAnsi="华文仿宋" w:eastAsia="华文仿宋" w:cs="华文仿宋"/>
          <w:color w:val="auto"/>
          <w:kern w:val="2"/>
          <w:sz w:val="28"/>
          <w:szCs w:val="28"/>
          <w:lang w:val="en-US" w:eastAsia="zh-Hans" w:bidi="ar-SA"/>
        </w:rPr>
        <w:t>小时内解决问题恢复正常运转。</w:t>
      </w:r>
      <w:r>
        <w:rPr>
          <w:rFonts w:hint="eastAsia" w:ascii="华文仿宋" w:hAnsi="华文仿宋" w:eastAsia="华文仿宋" w:cs="华文仿宋"/>
          <w:color w:val="auto"/>
          <w:kern w:val="2"/>
          <w:sz w:val="28"/>
          <w:szCs w:val="28"/>
          <w:lang w:val="en-US" w:eastAsia="zh-CN" w:bidi="ar-SA"/>
        </w:rPr>
        <w:t>值班人员必须是投标方案中递交的人员。</w:t>
      </w:r>
    </w:p>
    <w:p w14:paraId="1ED888FA">
      <w:pPr>
        <w:widowControl w:val="0"/>
        <w:spacing w:line="560" w:lineRule="exact"/>
        <w:ind w:firstLine="566" w:firstLineChars="200"/>
        <w:jc w:val="both"/>
        <w:rPr>
          <w:rFonts w:hint="eastAsia" w:ascii="华文仿宋" w:hAnsi="华文仿宋" w:eastAsia="华文仿宋" w:cs="华文仿宋"/>
          <w:color w:val="auto"/>
          <w:kern w:val="2"/>
          <w:sz w:val="28"/>
          <w:szCs w:val="28"/>
          <w:lang w:val="en-US" w:eastAsia="zh-Hans" w:bidi="ar-SA"/>
        </w:rPr>
      </w:pPr>
      <w:r>
        <w:rPr>
          <w:rFonts w:hint="eastAsia" w:ascii="华文仿宋" w:hAnsi="华文仿宋" w:eastAsia="华文仿宋" w:cs="华文仿宋"/>
          <w:color w:val="auto"/>
          <w:kern w:val="2"/>
          <w:sz w:val="28"/>
          <w:szCs w:val="28"/>
          <w:lang w:val="en-US" w:eastAsia="zh-Hans" w:bidi="ar-SA"/>
        </w:rPr>
        <w:t>4</w:t>
      </w:r>
      <w:r>
        <w:rPr>
          <w:rFonts w:hint="eastAsia" w:ascii="华文仿宋" w:hAnsi="华文仿宋" w:eastAsia="华文仿宋" w:cs="华文仿宋"/>
          <w:color w:val="auto"/>
          <w:kern w:val="2"/>
          <w:sz w:val="28"/>
          <w:szCs w:val="28"/>
          <w:lang w:val="en-US" w:eastAsia="zh-CN" w:bidi="ar-SA"/>
        </w:rPr>
        <w:t>.</w:t>
      </w:r>
      <w:r>
        <w:rPr>
          <w:rFonts w:hint="eastAsia" w:ascii="华文仿宋" w:hAnsi="华文仿宋" w:eastAsia="华文仿宋" w:cs="华文仿宋"/>
          <w:color w:val="auto"/>
          <w:kern w:val="2"/>
          <w:sz w:val="28"/>
          <w:szCs w:val="28"/>
          <w:lang w:val="en-US" w:eastAsia="zh-Hans" w:bidi="ar-SA"/>
        </w:rPr>
        <w:t>为了提高设备完好率，</w:t>
      </w:r>
      <w:r>
        <w:rPr>
          <w:rFonts w:hint="eastAsia" w:ascii="华文仿宋" w:hAnsi="华文仿宋" w:eastAsia="华文仿宋" w:cs="华文仿宋"/>
          <w:color w:val="auto"/>
          <w:kern w:val="2"/>
          <w:sz w:val="28"/>
          <w:szCs w:val="28"/>
          <w:lang w:val="en-US" w:eastAsia="zh-CN" w:bidi="ar-SA"/>
        </w:rPr>
        <w:t>供应</w:t>
      </w:r>
      <w:r>
        <w:rPr>
          <w:rFonts w:hint="eastAsia" w:ascii="华文仿宋" w:hAnsi="华文仿宋" w:eastAsia="华文仿宋" w:cs="华文仿宋"/>
          <w:color w:val="auto"/>
          <w:kern w:val="2"/>
          <w:sz w:val="28"/>
          <w:szCs w:val="28"/>
          <w:lang w:val="en-US" w:eastAsia="zh-Hans" w:bidi="ar-SA"/>
        </w:rPr>
        <w:t>方</w:t>
      </w:r>
      <w:r>
        <w:rPr>
          <w:rFonts w:hint="eastAsia" w:ascii="华文仿宋" w:hAnsi="华文仿宋" w:eastAsia="华文仿宋" w:cs="华文仿宋"/>
          <w:color w:val="auto"/>
          <w:kern w:val="2"/>
          <w:sz w:val="28"/>
          <w:szCs w:val="28"/>
          <w:lang w:val="en-US" w:eastAsia="zh-CN" w:bidi="ar-SA"/>
        </w:rPr>
        <w:t>对</w:t>
      </w:r>
      <w:r>
        <w:rPr>
          <w:rFonts w:hint="eastAsia" w:ascii="华文仿宋" w:hAnsi="华文仿宋" w:eastAsia="华文仿宋" w:cs="华文仿宋"/>
          <w:color w:val="auto"/>
          <w:kern w:val="2"/>
          <w:sz w:val="28"/>
          <w:szCs w:val="28"/>
          <w:lang w:val="en-US" w:eastAsia="zh-Hans" w:bidi="ar-SA"/>
        </w:rPr>
        <w:t>配件易损件</w:t>
      </w:r>
      <w:r>
        <w:rPr>
          <w:rFonts w:hint="eastAsia" w:ascii="华文仿宋" w:hAnsi="华文仿宋" w:eastAsia="华文仿宋" w:cs="华文仿宋"/>
          <w:color w:val="auto"/>
          <w:kern w:val="2"/>
          <w:sz w:val="28"/>
          <w:szCs w:val="28"/>
          <w:lang w:val="en-US" w:eastAsia="zh-CN" w:bidi="ar-SA"/>
        </w:rPr>
        <w:t>同型号</w:t>
      </w:r>
      <w:r>
        <w:rPr>
          <w:rFonts w:hint="eastAsia" w:ascii="华文仿宋" w:hAnsi="华文仿宋" w:eastAsia="华文仿宋" w:cs="华文仿宋"/>
          <w:color w:val="auto"/>
          <w:kern w:val="2"/>
          <w:sz w:val="28"/>
          <w:szCs w:val="28"/>
          <w:lang w:val="en-US" w:eastAsia="zh-Hans" w:bidi="ar-SA"/>
        </w:rPr>
        <w:t>储备</w:t>
      </w:r>
      <w:r>
        <w:rPr>
          <w:rFonts w:hint="eastAsia" w:ascii="华文仿宋" w:hAnsi="华文仿宋" w:eastAsia="华文仿宋" w:cs="华文仿宋"/>
          <w:color w:val="auto"/>
          <w:kern w:val="2"/>
          <w:sz w:val="28"/>
          <w:szCs w:val="28"/>
          <w:lang w:val="en-US" w:eastAsia="zh-CN" w:bidi="ar-SA"/>
        </w:rPr>
        <w:t>要</w:t>
      </w:r>
      <w:r>
        <w:rPr>
          <w:rFonts w:hint="eastAsia" w:ascii="华文仿宋" w:hAnsi="华文仿宋" w:eastAsia="华文仿宋" w:cs="华文仿宋"/>
          <w:color w:val="auto"/>
          <w:kern w:val="2"/>
          <w:sz w:val="28"/>
          <w:szCs w:val="28"/>
          <w:lang w:val="en-US" w:eastAsia="zh-Hans" w:bidi="ar-SA"/>
        </w:rPr>
        <w:t>达100%，</w:t>
      </w:r>
      <w:r>
        <w:rPr>
          <w:rFonts w:hint="eastAsia" w:ascii="华文仿宋" w:hAnsi="华文仿宋" w:eastAsia="华文仿宋" w:cs="华文仿宋"/>
          <w:color w:val="auto"/>
          <w:kern w:val="2"/>
          <w:sz w:val="28"/>
          <w:szCs w:val="28"/>
          <w:lang w:val="en-US" w:eastAsia="zh-CN" w:bidi="ar-SA"/>
        </w:rPr>
        <w:t>以备各类维修和故障维修所需</w:t>
      </w:r>
      <w:r>
        <w:rPr>
          <w:rFonts w:hint="eastAsia" w:ascii="华文仿宋" w:hAnsi="华文仿宋" w:eastAsia="华文仿宋" w:cs="华文仿宋"/>
          <w:color w:val="auto"/>
          <w:kern w:val="2"/>
          <w:sz w:val="28"/>
          <w:szCs w:val="28"/>
          <w:lang w:val="en-US" w:eastAsia="zh-Hans" w:bidi="ar-SA"/>
        </w:rPr>
        <w:t>。</w:t>
      </w:r>
    </w:p>
    <w:p w14:paraId="61D29FD7">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color w:val="auto"/>
          <w:kern w:val="2"/>
          <w:sz w:val="28"/>
          <w:szCs w:val="28"/>
          <w:lang w:val="en-US" w:eastAsia="zh-CN" w:bidi="ar-SA"/>
        </w:rPr>
        <w:t>5.维修保养所用耗材、配件组建标准。供应方所采购的耗材、配件组建必须与采购方的电梯</w:t>
      </w:r>
      <w:r>
        <w:rPr>
          <w:rFonts w:hint="eastAsia" w:ascii="华文仿宋" w:hAnsi="华文仿宋" w:eastAsia="华文仿宋" w:cs="华文仿宋"/>
          <w:sz w:val="28"/>
          <w:szCs w:val="28"/>
          <w:lang w:val="en-US" w:eastAsia="zh-CN"/>
        </w:rPr>
        <w:t>匹配，且为原厂的全新的、未使用过的耗材和配件组件。</w:t>
      </w:r>
    </w:p>
    <w:p w14:paraId="49FE65EA">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6.电梯大修。成交人对照电梯大修标准实施电梯大修，每年电梯的大修率不低于电梯总部数的20%，保证每部电梯应修尽修。</w:t>
      </w:r>
    </w:p>
    <w:p w14:paraId="6BE4A1B1">
      <w:pPr>
        <w:widowControl w:val="0"/>
        <w:spacing w:line="560" w:lineRule="exact"/>
        <w:ind w:firstLine="566" w:firstLineChars="200"/>
        <w:jc w:val="both"/>
        <w:rPr>
          <w:rFonts w:hint="eastAsia" w:ascii="华文仿宋" w:hAnsi="华文仿宋" w:eastAsia="华文仿宋" w:cs="华文仿宋"/>
          <w:color w:val="auto"/>
          <w:kern w:val="2"/>
          <w:sz w:val="28"/>
          <w:szCs w:val="28"/>
          <w:lang w:val="en" w:eastAsia="zh-CN" w:bidi="ar-SA"/>
        </w:rPr>
      </w:pPr>
      <w:r>
        <w:rPr>
          <w:rFonts w:hint="eastAsia" w:ascii="华文仿宋" w:hAnsi="华文仿宋" w:eastAsia="华文仿宋" w:cs="华文仿宋"/>
          <w:color w:val="auto"/>
          <w:kern w:val="2"/>
          <w:sz w:val="28"/>
          <w:szCs w:val="28"/>
          <w:lang w:val="en-US" w:eastAsia="zh-CN" w:bidi="ar-SA"/>
        </w:rPr>
        <w:t>7</w:t>
      </w:r>
      <w:r>
        <w:rPr>
          <w:rFonts w:hint="eastAsia" w:ascii="华文仿宋" w:hAnsi="华文仿宋" w:eastAsia="华文仿宋" w:cs="华文仿宋"/>
          <w:color w:val="auto"/>
          <w:kern w:val="2"/>
          <w:sz w:val="28"/>
          <w:szCs w:val="28"/>
          <w:lang w:val="en" w:eastAsia="zh-CN" w:bidi="ar-SA"/>
        </w:rPr>
        <w:t>.电梯服务。定期进行电梯联动调试，并按采购方要求实现电梯联动运行,最大限度为干部职工和群众提供快捷安全电梯保障；承担重大活动的电梯操作控制任务，保障重大活动顺利进行。</w:t>
      </w:r>
    </w:p>
    <w:p w14:paraId="7E4B446D">
      <w:pPr>
        <w:widowControl w:val="0"/>
        <w:spacing w:line="560" w:lineRule="exact"/>
        <w:ind w:firstLine="566" w:firstLineChars="200"/>
        <w:jc w:val="both"/>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8.人员配备及管理。人员配备数量和结构满足项目需求，常驻该项目的项目负责人、维修员每天在岗值班总人数不能低于3名，实行24小时在岗值班。配备到该项目人员必须具备相应从业资格和技能水平，具有较高的职业道德水平和良好的综合素养，严禁将有违法犯罪记录、不良信用记录人员安排到本项目工作。要建立科学的考核机制和绩效奖惩机制，有效调动员工工作的积极性和主动性。要严格执行劳动合同法有关规定，加强从业人员安全保护措施，及时足额发放劳动报酬，按规定缴纳“五险一金”。对于从事高危岗位人员，须办理相应的社会保险。</w:t>
      </w:r>
    </w:p>
    <w:p w14:paraId="40EC907B">
      <w:pPr>
        <w:suppressAutoHyphens/>
        <w:bidi w:val="0"/>
        <w:spacing w:line="580" w:lineRule="exact"/>
        <w:ind w:firstLine="566" w:firstLineChars="200"/>
        <w:textAlignment w:val="baseline"/>
        <w:rPr>
          <w:rFonts w:hint="eastAsia" w:ascii="华文仿宋" w:hAnsi="华文仿宋" w:eastAsia="华文仿宋" w:cs="华文仿宋"/>
          <w:sz w:val="28"/>
          <w:szCs w:val="28"/>
          <w:lang w:eastAsia="zh-Hans"/>
        </w:rPr>
      </w:pPr>
      <w:r>
        <w:rPr>
          <w:rFonts w:hint="eastAsia" w:ascii="华文仿宋" w:hAnsi="华文仿宋" w:eastAsia="华文仿宋" w:cs="华文仿宋"/>
          <w:b/>
          <w:bCs/>
          <w:color w:val="auto"/>
          <w:kern w:val="2"/>
          <w:sz w:val="28"/>
          <w:szCs w:val="28"/>
          <w:lang w:val="en-US" w:eastAsia="zh-CN" w:bidi="ar-SA"/>
        </w:rPr>
        <w:t>七</w:t>
      </w:r>
      <w:r>
        <w:rPr>
          <w:rFonts w:hint="eastAsia" w:ascii="华文仿宋" w:hAnsi="华文仿宋" w:cs="华文仿宋"/>
          <w:b/>
          <w:bCs/>
          <w:color w:val="auto"/>
          <w:kern w:val="2"/>
          <w:sz w:val="28"/>
          <w:szCs w:val="28"/>
          <w:lang w:val="en-US" w:eastAsia="zh-CN" w:bidi="ar-SA"/>
        </w:rPr>
        <w:t>、</w:t>
      </w:r>
      <w:r>
        <w:rPr>
          <w:rFonts w:hint="eastAsia" w:ascii="华文仿宋" w:hAnsi="华文仿宋" w:eastAsia="华文仿宋" w:cs="华文仿宋"/>
          <w:b/>
          <w:bCs/>
          <w:color w:val="auto"/>
          <w:kern w:val="2"/>
          <w:sz w:val="28"/>
          <w:szCs w:val="28"/>
          <w:lang w:val="en-US" w:eastAsia="zh-Hans" w:bidi="ar-SA"/>
        </w:rPr>
        <w:t>维保和中大型维修费用</w:t>
      </w:r>
    </w:p>
    <w:p w14:paraId="314C11FA">
      <w:pPr>
        <w:widowControl w:val="0"/>
        <w:spacing w:line="560" w:lineRule="exact"/>
        <w:ind w:firstLine="566" w:firstLineChars="200"/>
        <w:jc w:val="both"/>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1.合同总价：</w:t>
      </w:r>
      <w:r>
        <w:rPr>
          <w:rFonts w:hint="eastAsia" w:ascii="华文仿宋" w:hAnsi="华文仿宋" w:eastAsia="华文仿宋" w:cs="华文仿宋"/>
          <w:sz w:val="28"/>
          <w:szCs w:val="28"/>
          <w:lang w:val="en-US" w:eastAsia="zh-CN"/>
        </w:rPr>
        <w:t>含维护保养，日常维修，大中修所</w:t>
      </w:r>
      <w:r>
        <w:rPr>
          <w:rFonts w:hint="eastAsia" w:ascii="华文仿宋" w:hAnsi="华文仿宋" w:eastAsia="华文仿宋" w:cs="华文仿宋"/>
          <w:color w:val="auto"/>
          <w:kern w:val="2"/>
          <w:sz w:val="28"/>
          <w:szCs w:val="28"/>
          <w:lang w:val="en-US" w:eastAsia="zh-CN" w:bidi="ar-SA"/>
        </w:rPr>
        <w:t>需的人工费、保养所用材料费、各类维修配件费、施工措施费及各项税费等达到项目内所有电梯安全高效运行状态的一切费用。</w:t>
      </w:r>
    </w:p>
    <w:p w14:paraId="55539462">
      <w:pPr>
        <w:widowControl w:val="0"/>
        <w:spacing w:line="560" w:lineRule="exact"/>
        <w:ind w:firstLine="566" w:firstLineChars="200"/>
        <w:jc w:val="both"/>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2.结算方式：采购人根据考核结果，按</w:t>
      </w:r>
      <w:r>
        <w:rPr>
          <w:rFonts w:hint="eastAsia" w:ascii="华文仿宋" w:hAnsi="华文仿宋" w:eastAsia="华文仿宋" w:cs="华文仿宋"/>
          <w:sz w:val="28"/>
          <w:szCs w:val="28"/>
          <w:lang w:val="en-US" w:eastAsia="zh-Hans"/>
        </w:rPr>
        <w:t>季度</w:t>
      </w:r>
      <w:r>
        <w:rPr>
          <w:rFonts w:hint="eastAsia" w:ascii="华文仿宋" w:hAnsi="华文仿宋" w:eastAsia="华文仿宋" w:cs="华文仿宋"/>
          <w:sz w:val="28"/>
          <w:szCs w:val="28"/>
          <w:lang w:val="en-US" w:eastAsia="zh-CN"/>
        </w:rPr>
        <w:t>支付成交人电梯维修保养费用。</w:t>
      </w:r>
      <w:r>
        <w:rPr>
          <w:rFonts w:hint="eastAsia" w:ascii="华文仿宋" w:hAnsi="华文仿宋" w:eastAsia="华文仿宋" w:cs="华文仿宋"/>
          <w:sz w:val="28"/>
          <w:szCs w:val="28"/>
          <w:lang w:val="en-US" w:eastAsia="zh-Hans"/>
        </w:rPr>
        <w:t>每季度</w:t>
      </w:r>
      <w:r>
        <w:rPr>
          <w:rFonts w:hint="eastAsia" w:ascii="华文仿宋" w:hAnsi="华文仿宋" w:eastAsia="华文仿宋" w:cs="华文仿宋"/>
          <w:sz w:val="28"/>
          <w:szCs w:val="28"/>
          <w:lang w:val="en-US" w:eastAsia="zh-CN"/>
        </w:rPr>
        <w:t>结束后次月15个工作日前，依据成交人提供的有效等额发票及上季度考核结果，向成交人支付上季度服务费用。成交人逾期提供发票的，采购人付款期限相应顺延。</w:t>
      </w:r>
    </w:p>
    <w:p w14:paraId="703D0AA0">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both"/>
        <w:textAlignment w:val="auto"/>
        <w:rPr>
          <w:rFonts w:hint="eastAsia" w:ascii="华文仿宋" w:hAnsi="华文仿宋" w:eastAsia="华文仿宋" w:cs="华文仿宋"/>
          <w:b/>
          <w:bCs/>
          <w:color w:val="auto"/>
          <w:kern w:val="2"/>
          <w:sz w:val="28"/>
          <w:szCs w:val="28"/>
          <w:lang w:val="en-US" w:eastAsia="zh-CN" w:bidi="ar-SA"/>
        </w:rPr>
      </w:pPr>
      <w:r>
        <w:rPr>
          <w:rFonts w:hint="eastAsia" w:ascii="华文仿宋" w:hAnsi="华文仿宋" w:eastAsia="华文仿宋" w:cs="华文仿宋"/>
          <w:b/>
          <w:bCs/>
          <w:color w:val="auto"/>
          <w:kern w:val="2"/>
          <w:sz w:val="28"/>
          <w:szCs w:val="28"/>
          <w:lang w:val="en-US" w:eastAsia="zh-CN" w:bidi="ar-SA"/>
        </w:rPr>
        <w:t>八</w:t>
      </w:r>
      <w:r>
        <w:rPr>
          <w:rFonts w:hint="eastAsia" w:ascii="华文仿宋" w:hAnsi="华文仿宋" w:cs="华文仿宋"/>
          <w:b/>
          <w:bCs/>
          <w:color w:val="auto"/>
          <w:kern w:val="2"/>
          <w:sz w:val="28"/>
          <w:szCs w:val="28"/>
          <w:lang w:val="en-US" w:eastAsia="zh-CN" w:bidi="ar-SA"/>
        </w:rPr>
        <w:t>、</w:t>
      </w:r>
      <w:r>
        <w:rPr>
          <w:rFonts w:hint="eastAsia" w:ascii="华文仿宋" w:hAnsi="华文仿宋" w:eastAsia="华文仿宋" w:cs="华文仿宋"/>
          <w:b/>
          <w:bCs/>
          <w:color w:val="auto"/>
          <w:kern w:val="2"/>
          <w:sz w:val="28"/>
          <w:szCs w:val="28"/>
          <w:lang w:val="en-US" w:eastAsia="zh-CN" w:bidi="ar-SA"/>
        </w:rPr>
        <w:t>双方责任</w:t>
      </w:r>
    </w:p>
    <w:p w14:paraId="4099CF60">
      <w:pPr>
        <w:widowControl w:val="0"/>
        <w:spacing w:line="560" w:lineRule="exact"/>
        <w:ind w:firstLine="566" w:firstLineChars="200"/>
        <w:jc w:val="both"/>
        <w:rPr>
          <w:rFonts w:hint="eastAsia" w:ascii="华文仿宋" w:hAnsi="华文仿宋" w:eastAsia="华文仿宋" w:cs="华文仿宋"/>
          <w:b/>
          <w:bCs/>
          <w:color w:val="auto"/>
          <w:kern w:val="2"/>
          <w:sz w:val="28"/>
          <w:szCs w:val="28"/>
          <w:lang w:val="en-US" w:eastAsia="zh-CN" w:bidi="ar-SA"/>
        </w:rPr>
      </w:pPr>
      <w:r>
        <w:rPr>
          <w:rFonts w:hint="eastAsia" w:ascii="华文仿宋" w:hAnsi="华文仿宋" w:eastAsia="华文仿宋" w:cs="华文仿宋"/>
          <w:b/>
          <w:bCs/>
          <w:color w:val="auto"/>
          <w:kern w:val="2"/>
          <w:sz w:val="28"/>
          <w:szCs w:val="28"/>
          <w:lang w:val="en-US" w:eastAsia="zh-CN" w:bidi="ar-SA"/>
        </w:rPr>
        <w:t>成交人责任：</w:t>
      </w:r>
    </w:p>
    <w:p w14:paraId="4E1BE73B">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1.派出的保养维修人员应具备电梯/扶梯保养维修知识、技能，</w:t>
      </w:r>
      <w:r>
        <w:rPr>
          <w:rFonts w:hint="eastAsia" w:ascii="华文仿宋" w:hAnsi="华文仿宋" w:eastAsia="华文仿宋" w:cs="华文仿宋"/>
          <w:color w:val="auto"/>
          <w:kern w:val="2"/>
          <w:sz w:val="28"/>
          <w:szCs w:val="28"/>
          <w:lang w:val="en-US" w:eastAsia="zh-Hans" w:bidi="ar-SA"/>
        </w:rPr>
        <w:t>持证上岗，有</w:t>
      </w:r>
      <w:r>
        <w:rPr>
          <w:rFonts w:hint="eastAsia" w:ascii="华文仿宋" w:hAnsi="华文仿宋" w:eastAsia="华文仿宋" w:cs="华文仿宋"/>
          <w:color w:val="auto"/>
          <w:kern w:val="2"/>
          <w:sz w:val="28"/>
          <w:szCs w:val="28"/>
          <w:lang w:val="en-US" w:eastAsia="zh-CN" w:bidi="ar-SA"/>
        </w:rPr>
        <w:t>良好的服务意识和职业道德素养。</w:t>
      </w:r>
    </w:p>
    <w:p w14:paraId="5B0712A4">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2.负责</w:t>
      </w:r>
      <w:r>
        <w:rPr>
          <w:rFonts w:hint="eastAsia" w:ascii="华文仿宋" w:hAnsi="华文仿宋" w:eastAsia="华文仿宋" w:cs="华文仿宋"/>
          <w:color w:val="auto"/>
          <w:kern w:val="2"/>
          <w:sz w:val="28"/>
          <w:szCs w:val="28"/>
          <w:lang w:val="en-US" w:eastAsia="zh-Hans" w:bidi="ar-SA"/>
        </w:rPr>
        <w:t>最低不少于</w:t>
      </w:r>
      <w:r>
        <w:rPr>
          <w:rFonts w:hint="eastAsia" w:ascii="华文仿宋" w:hAnsi="华文仿宋" w:eastAsia="华文仿宋" w:cs="华文仿宋"/>
          <w:color w:val="auto"/>
          <w:kern w:val="2"/>
          <w:sz w:val="28"/>
          <w:szCs w:val="28"/>
          <w:lang w:val="en-US" w:eastAsia="zh-CN" w:bidi="ar-SA"/>
        </w:rPr>
        <w:t>每月</w:t>
      </w:r>
      <w:r>
        <w:rPr>
          <w:rFonts w:hint="eastAsia" w:ascii="华文仿宋" w:hAnsi="华文仿宋" w:eastAsia="华文仿宋" w:cs="华文仿宋"/>
          <w:sz w:val="28"/>
          <w:szCs w:val="28"/>
          <w:lang w:val="en-US" w:eastAsia="zh-CN"/>
        </w:rPr>
        <w:t>2次</w:t>
      </w:r>
      <w:r>
        <w:rPr>
          <w:rFonts w:hint="eastAsia" w:ascii="华文仿宋" w:hAnsi="华文仿宋" w:eastAsia="华文仿宋" w:cs="华文仿宋"/>
          <w:color w:val="auto"/>
          <w:kern w:val="2"/>
          <w:sz w:val="28"/>
          <w:szCs w:val="28"/>
          <w:lang w:val="en-US" w:eastAsia="zh-CN" w:bidi="ar-SA"/>
        </w:rPr>
        <w:t>对电梯/扶梯进行定期检查保养。</w:t>
      </w:r>
    </w:p>
    <w:p w14:paraId="08B3278F">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3.</w:t>
      </w:r>
      <w:r>
        <w:rPr>
          <w:rFonts w:hint="eastAsia" w:ascii="华文仿宋" w:hAnsi="华文仿宋" w:eastAsia="华文仿宋" w:cs="华文仿宋"/>
          <w:color w:val="auto"/>
          <w:kern w:val="2"/>
          <w:sz w:val="28"/>
          <w:szCs w:val="28"/>
          <w:lang w:val="en-US" w:eastAsia="zh-Hans" w:bidi="ar-SA"/>
        </w:rPr>
        <w:t>项目驻扎专业人员</w:t>
      </w:r>
      <w:r>
        <w:rPr>
          <w:rFonts w:hint="eastAsia" w:ascii="华文仿宋" w:hAnsi="华文仿宋" w:eastAsia="华文仿宋" w:cs="华文仿宋"/>
          <w:color w:val="auto"/>
          <w:kern w:val="2"/>
          <w:sz w:val="28"/>
          <w:szCs w:val="28"/>
          <w:lang w:val="en-US" w:eastAsia="zh-CN" w:bidi="ar-SA"/>
        </w:rPr>
        <w:t>，至少需要3人长期在岗</w:t>
      </w:r>
      <w:r>
        <w:rPr>
          <w:rFonts w:hint="eastAsia" w:ascii="华文仿宋" w:hAnsi="华文仿宋" w:eastAsia="华文仿宋" w:cs="华文仿宋"/>
          <w:color w:val="auto"/>
          <w:kern w:val="2"/>
          <w:sz w:val="28"/>
          <w:szCs w:val="28"/>
          <w:lang w:val="en-US" w:eastAsia="zh-Hans" w:bidi="ar-SA"/>
        </w:rPr>
        <w:t>，</w:t>
      </w:r>
      <w:r>
        <w:rPr>
          <w:rFonts w:hint="eastAsia" w:ascii="华文仿宋" w:hAnsi="华文仿宋" w:eastAsia="华文仿宋" w:cs="华文仿宋"/>
          <w:color w:val="auto"/>
          <w:kern w:val="2"/>
          <w:sz w:val="28"/>
          <w:szCs w:val="28"/>
          <w:lang w:val="en-US" w:eastAsia="zh-CN" w:bidi="ar-SA"/>
        </w:rPr>
        <w:t>负责日常巡查检查、维修保养、电梯服务等职责，</w:t>
      </w:r>
      <w:r>
        <w:rPr>
          <w:rFonts w:hint="eastAsia" w:ascii="华文仿宋" w:hAnsi="华文仿宋" w:eastAsia="华文仿宋" w:cs="华文仿宋"/>
          <w:color w:val="auto"/>
          <w:kern w:val="2"/>
          <w:sz w:val="28"/>
          <w:szCs w:val="28"/>
          <w:lang w:val="en-US" w:eastAsia="zh-Hans" w:bidi="ar-SA"/>
        </w:rPr>
        <w:t>并</w:t>
      </w:r>
      <w:r>
        <w:rPr>
          <w:rFonts w:hint="eastAsia" w:ascii="华文仿宋" w:hAnsi="华文仿宋" w:eastAsia="华文仿宋" w:cs="华文仿宋"/>
          <w:color w:val="auto"/>
          <w:kern w:val="2"/>
          <w:sz w:val="28"/>
          <w:szCs w:val="28"/>
          <w:lang w:val="en-US" w:eastAsia="zh-CN" w:bidi="ar-SA"/>
        </w:rPr>
        <w:t>提供24小时紧急修理服务，成交人接到</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通知后10</w:t>
      </w:r>
      <w:r>
        <w:rPr>
          <w:rFonts w:hint="eastAsia" w:ascii="华文仿宋" w:hAnsi="华文仿宋" w:eastAsia="华文仿宋" w:cs="华文仿宋"/>
          <w:color w:val="auto"/>
          <w:kern w:val="2"/>
          <w:sz w:val="28"/>
          <w:szCs w:val="28"/>
          <w:lang w:val="en-US" w:eastAsia="zh-Hans" w:bidi="ar-SA"/>
        </w:rPr>
        <w:t>分钟</w:t>
      </w:r>
      <w:r>
        <w:rPr>
          <w:rFonts w:hint="eastAsia" w:ascii="华文仿宋" w:hAnsi="华文仿宋" w:eastAsia="华文仿宋" w:cs="华文仿宋"/>
          <w:color w:val="auto"/>
          <w:kern w:val="2"/>
          <w:sz w:val="28"/>
          <w:szCs w:val="28"/>
          <w:lang w:val="en-US" w:eastAsia="zh-CN" w:bidi="ar-SA"/>
        </w:rPr>
        <w:t>派维修人员到达现场，2</w:t>
      </w:r>
      <w:r>
        <w:rPr>
          <w:rFonts w:hint="eastAsia" w:ascii="华文仿宋" w:hAnsi="华文仿宋" w:eastAsia="华文仿宋" w:cs="华文仿宋"/>
          <w:color w:val="auto"/>
          <w:kern w:val="2"/>
          <w:sz w:val="28"/>
          <w:szCs w:val="28"/>
          <w:lang w:val="en-US" w:eastAsia="zh-Hans" w:bidi="ar-SA"/>
        </w:rPr>
        <w:t>小时内</w:t>
      </w:r>
      <w:r>
        <w:rPr>
          <w:rFonts w:hint="eastAsia" w:ascii="华文仿宋" w:hAnsi="华文仿宋" w:eastAsia="华文仿宋" w:cs="华文仿宋"/>
          <w:color w:val="auto"/>
          <w:kern w:val="2"/>
          <w:sz w:val="28"/>
          <w:szCs w:val="28"/>
          <w:lang w:val="en-US" w:eastAsia="zh-CN" w:bidi="ar-SA"/>
        </w:rPr>
        <w:t>处理</w:t>
      </w:r>
      <w:r>
        <w:rPr>
          <w:rFonts w:hint="eastAsia" w:ascii="华文仿宋" w:hAnsi="华文仿宋" w:eastAsia="华文仿宋" w:cs="华文仿宋"/>
          <w:color w:val="auto"/>
          <w:kern w:val="2"/>
          <w:sz w:val="28"/>
          <w:szCs w:val="28"/>
          <w:lang w:val="en-US" w:eastAsia="zh-Hans" w:bidi="ar-SA"/>
        </w:rPr>
        <w:t>完成</w:t>
      </w:r>
      <w:r>
        <w:rPr>
          <w:rFonts w:hint="eastAsia" w:ascii="华文仿宋" w:hAnsi="华文仿宋" w:eastAsia="华文仿宋" w:cs="华文仿宋"/>
          <w:color w:val="auto"/>
          <w:kern w:val="2"/>
          <w:sz w:val="28"/>
          <w:szCs w:val="28"/>
          <w:lang w:val="en-US" w:eastAsia="zh-CN" w:bidi="ar-SA"/>
        </w:rPr>
        <w:t>。”</w:t>
      </w:r>
    </w:p>
    <w:p w14:paraId="63A0AF78">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4.协助</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通过技术监督部门对电梯的年检工作。</w:t>
      </w:r>
    </w:p>
    <w:p w14:paraId="35839CB3">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5.保养中确认需要更换的零部件，应</w:t>
      </w:r>
      <w:r>
        <w:rPr>
          <w:rFonts w:hint="eastAsia" w:ascii="华文仿宋" w:hAnsi="华文仿宋" w:eastAsia="华文仿宋" w:cs="华文仿宋"/>
          <w:color w:val="auto"/>
          <w:kern w:val="2"/>
          <w:sz w:val="28"/>
          <w:szCs w:val="28"/>
          <w:lang w:val="en-US" w:eastAsia="zh-Hans" w:bidi="ar-SA"/>
        </w:rPr>
        <w:t>告知</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Hans" w:bidi="ar-SA"/>
        </w:rPr>
        <w:t>现场验收</w:t>
      </w:r>
      <w:r>
        <w:rPr>
          <w:rFonts w:hint="eastAsia" w:ascii="华文仿宋" w:hAnsi="华文仿宋" w:eastAsia="华文仿宋" w:cs="华文仿宋"/>
          <w:color w:val="auto"/>
          <w:kern w:val="2"/>
          <w:sz w:val="28"/>
          <w:szCs w:val="28"/>
          <w:lang w:val="en-US" w:eastAsia="zh-CN" w:bidi="ar-SA"/>
        </w:rPr>
        <w:t>后方能更换，向</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提供零部件</w:t>
      </w:r>
      <w:r>
        <w:rPr>
          <w:rFonts w:hint="eastAsia" w:ascii="华文仿宋" w:hAnsi="华文仿宋" w:eastAsia="华文仿宋" w:cs="华文仿宋"/>
          <w:color w:val="auto"/>
          <w:kern w:val="2"/>
          <w:sz w:val="28"/>
          <w:szCs w:val="28"/>
          <w:lang w:val="en-US" w:eastAsia="zh-Hans" w:bidi="ar-SA"/>
        </w:rPr>
        <w:t>有合格证书，维保需选择周末，节假日，下班后实施。</w:t>
      </w:r>
    </w:p>
    <w:p w14:paraId="08593921">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6.</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发现未按合同规定的项目、内容和要求对电梯/扶梯进行检查、调校和保养时，成交人应重新检查、调校和保养，并使之达到规定的要求。否则</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Hans" w:bidi="ar-SA"/>
        </w:rPr>
        <w:t>考核扣除费用</w:t>
      </w:r>
      <w:r>
        <w:rPr>
          <w:rFonts w:hint="eastAsia" w:ascii="华文仿宋" w:hAnsi="华文仿宋" w:eastAsia="华文仿宋" w:cs="华文仿宋"/>
          <w:color w:val="auto"/>
          <w:kern w:val="2"/>
          <w:sz w:val="28"/>
          <w:szCs w:val="28"/>
          <w:lang w:val="en-US" w:eastAsia="zh-CN" w:bidi="ar-SA"/>
        </w:rPr>
        <w:t>。</w:t>
      </w:r>
    </w:p>
    <w:p w14:paraId="17057E1C">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7.保养人员进入作业现场应遵守</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管理制度、安全规则，工作时要设置围栏或告示牌，作业结束后</w:t>
      </w:r>
      <w:r>
        <w:rPr>
          <w:rFonts w:hint="eastAsia" w:ascii="华文仿宋" w:hAnsi="华文仿宋" w:eastAsia="华文仿宋" w:cs="华文仿宋"/>
          <w:color w:val="auto"/>
          <w:kern w:val="2"/>
          <w:sz w:val="28"/>
          <w:szCs w:val="28"/>
          <w:lang w:val="en-US" w:eastAsia="zh-Hans" w:bidi="ar-SA"/>
        </w:rPr>
        <w:t>及时解除</w:t>
      </w:r>
      <w:r>
        <w:rPr>
          <w:rFonts w:hint="eastAsia" w:ascii="华文仿宋" w:hAnsi="华文仿宋" w:eastAsia="华文仿宋" w:cs="华文仿宋"/>
          <w:color w:val="auto"/>
          <w:kern w:val="2"/>
          <w:sz w:val="28"/>
          <w:szCs w:val="28"/>
          <w:lang w:val="en-US" w:eastAsia="zh-CN" w:bidi="ar-SA"/>
        </w:rPr>
        <w:t>。</w:t>
      </w:r>
    </w:p>
    <w:p w14:paraId="18301C78">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8.成交人将随时听取</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的反馈，对不正常的运行状况做认真的分析及时调整保养工作重点，确保电梯正常、安全运行。</w:t>
      </w:r>
    </w:p>
    <w:p w14:paraId="25A12FCB">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993300"/>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9.成交人按照附件规定内容实施服务，并根据《电梯保养项目表》进行检查、调校、润滑、清洁</w:t>
      </w:r>
      <w:r>
        <w:rPr>
          <w:rFonts w:hint="eastAsia" w:ascii="华文仿宋" w:hAnsi="华文仿宋" w:eastAsia="华文仿宋" w:cs="华文仿宋"/>
          <w:color w:val="auto"/>
          <w:kern w:val="2"/>
          <w:sz w:val="28"/>
          <w:szCs w:val="28"/>
          <w:lang w:val="en-US" w:eastAsia="zh-Hans" w:bidi="ar-SA"/>
        </w:rPr>
        <w:t>和维修</w:t>
      </w:r>
      <w:r>
        <w:rPr>
          <w:rFonts w:hint="eastAsia" w:ascii="华文仿宋" w:hAnsi="华文仿宋" w:eastAsia="华文仿宋" w:cs="华文仿宋"/>
          <w:color w:val="auto"/>
          <w:kern w:val="2"/>
          <w:sz w:val="28"/>
          <w:szCs w:val="28"/>
          <w:lang w:val="en-US" w:eastAsia="zh-CN" w:bidi="ar-SA"/>
        </w:rPr>
        <w:t>等工作，</w:t>
      </w:r>
      <w:r>
        <w:rPr>
          <w:rFonts w:hint="eastAsia" w:ascii="华文仿宋" w:hAnsi="华文仿宋" w:eastAsia="华文仿宋" w:cs="华文仿宋"/>
          <w:color w:val="auto"/>
          <w:kern w:val="2"/>
          <w:sz w:val="28"/>
          <w:szCs w:val="28"/>
          <w:lang w:val="en-US" w:eastAsia="zh-Hans" w:bidi="ar-SA"/>
        </w:rPr>
        <w:t>设备完好率100%</w:t>
      </w:r>
      <w:r>
        <w:rPr>
          <w:rFonts w:hint="eastAsia" w:ascii="华文仿宋" w:hAnsi="华文仿宋" w:eastAsia="华文仿宋" w:cs="华文仿宋"/>
          <w:color w:val="auto"/>
          <w:kern w:val="2"/>
          <w:sz w:val="28"/>
          <w:szCs w:val="28"/>
          <w:lang w:val="en-US" w:eastAsia="zh-CN" w:bidi="ar-SA"/>
        </w:rPr>
        <w:t>。</w:t>
      </w:r>
    </w:p>
    <w:p w14:paraId="71FB140A">
      <w:pPr>
        <w:keepNext w:val="0"/>
        <w:keepLines w:val="0"/>
        <w:pageBreakBefore w:val="0"/>
        <w:widowControl w:val="0"/>
        <w:numPr>
          <w:ilvl w:val="0"/>
          <w:numId w:val="6"/>
        </w:numPr>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对保养质量和保养人员服务不满意，提出更换保养人员时，应讲清具体事实和理由，经查证属实，应予调整，否则不予更换。</w:t>
      </w:r>
    </w:p>
    <w:p w14:paraId="4F689EAD">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11</w:t>
      </w:r>
      <w:r>
        <w:rPr>
          <w:rFonts w:hint="eastAsia" w:ascii="华文仿宋" w:hAnsi="华文仿宋" w:eastAsia="华文仿宋" w:cs="华文仿宋"/>
          <w:color w:val="auto"/>
          <w:kern w:val="2"/>
          <w:sz w:val="28"/>
          <w:szCs w:val="28"/>
          <w:lang w:val="en-US" w:eastAsia="zh-Hans" w:bidi="ar-SA"/>
        </w:rPr>
        <w:t>.</w:t>
      </w:r>
      <w:r>
        <w:rPr>
          <w:rFonts w:hint="eastAsia" w:ascii="华文仿宋" w:hAnsi="华文仿宋" w:eastAsia="华文仿宋" w:cs="华文仿宋"/>
          <w:color w:val="auto"/>
          <w:kern w:val="2"/>
          <w:sz w:val="28"/>
          <w:szCs w:val="28"/>
          <w:lang w:val="en-US" w:eastAsia="zh-CN" w:bidi="ar-SA"/>
        </w:rPr>
        <w:t>成交人应按电梯使用操作说明书管理及指导乘客正确使用电梯/扶梯。轿厢操纵盘钥匙、厅门钥匙及扶梯开关钥匙应安排专人保管。</w:t>
      </w:r>
    </w:p>
    <w:p w14:paraId="2011CDA0">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12.电梯/扶梯出现停运，成交人</w:t>
      </w:r>
      <w:r>
        <w:rPr>
          <w:rFonts w:hint="eastAsia" w:ascii="华文仿宋" w:hAnsi="华文仿宋" w:eastAsia="华文仿宋" w:cs="华文仿宋"/>
          <w:color w:val="auto"/>
          <w:kern w:val="2"/>
          <w:sz w:val="28"/>
          <w:szCs w:val="28"/>
          <w:lang w:val="en-US" w:eastAsia="zh-Hans" w:bidi="ar-SA"/>
        </w:rPr>
        <w:t>接到</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Hans" w:bidi="ar-SA"/>
        </w:rPr>
        <w:t>急救电话时</w:t>
      </w:r>
      <w:r>
        <w:rPr>
          <w:rFonts w:hint="eastAsia" w:ascii="华文仿宋" w:hAnsi="华文仿宋" w:eastAsia="华文仿宋" w:cs="华文仿宋"/>
          <w:color w:val="auto"/>
          <w:kern w:val="2"/>
          <w:sz w:val="28"/>
          <w:szCs w:val="28"/>
          <w:lang w:val="en-US" w:eastAsia="zh-CN" w:bidi="ar-SA"/>
        </w:rPr>
        <w:t>应进行应急处理，同时做好记录。</w:t>
      </w:r>
    </w:p>
    <w:p w14:paraId="731DDDD8">
      <w:pPr>
        <w:keepNext w:val="0"/>
        <w:keepLines w:val="0"/>
        <w:pageBreakBefore w:val="0"/>
        <w:widowControl w:val="0"/>
        <w:suppressAutoHyphens/>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rPr>
        <w:t>13.</w:t>
      </w:r>
      <w:r>
        <w:rPr>
          <w:rFonts w:hint="eastAsia" w:ascii="华文仿宋" w:hAnsi="华文仿宋" w:eastAsia="华文仿宋" w:cs="华文仿宋"/>
          <w:sz w:val="28"/>
          <w:szCs w:val="28"/>
          <w:lang w:val="en-US" w:eastAsia="zh-CN"/>
        </w:rPr>
        <w:t>应采购人管理需要，负责按时做好电梯运行的楼层停靠，电梯联动等工作。</w:t>
      </w:r>
    </w:p>
    <w:p w14:paraId="19650902">
      <w:pPr>
        <w:keepNext w:val="0"/>
        <w:keepLines w:val="0"/>
        <w:pageBreakBefore w:val="0"/>
        <w:widowControl w:val="0"/>
        <w:suppressAutoHyphens/>
        <w:kinsoku/>
        <w:wordWrap/>
        <w:overflowPunct/>
        <w:topLinePunct w:val="0"/>
        <w:autoSpaceDE/>
        <w:autoSpaceDN/>
        <w:bidi w:val="0"/>
        <w:adjustRightInd/>
        <w:snapToGrid/>
        <w:spacing w:line="520" w:lineRule="exact"/>
        <w:ind w:firstLine="566" w:firstLineChars="200"/>
        <w:textAlignment w:val="auto"/>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14.</w:t>
      </w:r>
      <w:r>
        <w:rPr>
          <w:rFonts w:hint="eastAsia" w:ascii="华文仿宋" w:hAnsi="华文仿宋" w:eastAsia="华文仿宋" w:cs="华文仿宋"/>
          <w:sz w:val="28"/>
          <w:szCs w:val="28"/>
          <w:lang w:eastAsia="zh-CN"/>
        </w:rPr>
        <w:t>成交人</w:t>
      </w:r>
      <w:r>
        <w:rPr>
          <w:rFonts w:hint="eastAsia" w:ascii="华文仿宋" w:hAnsi="华文仿宋" w:eastAsia="华文仿宋" w:cs="华文仿宋"/>
          <w:sz w:val="28"/>
          <w:szCs w:val="28"/>
        </w:rPr>
        <w:t>需加强从业人员管理，严格执行</w:t>
      </w:r>
      <w:r>
        <w:rPr>
          <w:rFonts w:hint="eastAsia" w:ascii="华文仿宋" w:hAnsi="华文仿宋" w:eastAsia="华文仿宋" w:cs="华文仿宋"/>
          <w:sz w:val="28"/>
          <w:szCs w:val="28"/>
          <w:lang w:eastAsia="zh-CN"/>
        </w:rPr>
        <w:t>《</w:t>
      </w:r>
      <w:r>
        <w:rPr>
          <w:rFonts w:hint="eastAsia" w:ascii="华文仿宋" w:hAnsi="华文仿宋" w:eastAsia="华文仿宋" w:cs="华文仿宋"/>
          <w:sz w:val="28"/>
          <w:szCs w:val="28"/>
          <w:lang w:val="en-US" w:eastAsia="zh-CN"/>
        </w:rPr>
        <w:t>民法典</w:t>
      </w:r>
      <w:r>
        <w:rPr>
          <w:rFonts w:hint="eastAsia" w:ascii="华文仿宋" w:hAnsi="华文仿宋" w:eastAsia="华文仿宋" w:cs="华文仿宋"/>
          <w:sz w:val="28"/>
          <w:szCs w:val="28"/>
          <w:lang w:eastAsia="zh-CN"/>
        </w:rPr>
        <w:t>》</w:t>
      </w:r>
      <w:r>
        <w:rPr>
          <w:rFonts w:hint="eastAsia" w:ascii="华文仿宋" w:hAnsi="华文仿宋" w:eastAsia="华文仿宋" w:cs="华文仿宋"/>
          <w:sz w:val="28"/>
          <w:szCs w:val="28"/>
        </w:rPr>
        <w:t>，</w:t>
      </w:r>
      <w:r>
        <w:rPr>
          <w:rFonts w:hint="eastAsia" w:ascii="华文仿宋" w:hAnsi="华文仿宋" w:eastAsia="华文仿宋" w:cs="华文仿宋"/>
          <w:sz w:val="28"/>
          <w:szCs w:val="28"/>
          <w:lang w:val="en-US" w:eastAsia="zh-CN"/>
        </w:rPr>
        <w:t>为从业人员提供必要的安全防护，劳动保护等措施，为从业人员缴纳“五险一金”，按时定额支付从业人员的工资等。</w:t>
      </w:r>
    </w:p>
    <w:p w14:paraId="437B9BC1">
      <w:pPr>
        <w:widowControl w:val="0"/>
        <w:spacing w:line="560" w:lineRule="exact"/>
        <w:ind w:firstLine="566" w:firstLineChars="200"/>
        <w:jc w:val="both"/>
        <w:rPr>
          <w:rFonts w:hint="eastAsia" w:ascii="华文仿宋" w:hAnsi="华文仿宋" w:eastAsia="华文仿宋" w:cs="华文仿宋"/>
          <w:b/>
          <w:bCs/>
          <w:color w:val="auto"/>
          <w:kern w:val="2"/>
          <w:sz w:val="28"/>
          <w:szCs w:val="28"/>
          <w:lang w:val="en-US" w:eastAsia="zh-CN" w:bidi="ar-SA"/>
        </w:rPr>
      </w:pPr>
      <w:r>
        <w:rPr>
          <w:rFonts w:hint="eastAsia" w:ascii="华文仿宋" w:hAnsi="华文仿宋" w:eastAsia="华文仿宋" w:cs="华文仿宋"/>
          <w:b/>
          <w:bCs/>
          <w:color w:val="auto"/>
          <w:kern w:val="2"/>
          <w:sz w:val="28"/>
          <w:szCs w:val="28"/>
          <w:lang w:val="en-US" w:eastAsia="zh-CN" w:bidi="ar-SA"/>
        </w:rPr>
        <w:t>采购人责任：</w:t>
      </w:r>
    </w:p>
    <w:p w14:paraId="0890EFE2">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1.在保养期内，</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不准委派第三方或自行对合同电梯/扶梯进行维修、保养或其它变更行为。</w:t>
      </w:r>
    </w:p>
    <w:p w14:paraId="29F82833">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2.根据本合同约定，按</w:t>
      </w:r>
      <w:r>
        <w:rPr>
          <w:rFonts w:hint="eastAsia" w:ascii="华文仿宋" w:hAnsi="华文仿宋" w:eastAsia="华文仿宋" w:cs="华文仿宋"/>
          <w:color w:val="auto"/>
          <w:kern w:val="2"/>
          <w:sz w:val="28"/>
          <w:szCs w:val="28"/>
          <w:lang w:val="en-US" w:eastAsia="zh-Hans" w:bidi="ar-SA"/>
        </w:rPr>
        <w:t>合同约定每季度</w:t>
      </w:r>
      <w:r>
        <w:rPr>
          <w:rFonts w:hint="eastAsia" w:ascii="华文仿宋" w:hAnsi="华文仿宋" w:eastAsia="华文仿宋" w:cs="华文仿宋"/>
          <w:color w:val="auto"/>
          <w:kern w:val="2"/>
          <w:sz w:val="28"/>
          <w:szCs w:val="28"/>
          <w:lang w:val="en-US" w:eastAsia="zh-CN" w:bidi="ar-SA"/>
        </w:rPr>
        <w:t>支付成交人</w:t>
      </w:r>
      <w:r>
        <w:rPr>
          <w:rFonts w:hint="eastAsia" w:ascii="华文仿宋" w:hAnsi="华文仿宋" w:eastAsia="华文仿宋" w:cs="华文仿宋"/>
          <w:color w:val="auto"/>
          <w:kern w:val="2"/>
          <w:sz w:val="28"/>
          <w:szCs w:val="28"/>
          <w:lang w:val="en-US" w:eastAsia="zh-Hans" w:bidi="ar-SA"/>
        </w:rPr>
        <w:t>电梯维保费用（大包：中大修维修）</w:t>
      </w:r>
      <w:r>
        <w:rPr>
          <w:rFonts w:hint="eastAsia" w:ascii="华文仿宋" w:hAnsi="华文仿宋" w:eastAsia="华文仿宋" w:cs="华文仿宋"/>
          <w:color w:val="auto"/>
          <w:kern w:val="2"/>
          <w:sz w:val="28"/>
          <w:szCs w:val="28"/>
          <w:lang w:val="en-US" w:eastAsia="zh-CN" w:bidi="ar-SA"/>
        </w:rPr>
        <w:t>。</w:t>
      </w:r>
    </w:p>
    <w:p w14:paraId="710F3F59">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3.</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应以正确的形式管理使用电梯/扶梯，使电梯/扶梯处于安全的运行状态。</w:t>
      </w:r>
    </w:p>
    <w:p w14:paraId="66D51E87">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4</w:t>
      </w:r>
      <w:r>
        <w:rPr>
          <w:rFonts w:hint="eastAsia" w:ascii="华文仿宋" w:hAnsi="华文仿宋" w:eastAsia="华文仿宋" w:cs="华文仿宋"/>
          <w:color w:val="auto"/>
          <w:kern w:val="2"/>
          <w:sz w:val="28"/>
          <w:szCs w:val="28"/>
          <w:lang w:val="en-US" w:eastAsia="zh-Hans" w:bidi="ar-SA"/>
        </w:rPr>
        <w:t>.</w:t>
      </w:r>
      <w:r>
        <w:rPr>
          <w:rFonts w:hint="eastAsia" w:ascii="华文仿宋" w:hAnsi="华文仿宋" w:eastAsia="华文仿宋" w:cs="华文仿宋"/>
          <w:color w:val="auto"/>
          <w:kern w:val="2"/>
          <w:sz w:val="28"/>
          <w:szCs w:val="28"/>
          <w:lang w:val="en-US" w:eastAsia="zh-CN" w:bidi="ar-SA"/>
        </w:rPr>
        <w:t>对成交人在电梯/扶梯保养中认为确需要更换零部件有疑义时，应以书面形式通知成交人，并进行协商，如达不成共识，向国家技术监督部门提出鉴定申请，如果技术监督部门认为</w:t>
      </w:r>
      <w:r>
        <w:rPr>
          <w:rFonts w:hint="eastAsia" w:ascii="华文仿宋" w:hAnsi="华文仿宋" w:eastAsia="华文仿宋" w:cs="华文仿宋"/>
          <w:color w:val="auto"/>
          <w:kern w:val="2"/>
          <w:sz w:val="28"/>
          <w:szCs w:val="28"/>
          <w:lang w:val="en-US" w:eastAsia="zh-Hans" w:bidi="ar-SA"/>
        </w:rPr>
        <w:t>符合更换规定</w:t>
      </w:r>
      <w:r>
        <w:rPr>
          <w:rFonts w:hint="eastAsia" w:ascii="华文仿宋" w:hAnsi="华文仿宋" w:eastAsia="华文仿宋" w:cs="华文仿宋"/>
          <w:color w:val="auto"/>
          <w:kern w:val="2"/>
          <w:sz w:val="28"/>
          <w:szCs w:val="28"/>
          <w:lang w:val="en-US" w:eastAsia="zh-CN" w:bidi="ar-SA"/>
        </w:rPr>
        <w:t>，</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Hans" w:bidi="ar-SA"/>
        </w:rPr>
        <w:t>认可，</w:t>
      </w:r>
      <w:r>
        <w:rPr>
          <w:rFonts w:hint="eastAsia" w:ascii="华文仿宋" w:hAnsi="华文仿宋" w:eastAsia="华文仿宋" w:cs="华文仿宋"/>
          <w:color w:val="auto"/>
          <w:kern w:val="2"/>
          <w:sz w:val="28"/>
          <w:szCs w:val="28"/>
          <w:lang w:val="en-US" w:eastAsia="zh-CN" w:bidi="ar-SA"/>
        </w:rPr>
        <w:t>否则由成交人承担</w:t>
      </w:r>
      <w:r>
        <w:rPr>
          <w:rFonts w:hint="eastAsia" w:ascii="华文仿宋" w:hAnsi="华文仿宋" w:eastAsia="华文仿宋" w:cs="华文仿宋"/>
          <w:color w:val="auto"/>
          <w:kern w:val="2"/>
          <w:sz w:val="28"/>
          <w:szCs w:val="28"/>
          <w:lang w:val="en-US" w:eastAsia="zh-Hans" w:bidi="ar-SA"/>
        </w:rPr>
        <w:t>双倍</w:t>
      </w:r>
      <w:r>
        <w:rPr>
          <w:rFonts w:hint="eastAsia" w:ascii="华文仿宋" w:hAnsi="华文仿宋" w:eastAsia="华文仿宋" w:cs="华文仿宋"/>
          <w:color w:val="auto"/>
          <w:kern w:val="2"/>
          <w:sz w:val="28"/>
          <w:szCs w:val="28"/>
          <w:lang w:val="en-US" w:eastAsia="zh-CN" w:bidi="ar-SA"/>
        </w:rPr>
        <w:t>责任。</w:t>
      </w:r>
    </w:p>
    <w:p w14:paraId="5E94627F">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5.在使用电梯/扶梯过程中应承担的义务（负责电梯/扶梯的清洁工作）。</w:t>
      </w:r>
    </w:p>
    <w:p w14:paraId="516E23AA">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（1）电梯：轿厢内之装饰、天花板、按钮面板、轿厢、厅门地坎等清洁工作。</w:t>
      </w:r>
    </w:p>
    <w:p w14:paraId="2A1EB52F">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（2）扶梯：扶手带、玻璃、梯级等外表面。</w:t>
      </w:r>
    </w:p>
    <w:p w14:paraId="373E4836">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6.</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负责电梯日常管理工作，并授权专门人员在《电梯维护保养记录》上签字确认。</w:t>
      </w:r>
    </w:p>
    <w:p w14:paraId="5B776C26">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7.负责向技术监督部门申请电梯/扶梯的年检，并支付年检所需的全部费用。</w:t>
      </w:r>
    </w:p>
    <w:p w14:paraId="26C5BAC6">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8.除</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电梯/扶梯管理操作人员及成交人保养维修人员以外其他人员不得进入机房、井道、地坑及轿厢顶等地方。</w:t>
      </w:r>
    </w:p>
    <w:p w14:paraId="7F4CBD16">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9.</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应按成交人对设备维护服务的要求，为机房提供足够的照明、冷、暖气，并按湿温度的要求做好通风，机房内禁止堆放与电梯无关的物品，以保证设备高效率运行。</w:t>
      </w:r>
    </w:p>
    <w:p w14:paraId="777CC773">
      <w:pPr>
        <w:keepNext w:val="0"/>
        <w:keepLines w:val="0"/>
        <w:pageBreakBefore w:val="0"/>
        <w:widowControl w:val="0"/>
        <w:kinsoku/>
        <w:wordWrap/>
        <w:overflowPunct/>
        <w:topLinePunct w:val="0"/>
        <w:autoSpaceDE/>
        <w:autoSpaceDN/>
        <w:bidi w:val="0"/>
        <w:adjustRightInd/>
        <w:snapToGrid/>
        <w:spacing w:line="520" w:lineRule="exact"/>
        <w:ind w:firstLine="566" w:firstLineChars="200"/>
        <w:jc w:val="both"/>
        <w:textAlignment w:val="auto"/>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10.合同有效期内，</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不得允许非成交人人员更换电梯/扶梯设备增减功能、更换线路、更换或改造部件，否则，造成的一切损失由</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负责，同时成交人有权追究</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的违约责任。</w:t>
      </w:r>
    </w:p>
    <w:p w14:paraId="4EF4AABF">
      <w:pPr>
        <w:widowControl w:val="0"/>
        <w:spacing w:line="560" w:lineRule="exact"/>
        <w:ind w:firstLine="566" w:firstLineChars="200"/>
        <w:jc w:val="both"/>
        <w:rPr>
          <w:rFonts w:hint="eastAsia" w:ascii="华文仿宋" w:hAnsi="华文仿宋" w:eastAsia="华文仿宋" w:cs="华文仿宋"/>
          <w:b/>
          <w:bCs/>
          <w:color w:val="auto"/>
          <w:kern w:val="2"/>
          <w:sz w:val="28"/>
          <w:szCs w:val="28"/>
          <w:lang w:val="en-US" w:eastAsia="zh-CN" w:bidi="ar-SA"/>
        </w:rPr>
      </w:pPr>
      <w:r>
        <w:rPr>
          <w:rFonts w:hint="eastAsia" w:ascii="华文仿宋" w:hAnsi="华文仿宋" w:eastAsia="华文仿宋" w:cs="华文仿宋"/>
          <w:b/>
          <w:bCs/>
          <w:color w:val="auto"/>
          <w:kern w:val="2"/>
          <w:sz w:val="28"/>
          <w:szCs w:val="28"/>
          <w:lang w:val="en-US" w:eastAsia="zh-CN" w:bidi="ar-SA"/>
        </w:rPr>
        <w:t>九</w:t>
      </w:r>
      <w:r>
        <w:rPr>
          <w:rFonts w:hint="eastAsia" w:ascii="华文仿宋" w:hAnsi="华文仿宋" w:cs="华文仿宋"/>
          <w:b/>
          <w:bCs/>
          <w:color w:val="auto"/>
          <w:kern w:val="2"/>
          <w:sz w:val="28"/>
          <w:szCs w:val="28"/>
          <w:lang w:val="en-US" w:eastAsia="zh-CN" w:bidi="ar-SA"/>
        </w:rPr>
        <w:t>、</w:t>
      </w:r>
      <w:r>
        <w:rPr>
          <w:rFonts w:hint="eastAsia" w:ascii="华文仿宋" w:hAnsi="华文仿宋" w:eastAsia="华文仿宋" w:cs="华文仿宋"/>
          <w:b/>
          <w:bCs/>
          <w:color w:val="auto"/>
          <w:kern w:val="2"/>
          <w:sz w:val="28"/>
          <w:szCs w:val="28"/>
          <w:lang w:val="en-US" w:eastAsia="zh-CN" w:bidi="ar-SA"/>
        </w:rPr>
        <w:t>安全责任与事故责任划分</w:t>
      </w:r>
    </w:p>
    <w:p w14:paraId="78932B88">
      <w:pPr>
        <w:widowControl w:val="0"/>
        <w:spacing w:line="560" w:lineRule="exact"/>
        <w:ind w:firstLine="566" w:firstLineChars="200"/>
        <w:jc w:val="both"/>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本条款依据《中华人民共和国民法典》《中华人民共和国特种设备安全法》《电梯维护保养规则》制定，采购人、成交人双方严格遵照执行。</w:t>
      </w:r>
    </w:p>
    <w:p w14:paraId="12941E44">
      <w:pPr>
        <w:widowControl w:val="0"/>
        <w:spacing w:line="560" w:lineRule="exact"/>
        <w:ind w:firstLine="566" w:firstLineChars="200"/>
        <w:jc w:val="both"/>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1. 成交人对所维保电梯/扶梯的维保质量、安全性能及应急处置工作承担主体责任。因成交人人员无证上岗、未按约定频次/标准开展维保、违规作业、配件以次充好、应急处置延误、维保记录造假、未落实安全防护等成交人原因，引发设备故障、电梯困人、设备损坏、人身伤亡、第三方财产损失及行政部门处罚的，全部经济损失、法律责任、赔偿费用、罚款、诉讼费、律师费、善后费用等均由成交人独立承担。采购人因此先行对外赔付、垫付费用的，有权向成交人全额追偿。</w:t>
      </w:r>
    </w:p>
    <w:p w14:paraId="74A98A63">
      <w:pPr>
        <w:widowControl w:val="0"/>
        <w:spacing w:line="560" w:lineRule="exact"/>
        <w:ind w:firstLine="566" w:firstLineChars="200"/>
        <w:jc w:val="both"/>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2. 因采购人擅自委托第三方维保、自行拆解改造设备、违规使用设备、拒不配合正常维保、未按要求保障机房使用条件、明知部件故障拒不配合更换、管理疏漏等采购人原因引发故障或安全事故的，全部责任及损失由采购人自行承担，成交人不承担任何赔偿及连带责任。</w:t>
      </w:r>
    </w:p>
    <w:p w14:paraId="54CD6233">
      <w:pPr>
        <w:widowControl w:val="0"/>
        <w:spacing w:line="560" w:lineRule="exact"/>
        <w:ind w:firstLine="566" w:firstLineChars="200"/>
        <w:jc w:val="both"/>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3. 因乘客故意破坏设备、违规乘梯、不可抗力、设备原厂设计/制造缺陷、第三方施工破坏等非采购人成交人双方原因造成的事故，按国家相关规定划分责任，采购人、成交人双方互不追责。但成交人应在事故发生后及时配合采购人进行现场勘查和原因分析，成交人主张免责的，应承担相应的举证责任。</w:t>
      </w:r>
    </w:p>
    <w:p w14:paraId="49865726">
      <w:pPr>
        <w:widowControl w:val="0"/>
        <w:spacing w:line="560" w:lineRule="exact"/>
        <w:ind w:firstLine="566" w:firstLineChars="200"/>
        <w:jc w:val="both"/>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4. 事故发生后，双方均需第一时间保护现场、留存资料、配合市场监管部门及事故调查组开展调查工作。成交人不得隐瞒、篡改、销毁维保记录及相关凭证，否则由此扩大的损失及加重的处罚均由成交人承担。</w:t>
      </w:r>
    </w:p>
    <w:p w14:paraId="43F2B145">
      <w:pPr>
        <w:widowControl w:val="0"/>
        <w:spacing w:line="560" w:lineRule="exact"/>
        <w:ind w:firstLine="566" w:firstLineChars="200"/>
        <w:jc w:val="both"/>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5. 成交人严禁将本项目维保业务转包、分包，一经发现，采购人有权立即解除合同，成交人承担由此产生的一切损失及违约责任。</w:t>
      </w:r>
    </w:p>
    <w:p w14:paraId="64B5F940">
      <w:pPr>
        <w:widowControl w:val="0"/>
        <w:spacing w:line="560" w:lineRule="exact"/>
        <w:ind w:firstLine="566" w:firstLineChars="200"/>
        <w:jc w:val="both"/>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6.成交人应在本合同签订后15个工作日内，购买电梯维保责任扩展的公众责任险及雇主责任险，并将保险单复印件交采购人备案。保险期内应覆盖整个合同履行期。成交人未按约定购买保险或保险期间中断的，采购人有权单方解除合同。</w:t>
      </w:r>
    </w:p>
    <w:p w14:paraId="67FEBC01">
      <w:pPr>
        <w:widowControl w:val="0"/>
        <w:spacing w:line="560" w:lineRule="exact"/>
        <w:ind w:firstLine="566" w:firstLineChars="200"/>
        <w:jc w:val="both"/>
        <w:rPr>
          <w:rFonts w:hint="eastAsia" w:ascii="华文仿宋" w:hAnsi="华文仿宋" w:eastAsia="华文仿宋" w:cs="华文仿宋"/>
          <w:b/>
          <w:bCs/>
          <w:color w:val="auto"/>
          <w:kern w:val="2"/>
          <w:sz w:val="28"/>
          <w:szCs w:val="28"/>
          <w:lang w:val="en-US" w:eastAsia="zh-CN" w:bidi="ar-SA"/>
        </w:rPr>
      </w:pPr>
      <w:r>
        <w:rPr>
          <w:rFonts w:hint="eastAsia" w:ascii="华文仿宋" w:hAnsi="华文仿宋" w:eastAsia="华文仿宋" w:cs="华文仿宋"/>
          <w:b/>
          <w:bCs/>
          <w:color w:val="auto"/>
          <w:kern w:val="2"/>
          <w:sz w:val="28"/>
          <w:szCs w:val="28"/>
          <w:lang w:val="en-US" w:eastAsia="zh-CN" w:bidi="ar-SA"/>
        </w:rPr>
        <w:t>十</w:t>
      </w:r>
      <w:r>
        <w:rPr>
          <w:rFonts w:hint="eastAsia" w:ascii="华文仿宋" w:hAnsi="华文仿宋" w:cs="华文仿宋"/>
          <w:b/>
          <w:bCs/>
          <w:color w:val="auto"/>
          <w:kern w:val="2"/>
          <w:sz w:val="28"/>
          <w:szCs w:val="28"/>
          <w:lang w:val="en-US" w:eastAsia="zh-CN" w:bidi="ar-SA"/>
        </w:rPr>
        <w:t>、</w:t>
      </w:r>
      <w:r>
        <w:rPr>
          <w:rFonts w:hint="eastAsia" w:ascii="华文仿宋" w:hAnsi="华文仿宋" w:eastAsia="华文仿宋" w:cs="华文仿宋"/>
          <w:b/>
          <w:bCs/>
          <w:color w:val="auto"/>
          <w:kern w:val="2"/>
          <w:sz w:val="28"/>
          <w:szCs w:val="28"/>
          <w:lang w:val="en-US" w:eastAsia="zh-CN" w:bidi="ar-SA"/>
        </w:rPr>
        <w:t>违约责任</w:t>
      </w:r>
    </w:p>
    <w:p w14:paraId="28CA2F5F">
      <w:pPr>
        <w:suppressAutoHyphens/>
        <w:bidi w:val="0"/>
        <w:spacing w:line="580" w:lineRule="exact"/>
        <w:ind w:firstLine="606" w:firstLineChars="200"/>
        <w:textAlignment w:val="baseline"/>
        <w:rPr>
          <w:rFonts w:hint="eastAsia" w:ascii="华文仿宋" w:hAnsi="华文仿宋" w:eastAsia="华文仿宋" w:cs="华文仿宋"/>
          <w:color w:val="000000"/>
          <w:spacing w:val="10"/>
          <w:sz w:val="28"/>
          <w:szCs w:val="28"/>
        </w:rPr>
      </w:pPr>
      <w:r>
        <w:rPr>
          <w:rFonts w:hint="eastAsia" w:ascii="华文仿宋" w:hAnsi="华文仿宋" w:eastAsia="华文仿宋" w:cs="华文仿宋"/>
          <w:spacing w:val="10"/>
          <w:sz w:val="28"/>
          <w:szCs w:val="28"/>
        </w:rPr>
        <w:t>1</w:t>
      </w:r>
      <w:r>
        <w:rPr>
          <w:rFonts w:hint="eastAsia" w:ascii="华文仿宋" w:hAnsi="华文仿宋" w:eastAsia="华文仿宋" w:cs="华文仿宋"/>
          <w:spacing w:val="10"/>
          <w:sz w:val="28"/>
          <w:szCs w:val="28"/>
          <w:lang w:eastAsia="zh-Hans"/>
        </w:rPr>
        <w:t>.</w:t>
      </w:r>
      <w:r>
        <w:rPr>
          <w:rFonts w:hint="eastAsia" w:ascii="华文仿宋" w:hAnsi="华文仿宋" w:eastAsia="华文仿宋" w:cs="华文仿宋"/>
          <w:spacing w:val="10"/>
          <w:sz w:val="28"/>
          <w:szCs w:val="28"/>
          <w:lang w:eastAsia="zh-CN"/>
        </w:rPr>
        <w:t>成交人</w:t>
      </w:r>
      <w:r>
        <w:rPr>
          <w:rFonts w:hint="eastAsia" w:ascii="华文仿宋" w:hAnsi="华文仿宋" w:eastAsia="华文仿宋" w:cs="华文仿宋"/>
          <w:spacing w:val="10"/>
          <w:sz w:val="28"/>
          <w:szCs w:val="28"/>
        </w:rPr>
        <w:t>违反合同第五</w:t>
      </w:r>
      <w:r>
        <w:rPr>
          <w:rFonts w:hint="eastAsia" w:ascii="华文仿宋" w:hAnsi="华文仿宋" w:eastAsia="华文仿宋" w:cs="华文仿宋"/>
          <w:spacing w:val="10"/>
          <w:sz w:val="28"/>
          <w:szCs w:val="28"/>
          <w:lang w:eastAsia="zh-Hans"/>
        </w:rPr>
        <w:t>条</w:t>
      </w:r>
      <w:r>
        <w:rPr>
          <w:rFonts w:hint="eastAsia" w:ascii="华文仿宋" w:hAnsi="华文仿宋" w:eastAsia="华文仿宋" w:cs="华文仿宋"/>
          <w:spacing w:val="10"/>
          <w:sz w:val="28"/>
          <w:szCs w:val="28"/>
        </w:rPr>
        <w:t>的约定，未能达到约定的管理目标，</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spacing w:val="10"/>
          <w:sz w:val="28"/>
          <w:szCs w:val="28"/>
        </w:rPr>
        <w:t>有权要求</w:t>
      </w:r>
      <w:r>
        <w:rPr>
          <w:rFonts w:hint="eastAsia" w:ascii="华文仿宋" w:hAnsi="华文仿宋" w:eastAsia="华文仿宋" w:cs="华文仿宋"/>
          <w:spacing w:val="10"/>
          <w:sz w:val="28"/>
          <w:szCs w:val="28"/>
          <w:lang w:eastAsia="zh-CN"/>
        </w:rPr>
        <w:t>成交人</w:t>
      </w:r>
      <w:r>
        <w:rPr>
          <w:rFonts w:hint="eastAsia" w:ascii="华文仿宋" w:hAnsi="华文仿宋" w:eastAsia="华文仿宋" w:cs="华文仿宋"/>
          <w:spacing w:val="10"/>
          <w:sz w:val="28"/>
          <w:szCs w:val="28"/>
        </w:rPr>
        <w:t>限期整改、维修维护，并按照考核结果扣罚。</w:t>
      </w:r>
      <w:r>
        <w:rPr>
          <w:rFonts w:hint="eastAsia" w:ascii="华文仿宋" w:hAnsi="华文仿宋" w:eastAsia="华文仿宋" w:cs="华文仿宋"/>
          <w:color w:val="000000"/>
          <w:spacing w:val="10"/>
          <w:sz w:val="28"/>
          <w:szCs w:val="28"/>
        </w:rPr>
        <w:t>按照委托管理事项</w:t>
      </w:r>
      <w:r>
        <w:rPr>
          <w:rFonts w:hint="eastAsia" w:ascii="华文仿宋" w:hAnsi="华文仿宋" w:eastAsia="华文仿宋" w:cs="华文仿宋"/>
          <w:color w:val="000000"/>
          <w:spacing w:val="10"/>
          <w:sz w:val="28"/>
          <w:szCs w:val="28"/>
          <w:lang w:eastAsia="zh-Hans"/>
        </w:rPr>
        <w:t>第二条服务</w:t>
      </w:r>
      <w:r>
        <w:rPr>
          <w:rFonts w:hint="eastAsia" w:ascii="华文仿宋" w:hAnsi="华文仿宋" w:eastAsia="华文仿宋" w:cs="华文仿宋"/>
          <w:color w:val="000000"/>
          <w:spacing w:val="10"/>
          <w:sz w:val="28"/>
          <w:szCs w:val="28"/>
        </w:rPr>
        <w:t>内容规定，若</w:t>
      </w:r>
      <w:r>
        <w:rPr>
          <w:rFonts w:hint="eastAsia" w:ascii="华文仿宋" w:hAnsi="华文仿宋" w:eastAsia="华文仿宋" w:cs="华文仿宋"/>
          <w:color w:val="000000"/>
          <w:spacing w:val="10"/>
          <w:sz w:val="28"/>
          <w:szCs w:val="28"/>
          <w:lang w:eastAsia="zh-CN"/>
        </w:rPr>
        <w:t>成交人</w:t>
      </w:r>
      <w:r>
        <w:rPr>
          <w:rFonts w:hint="eastAsia" w:ascii="华文仿宋" w:hAnsi="华文仿宋" w:eastAsia="华文仿宋" w:cs="华文仿宋"/>
          <w:color w:val="000000"/>
          <w:spacing w:val="10"/>
          <w:sz w:val="28"/>
          <w:szCs w:val="28"/>
        </w:rPr>
        <w:t>在</w:t>
      </w:r>
      <w:r>
        <w:rPr>
          <w:rFonts w:hint="eastAsia" w:ascii="华文仿宋" w:hAnsi="华文仿宋" w:eastAsia="华文仿宋" w:cs="华文仿宋"/>
          <w:color w:val="000000"/>
          <w:spacing w:val="10"/>
          <w:sz w:val="28"/>
          <w:szCs w:val="28"/>
          <w:lang w:eastAsia="zh-CN"/>
        </w:rPr>
        <w:t>合同生效之日起算</w:t>
      </w:r>
      <w:r>
        <w:rPr>
          <w:rFonts w:hint="eastAsia" w:ascii="华文仿宋" w:hAnsi="华文仿宋" w:eastAsia="华文仿宋" w:cs="华文仿宋"/>
          <w:color w:val="000000"/>
          <w:spacing w:val="10"/>
          <w:sz w:val="28"/>
          <w:szCs w:val="28"/>
          <w:lang w:eastAsia="zh-Hans"/>
        </w:rPr>
        <w:t>半</w:t>
      </w:r>
      <w:r>
        <w:rPr>
          <w:rFonts w:hint="eastAsia" w:ascii="华文仿宋" w:hAnsi="华文仿宋" w:eastAsia="华文仿宋" w:cs="华文仿宋"/>
          <w:color w:val="000000"/>
          <w:spacing w:val="10"/>
          <w:sz w:val="28"/>
          <w:szCs w:val="28"/>
        </w:rPr>
        <w:t>年期限内，没有达到</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000000"/>
          <w:spacing w:val="10"/>
          <w:sz w:val="28"/>
          <w:szCs w:val="28"/>
        </w:rPr>
        <w:t>要求委托技术人员进行专业化服务的整改效果或</w:t>
      </w:r>
      <w:r>
        <w:rPr>
          <w:rFonts w:hint="eastAsia" w:ascii="华文仿宋" w:hAnsi="华文仿宋" w:eastAsia="华文仿宋" w:cs="华文仿宋"/>
          <w:color w:val="000000"/>
          <w:spacing w:val="10"/>
          <w:sz w:val="28"/>
          <w:szCs w:val="28"/>
          <w:lang w:eastAsia="zh-Hans"/>
        </w:rPr>
        <w:t>电梯</w:t>
      </w:r>
      <w:r>
        <w:rPr>
          <w:rFonts w:hint="eastAsia" w:ascii="华文仿宋" w:hAnsi="华文仿宋" w:eastAsia="华文仿宋" w:cs="华文仿宋"/>
          <w:color w:val="000000"/>
          <w:spacing w:val="10"/>
          <w:sz w:val="28"/>
          <w:szCs w:val="28"/>
        </w:rPr>
        <w:t>管理满意率未达到90%，</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000000"/>
          <w:spacing w:val="10"/>
          <w:sz w:val="28"/>
          <w:szCs w:val="28"/>
        </w:rPr>
        <w:t>有权委托第三方机构进行专业化服务或终止服务合同；造成</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000000"/>
          <w:spacing w:val="10"/>
          <w:sz w:val="28"/>
          <w:szCs w:val="28"/>
        </w:rPr>
        <w:t>其他损失的，</w:t>
      </w:r>
      <w:r>
        <w:rPr>
          <w:rFonts w:hint="eastAsia" w:ascii="华文仿宋" w:hAnsi="华文仿宋" w:eastAsia="华文仿宋" w:cs="华文仿宋"/>
          <w:color w:val="000000"/>
          <w:spacing w:val="10"/>
          <w:sz w:val="28"/>
          <w:szCs w:val="28"/>
          <w:lang w:eastAsia="zh-CN"/>
        </w:rPr>
        <w:t>成交人</w:t>
      </w:r>
      <w:r>
        <w:rPr>
          <w:rFonts w:hint="eastAsia" w:ascii="华文仿宋" w:hAnsi="华文仿宋" w:eastAsia="华文仿宋" w:cs="华文仿宋"/>
          <w:color w:val="000000"/>
          <w:spacing w:val="10"/>
          <w:sz w:val="28"/>
          <w:szCs w:val="28"/>
        </w:rPr>
        <w:t>应承担经济、法律责任。</w:t>
      </w:r>
    </w:p>
    <w:p w14:paraId="7036E482">
      <w:pPr>
        <w:suppressAutoHyphens/>
        <w:bidi w:val="0"/>
        <w:spacing w:line="580" w:lineRule="exact"/>
        <w:ind w:firstLine="606" w:firstLineChars="200"/>
        <w:textAlignment w:val="baseline"/>
        <w:rPr>
          <w:rFonts w:hint="eastAsia" w:ascii="华文仿宋" w:hAnsi="华文仿宋" w:eastAsia="华文仿宋" w:cs="华文仿宋"/>
          <w:spacing w:val="10"/>
          <w:sz w:val="28"/>
          <w:szCs w:val="28"/>
        </w:rPr>
      </w:pPr>
      <w:r>
        <w:rPr>
          <w:rFonts w:hint="eastAsia" w:ascii="华文仿宋" w:hAnsi="华文仿宋" w:eastAsia="华文仿宋" w:cs="华文仿宋"/>
          <w:color w:val="000000"/>
          <w:spacing w:val="10"/>
          <w:sz w:val="28"/>
          <w:szCs w:val="28"/>
        </w:rPr>
        <w:t>2</w:t>
      </w:r>
      <w:r>
        <w:rPr>
          <w:rFonts w:hint="eastAsia" w:ascii="华文仿宋" w:hAnsi="华文仿宋" w:eastAsia="华文仿宋" w:cs="华文仿宋"/>
          <w:color w:val="000000"/>
          <w:spacing w:val="10"/>
          <w:sz w:val="28"/>
          <w:szCs w:val="28"/>
          <w:lang w:eastAsia="zh-Hans"/>
        </w:rPr>
        <w:t>.</w:t>
      </w:r>
      <w:r>
        <w:rPr>
          <w:rFonts w:hint="eastAsia" w:ascii="华文仿宋" w:hAnsi="华文仿宋" w:eastAsia="华文仿宋" w:cs="华文仿宋"/>
          <w:color w:val="000000"/>
          <w:spacing w:val="10"/>
          <w:sz w:val="28"/>
          <w:szCs w:val="28"/>
          <w:lang w:eastAsia="zh-CN"/>
        </w:rPr>
        <w:t>成交人</w:t>
      </w:r>
      <w:r>
        <w:rPr>
          <w:rFonts w:hint="eastAsia" w:ascii="华文仿宋" w:hAnsi="华文仿宋" w:eastAsia="华文仿宋" w:cs="华文仿宋"/>
          <w:color w:val="000000"/>
          <w:spacing w:val="10"/>
          <w:sz w:val="28"/>
          <w:szCs w:val="28"/>
        </w:rPr>
        <w:t>违反第五</w:t>
      </w:r>
      <w:r>
        <w:rPr>
          <w:rFonts w:hint="eastAsia" w:ascii="华文仿宋" w:hAnsi="华文仿宋" w:eastAsia="华文仿宋" w:cs="华文仿宋"/>
          <w:color w:val="000000"/>
          <w:spacing w:val="10"/>
          <w:sz w:val="28"/>
          <w:szCs w:val="28"/>
          <w:lang w:eastAsia="zh-Hans"/>
        </w:rPr>
        <w:t>条</w:t>
      </w:r>
      <w:r>
        <w:rPr>
          <w:rFonts w:hint="eastAsia" w:ascii="华文仿宋" w:hAnsi="华文仿宋" w:eastAsia="华文仿宋" w:cs="华文仿宋"/>
          <w:color w:val="000000"/>
          <w:spacing w:val="10"/>
          <w:sz w:val="28"/>
          <w:szCs w:val="28"/>
        </w:rPr>
        <w:t>约定的，考核标准为：</w:t>
      </w:r>
      <w:r>
        <w:rPr>
          <w:rFonts w:hint="eastAsia" w:ascii="华文仿宋" w:hAnsi="华文仿宋" w:eastAsia="华文仿宋" w:cs="华文仿宋"/>
          <w:color w:val="000000"/>
          <w:spacing w:val="10"/>
          <w:sz w:val="28"/>
          <w:szCs w:val="28"/>
          <w:lang w:eastAsia="zh-CN"/>
        </w:rPr>
        <w:t>维保</w:t>
      </w:r>
      <w:r>
        <w:rPr>
          <w:rFonts w:hint="eastAsia" w:ascii="华文仿宋" w:hAnsi="华文仿宋" w:eastAsia="华文仿宋" w:cs="华文仿宋"/>
          <w:color w:val="000000"/>
          <w:spacing w:val="10"/>
          <w:sz w:val="28"/>
          <w:szCs w:val="28"/>
        </w:rPr>
        <w:t>管理量化考核指标分值达到100分，视为优秀；达到90分-95分，视为合格；90分以下，视为不合格。如低于90分，按照实际考核分值与90分的差额，每分扣除1000元；连续三个月考核低于90分，</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000000"/>
          <w:spacing w:val="10"/>
          <w:sz w:val="28"/>
          <w:szCs w:val="28"/>
        </w:rPr>
        <w:t>有权终止合同；第五</w:t>
      </w:r>
      <w:r>
        <w:rPr>
          <w:rFonts w:hint="eastAsia" w:ascii="华文仿宋" w:hAnsi="华文仿宋" w:eastAsia="华文仿宋" w:cs="华文仿宋"/>
          <w:color w:val="000000"/>
          <w:spacing w:val="10"/>
          <w:sz w:val="28"/>
          <w:szCs w:val="28"/>
          <w:lang w:eastAsia="zh-Hans"/>
        </w:rPr>
        <w:t>条</w:t>
      </w:r>
      <w:r>
        <w:rPr>
          <w:rFonts w:hint="eastAsia" w:ascii="华文仿宋" w:hAnsi="华文仿宋" w:eastAsia="华文仿宋" w:cs="华文仿宋"/>
          <w:color w:val="000000"/>
          <w:spacing w:val="10"/>
          <w:sz w:val="28"/>
          <w:szCs w:val="28"/>
        </w:rPr>
        <w:t>中，对</w:t>
      </w:r>
      <w:r>
        <w:rPr>
          <w:rFonts w:hint="eastAsia" w:ascii="华文仿宋" w:hAnsi="华文仿宋" w:eastAsia="华文仿宋" w:cs="华文仿宋"/>
          <w:color w:val="000000"/>
          <w:spacing w:val="10"/>
          <w:sz w:val="28"/>
          <w:szCs w:val="28"/>
          <w:lang w:eastAsia="zh-Hans"/>
        </w:rPr>
        <w:t>常规维保和中大修维修</w:t>
      </w:r>
      <w:r>
        <w:rPr>
          <w:rFonts w:hint="eastAsia" w:ascii="华文仿宋" w:hAnsi="华文仿宋" w:eastAsia="华文仿宋" w:cs="华文仿宋"/>
          <w:color w:val="000000"/>
          <w:spacing w:val="10"/>
          <w:sz w:val="28"/>
          <w:szCs w:val="28"/>
          <w:lang w:eastAsia="zh-CN"/>
        </w:rPr>
        <w:t>各项标准</w:t>
      </w:r>
      <w:r>
        <w:rPr>
          <w:rFonts w:hint="eastAsia" w:ascii="华文仿宋" w:hAnsi="华文仿宋" w:eastAsia="华文仿宋" w:cs="华文仿宋"/>
          <w:color w:val="000000"/>
          <w:spacing w:val="10"/>
          <w:sz w:val="28"/>
          <w:szCs w:val="28"/>
        </w:rPr>
        <w:t>必须达到约定</w:t>
      </w:r>
      <w:r>
        <w:rPr>
          <w:rFonts w:hint="eastAsia" w:ascii="华文仿宋" w:hAnsi="华文仿宋" w:eastAsia="华文仿宋" w:cs="华文仿宋"/>
          <w:color w:val="000000"/>
          <w:spacing w:val="10"/>
          <w:sz w:val="28"/>
          <w:szCs w:val="28"/>
          <w:lang w:eastAsia="zh-Hans"/>
        </w:rPr>
        <w:t>事项</w:t>
      </w:r>
      <w:r>
        <w:rPr>
          <w:rFonts w:hint="eastAsia" w:ascii="华文仿宋" w:hAnsi="华文仿宋" w:eastAsia="华文仿宋" w:cs="华文仿宋"/>
          <w:color w:val="000000"/>
          <w:spacing w:val="10"/>
          <w:sz w:val="28"/>
          <w:szCs w:val="28"/>
        </w:rPr>
        <w:t>，</w:t>
      </w:r>
      <w:r>
        <w:rPr>
          <w:rFonts w:hint="eastAsia" w:ascii="华文仿宋" w:hAnsi="华文仿宋" w:eastAsia="华文仿宋" w:cs="华文仿宋"/>
          <w:color w:val="000000"/>
          <w:spacing w:val="10"/>
          <w:sz w:val="28"/>
          <w:szCs w:val="28"/>
          <w:lang w:eastAsia="zh-Hans"/>
        </w:rPr>
        <w:t>每项达不到</w:t>
      </w:r>
      <w:r>
        <w:rPr>
          <w:rFonts w:hint="eastAsia" w:ascii="华文仿宋" w:hAnsi="华文仿宋" w:eastAsia="华文仿宋" w:cs="华文仿宋"/>
          <w:color w:val="000000"/>
          <w:spacing w:val="10"/>
          <w:sz w:val="28"/>
          <w:szCs w:val="28"/>
          <w:lang w:eastAsia="zh-CN"/>
        </w:rPr>
        <w:t>减</w:t>
      </w:r>
      <w:r>
        <w:rPr>
          <w:rFonts w:hint="eastAsia" w:ascii="华文仿宋" w:hAnsi="华文仿宋" w:eastAsia="华文仿宋" w:cs="华文仿宋"/>
          <w:color w:val="000000"/>
          <w:spacing w:val="10"/>
          <w:sz w:val="28"/>
          <w:szCs w:val="28"/>
        </w:rPr>
        <w:t>1分，扣除2000元</w:t>
      </w:r>
      <w:r>
        <w:rPr>
          <w:rFonts w:hint="eastAsia" w:ascii="华文仿宋" w:hAnsi="华文仿宋" w:eastAsia="华文仿宋" w:cs="华文仿宋"/>
          <w:color w:val="000000"/>
          <w:spacing w:val="10"/>
          <w:sz w:val="28"/>
          <w:szCs w:val="28"/>
          <w:lang w:eastAsia="zh-CN"/>
        </w:rPr>
        <w:t>且可累计叠加扣减合同价格</w:t>
      </w:r>
      <w:r>
        <w:rPr>
          <w:rFonts w:hint="eastAsia" w:ascii="华文仿宋" w:hAnsi="华文仿宋" w:eastAsia="华文仿宋" w:cs="华文仿宋"/>
          <w:color w:val="000000"/>
          <w:spacing w:val="10"/>
          <w:sz w:val="28"/>
          <w:szCs w:val="28"/>
        </w:rPr>
        <w:t>；</w:t>
      </w:r>
      <w:r>
        <w:rPr>
          <w:rFonts w:hint="eastAsia" w:ascii="华文仿宋" w:hAnsi="华文仿宋" w:eastAsia="华文仿宋" w:cs="华文仿宋"/>
          <w:color w:val="000000"/>
          <w:spacing w:val="10"/>
          <w:sz w:val="28"/>
          <w:szCs w:val="28"/>
          <w:lang w:eastAsia="zh-CN"/>
        </w:rPr>
        <w:t>合同期内，每年电梯大修率占比没达到</w:t>
      </w:r>
      <w:r>
        <w:rPr>
          <w:rFonts w:hint="eastAsia" w:ascii="华文仿宋" w:hAnsi="华文仿宋" w:eastAsia="华文仿宋" w:cs="华文仿宋"/>
          <w:color w:val="000000"/>
          <w:spacing w:val="10"/>
          <w:sz w:val="28"/>
          <w:szCs w:val="28"/>
          <w:lang w:val="en-US" w:eastAsia="zh-CN"/>
        </w:rPr>
        <w:t>20%的，每低1个百分点从当年应付费用中扣减1万元，但不免除继续完成大修指标的约定。</w:t>
      </w:r>
      <w:r>
        <w:rPr>
          <w:rFonts w:hint="eastAsia" w:ascii="华文仿宋" w:hAnsi="华文仿宋" w:eastAsia="华文仿宋" w:cs="华文仿宋"/>
          <w:color w:val="000000"/>
          <w:spacing w:val="10"/>
          <w:sz w:val="28"/>
          <w:szCs w:val="28"/>
          <w:lang w:eastAsia="zh-CN"/>
        </w:rPr>
        <w:t>电梯维修维保过程中所更换的配件必须为原厂全新件</w:t>
      </w:r>
      <w:r>
        <w:rPr>
          <w:rFonts w:hint="eastAsia" w:ascii="华文仿宋" w:hAnsi="华文仿宋" w:eastAsia="华文仿宋" w:cs="华文仿宋"/>
          <w:color w:val="000000"/>
          <w:spacing w:val="10"/>
          <w:sz w:val="28"/>
          <w:szCs w:val="28"/>
          <w:lang w:val="en-US" w:eastAsia="zh-CN"/>
        </w:rPr>
        <w:t>,更换非原厂全新件每件扣2000元,同时要求成交人免费更换原厂件、承担全部损失、整改并复检</w:t>
      </w:r>
      <w:r>
        <w:rPr>
          <w:rFonts w:hint="eastAsia" w:ascii="华文仿宋" w:hAnsi="华文仿宋" w:eastAsia="华文仿宋" w:cs="华文仿宋"/>
          <w:color w:val="000000"/>
          <w:spacing w:val="10"/>
          <w:sz w:val="28"/>
          <w:szCs w:val="28"/>
        </w:rPr>
        <w:t>。涉及维修</w:t>
      </w:r>
      <w:r>
        <w:rPr>
          <w:rFonts w:hint="eastAsia" w:ascii="华文仿宋" w:hAnsi="华文仿宋" w:eastAsia="华文仿宋" w:cs="华文仿宋"/>
          <w:color w:val="000000"/>
          <w:spacing w:val="10"/>
          <w:sz w:val="28"/>
          <w:szCs w:val="28"/>
          <w:lang w:eastAsia="zh-Hans"/>
        </w:rPr>
        <w:t>不到位的</w:t>
      </w:r>
      <w:r>
        <w:rPr>
          <w:rFonts w:hint="eastAsia" w:ascii="华文仿宋" w:hAnsi="华文仿宋" w:eastAsia="华文仿宋" w:cs="华文仿宋"/>
          <w:color w:val="000000"/>
          <w:spacing w:val="10"/>
          <w:sz w:val="28"/>
          <w:szCs w:val="28"/>
        </w:rPr>
        <w:t>事项未按约定时限落实的，</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000000"/>
          <w:spacing w:val="10"/>
          <w:sz w:val="28"/>
          <w:szCs w:val="28"/>
          <w:lang w:eastAsia="zh-Hans"/>
        </w:rPr>
        <w:t>有权组织</w:t>
      </w:r>
      <w:r>
        <w:rPr>
          <w:rFonts w:hint="eastAsia" w:ascii="华文仿宋" w:hAnsi="华文仿宋" w:eastAsia="华文仿宋" w:cs="华文仿宋"/>
          <w:color w:val="000000"/>
          <w:spacing w:val="10"/>
          <w:sz w:val="28"/>
          <w:szCs w:val="28"/>
        </w:rPr>
        <w:t>实施，后产生的费用根据考核后下发的整改通知单内容，按</w:t>
      </w:r>
      <w:r>
        <w:rPr>
          <w:rFonts w:hint="eastAsia" w:ascii="华文仿宋" w:hAnsi="华文仿宋" w:eastAsia="华文仿宋" w:cs="华文仿宋"/>
          <w:color w:val="000000"/>
          <w:spacing w:val="10"/>
          <w:sz w:val="28"/>
          <w:szCs w:val="28"/>
          <w:lang w:eastAsia="zh-Hans"/>
        </w:rPr>
        <w:t>双倍</w:t>
      </w:r>
      <w:r>
        <w:rPr>
          <w:rFonts w:hint="eastAsia" w:ascii="华文仿宋" w:hAnsi="华文仿宋" w:eastAsia="华文仿宋" w:cs="华文仿宋"/>
          <w:color w:val="000000"/>
          <w:spacing w:val="10"/>
          <w:sz w:val="28"/>
          <w:szCs w:val="28"/>
        </w:rPr>
        <w:t>进行扣罚。</w:t>
      </w:r>
      <w:r>
        <w:rPr>
          <w:rFonts w:hint="eastAsia" w:ascii="华文仿宋" w:hAnsi="华文仿宋" w:eastAsia="华文仿宋" w:cs="华文仿宋"/>
          <w:color w:val="000000"/>
          <w:spacing w:val="10"/>
          <w:sz w:val="28"/>
          <w:szCs w:val="28"/>
          <w:lang w:eastAsia="zh-Hans"/>
        </w:rPr>
        <w:t>电梯设备</w:t>
      </w:r>
      <w:r>
        <w:rPr>
          <w:rFonts w:hint="eastAsia" w:ascii="华文仿宋" w:hAnsi="华文仿宋" w:eastAsia="华文仿宋" w:cs="华文仿宋"/>
          <w:spacing w:val="10"/>
          <w:sz w:val="28"/>
          <w:szCs w:val="28"/>
        </w:rPr>
        <w:t>管理满意率指标低于90%的，按照所抽取驻楼单位中出现的不满意次数，每次扣除2000元。单项考核：发现电梯未按时保养，每次扣1000元，小型维修不及时或故障发现一次扣500元，电梯困人一次</w:t>
      </w:r>
      <w:r>
        <w:rPr>
          <w:rFonts w:hint="eastAsia" w:ascii="华文仿宋" w:hAnsi="华文仿宋" w:eastAsia="华文仿宋" w:cs="华文仿宋"/>
          <w:spacing w:val="10"/>
          <w:sz w:val="28"/>
          <w:szCs w:val="28"/>
          <w:lang w:val="en-US" w:eastAsia="zh-CN"/>
        </w:rPr>
        <w:t>在5分钟内</w:t>
      </w:r>
      <w:r>
        <w:rPr>
          <w:rFonts w:hint="eastAsia" w:ascii="华文仿宋" w:hAnsi="华文仿宋" w:eastAsia="华文仿宋" w:cs="华文仿宋"/>
          <w:spacing w:val="10"/>
          <w:sz w:val="28"/>
          <w:szCs w:val="28"/>
        </w:rPr>
        <w:t>扣1000元，困人超过5分钟一次扣2000元，未按时做大型维修一次扣20000元，连续三次不</w:t>
      </w:r>
      <w:r>
        <w:rPr>
          <w:rFonts w:hint="eastAsia" w:ascii="华文仿宋" w:hAnsi="华文仿宋" w:eastAsia="华文仿宋" w:cs="华文仿宋"/>
          <w:spacing w:val="10"/>
          <w:sz w:val="28"/>
          <w:szCs w:val="28"/>
          <w:lang w:val="en-US" w:eastAsia="zh-CN"/>
        </w:rPr>
        <w:t>履行义务</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spacing w:val="10"/>
          <w:sz w:val="28"/>
          <w:szCs w:val="28"/>
        </w:rPr>
        <w:t>有权解除合同。若发生重大安全事故或对突发事件处理不及时，依据给</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spacing w:val="10"/>
          <w:sz w:val="28"/>
          <w:szCs w:val="28"/>
        </w:rPr>
        <w:t>和使用人造成的实际损失，据实扣除，并追究法律责任。</w:t>
      </w:r>
    </w:p>
    <w:p w14:paraId="1E006DF1">
      <w:pPr>
        <w:keepNext w:val="0"/>
        <w:keepLines w:val="0"/>
        <w:pageBreakBefore w:val="0"/>
        <w:widowControl w:val="0"/>
        <w:kinsoku/>
        <w:wordWrap/>
        <w:overflowPunct/>
        <w:topLinePunct w:val="0"/>
        <w:autoSpaceDE/>
        <w:autoSpaceDN/>
        <w:bidi w:val="0"/>
        <w:adjustRightInd/>
        <w:snapToGrid/>
        <w:spacing w:before="0" w:line="520" w:lineRule="exact"/>
        <w:ind w:right="0" w:firstLine="606" w:firstLineChars="200"/>
        <w:jc w:val="both"/>
        <w:textAlignment w:val="auto"/>
        <w:rPr>
          <w:rFonts w:hint="eastAsia" w:ascii="华文仿宋" w:hAnsi="华文仿宋" w:eastAsia="华文仿宋" w:cs="华文仿宋"/>
          <w:spacing w:val="10"/>
          <w:sz w:val="28"/>
          <w:szCs w:val="28"/>
          <w:lang w:val="en-US" w:eastAsia="zh-CN"/>
        </w:rPr>
      </w:pPr>
      <w:r>
        <w:rPr>
          <w:rFonts w:hint="eastAsia" w:ascii="华文仿宋" w:hAnsi="华文仿宋" w:eastAsia="华文仿宋" w:cs="华文仿宋"/>
          <w:spacing w:val="10"/>
          <w:sz w:val="28"/>
          <w:szCs w:val="28"/>
          <w:lang w:val="en-US" w:eastAsia="zh-CN"/>
        </w:rPr>
        <w:t>3</w:t>
      </w:r>
      <w:r>
        <w:rPr>
          <w:rFonts w:hint="eastAsia" w:ascii="华文仿宋" w:hAnsi="华文仿宋" w:eastAsia="华文仿宋" w:cs="华文仿宋"/>
          <w:spacing w:val="10"/>
          <w:sz w:val="28"/>
          <w:szCs w:val="28"/>
          <w:lang w:val="en-US" w:eastAsia="zh-Hans"/>
        </w:rPr>
        <w:t>.</w:t>
      </w:r>
      <w:r>
        <w:rPr>
          <w:rFonts w:hint="eastAsia" w:ascii="华文仿宋" w:hAnsi="华文仿宋" w:eastAsia="华文仿宋" w:cs="华文仿宋"/>
          <w:spacing w:val="10"/>
          <w:sz w:val="28"/>
          <w:szCs w:val="28"/>
          <w:lang w:val="en-US" w:eastAsia="zh-CN"/>
        </w:rPr>
        <w:t>成交人要加强人员配置和管理，人员数量不足、结构不合理、未持证上岗（含从业人员资格证、健康证）的，成交人须立即整改，1个月内没有配齐人员的，从当月应付费用中扣除3000元/人；人员结构不合理、未持证上岗的，发现一次，从当月应付费用中扣除5000元。没有建立绩效考核机制或绩效考核机制不科学，从当月应付费用中扣除3000元。成交人违反《劳动合同法》规定，造成从业人员人身伤害的，成交人承担全部责任；未及时支付工资和缴纳相关社保统筹的，</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spacing w:val="10"/>
          <w:sz w:val="28"/>
          <w:szCs w:val="28"/>
          <w:lang w:val="en-US" w:eastAsia="zh-CN"/>
        </w:rPr>
        <w:t>有权代发、代扣、代缴。</w:t>
      </w:r>
    </w:p>
    <w:p w14:paraId="4CC11F8A">
      <w:pPr>
        <w:suppressAutoHyphens/>
        <w:bidi w:val="0"/>
        <w:spacing w:line="580" w:lineRule="exact"/>
        <w:ind w:firstLine="606" w:firstLineChars="200"/>
        <w:textAlignment w:val="baseline"/>
        <w:rPr>
          <w:rFonts w:hint="eastAsia" w:ascii="华文仿宋" w:hAnsi="华文仿宋" w:eastAsia="华文仿宋" w:cs="华文仿宋"/>
          <w:spacing w:val="10"/>
          <w:sz w:val="28"/>
          <w:szCs w:val="28"/>
        </w:rPr>
      </w:pPr>
      <w:r>
        <w:rPr>
          <w:rFonts w:hint="eastAsia" w:ascii="华文仿宋" w:hAnsi="华文仿宋" w:eastAsia="华文仿宋" w:cs="华文仿宋"/>
          <w:spacing w:val="10"/>
          <w:sz w:val="28"/>
          <w:szCs w:val="28"/>
          <w:lang w:val="en-US" w:eastAsia="zh-CN"/>
        </w:rPr>
        <w:t>4.</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spacing w:val="10"/>
          <w:sz w:val="28"/>
          <w:szCs w:val="28"/>
        </w:rPr>
        <w:t>违反第六</w:t>
      </w:r>
      <w:r>
        <w:rPr>
          <w:rFonts w:hint="eastAsia" w:ascii="华文仿宋" w:hAnsi="华文仿宋" w:eastAsia="华文仿宋" w:cs="华文仿宋"/>
          <w:spacing w:val="10"/>
          <w:sz w:val="28"/>
          <w:szCs w:val="28"/>
          <w:lang w:eastAsia="zh-Hans"/>
        </w:rPr>
        <w:t>条</w:t>
      </w:r>
      <w:r>
        <w:rPr>
          <w:rFonts w:hint="eastAsia" w:ascii="华文仿宋" w:hAnsi="华文仿宋" w:eastAsia="华文仿宋" w:cs="华文仿宋"/>
          <w:spacing w:val="10"/>
          <w:sz w:val="28"/>
          <w:szCs w:val="28"/>
        </w:rPr>
        <w:t>规定，无故延迟支付</w:t>
      </w:r>
      <w:r>
        <w:rPr>
          <w:rFonts w:hint="eastAsia" w:ascii="华文仿宋" w:hAnsi="华文仿宋" w:eastAsia="华文仿宋" w:cs="华文仿宋"/>
          <w:spacing w:val="10"/>
          <w:sz w:val="28"/>
          <w:szCs w:val="28"/>
          <w:lang w:eastAsia="zh-Hans"/>
        </w:rPr>
        <w:t>维保</w:t>
      </w:r>
      <w:r>
        <w:rPr>
          <w:rFonts w:hint="eastAsia" w:ascii="华文仿宋" w:hAnsi="华文仿宋" w:eastAsia="华文仿宋" w:cs="华文仿宋"/>
          <w:spacing w:val="10"/>
          <w:sz w:val="28"/>
          <w:szCs w:val="28"/>
        </w:rPr>
        <w:t>服务费用，超过10个工作日时，每延迟一日，按应付未付款额×年利率10%的标准，向</w:t>
      </w:r>
      <w:r>
        <w:rPr>
          <w:rFonts w:hint="eastAsia" w:ascii="华文仿宋" w:hAnsi="华文仿宋" w:eastAsia="华文仿宋" w:cs="华文仿宋"/>
          <w:spacing w:val="10"/>
          <w:sz w:val="28"/>
          <w:szCs w:val="28"/>
          <w:lang w:eastAsia="zh-CN"/>
        </w:rPr>
        <w:t>成交人</w:t>
      </w:r>
      <w:r>
        <w:rPr>
          <w:rFonts w:hint="eastAsia" w:ascii="华文仿宋" w:hAnsi="华文仿宋" w:eastAsia="华文仿宋" w:cs="华文仿宋"/>
          <w:spacing w:val="10"/>
          <w:sz w:val="28"/>
          <w:szCs w:val="28"/>
        </w:rPr>
        <w:t>支付利息。</w:t>
      </w:r>
    </w:p>
    <w:p w14:paraId="08DFB626">
      <w:pPr>
        <w:suppressAutoHyphens/>
        <w:bidi w:val="0"/>
        <w:spacing w:line="580" w:lineRule="exact"/>
        <w:ind w:firstLine="606" w:firstLineChars="200"/>
        <w:textAlignment w:val="baseline"/>
        <w:rPr>
          <w:rFonts w:hint="eastAsia" w:ascii="华文仿宋" w:hAnsi="华文仿宋" w:eastAsia="华文仿宋" w:cs="华文仿宋"/>
          <w:sz w:val="28"/>
          <w:szCs w:val="28"/>
        </w:rPr>
      </w:pPr>
      <w:r>
        <w:rPr>
          <w:rFonts w:hint="eastAsia" w:ascii="华文仿宋" w:hAnsi="华文仿宋" w:eastAsia="华文仿宋" w:cs="华文仿宋"/>
          <w:spacing w:val="10"/>
          <w:sz w:val="28"/>
          <w:szCs w:val="28"/>
          <w:lang w:val="en-US" w:eastAsia="zh-CN"/>
        </w:rPr>
        <w:t>5</w:t>
      </w:r>
      <w:r>
        <w:rPr>
          <w:rFonts w:hint="eastAsia" w:ascii="华文仿宋" w:hAnsi="华文仿宋" w:eastAsia="华文仿宋" w:cs="华文仿宋"/>
          <w:spacing w:val="10"/>
          <w:sz w:val="28"/>
          <w:szCs w:val="28"/>
          <w:lang w:eastAsia="zh-Hans"/>
        </w:rPr>
        <w:t>.</w:t>
      </w:r>
      <w:r>
        <w:rPr>
          <w:rFonts w:hint="eastAsia" w:ascii="华文仿宋" w:hAnsi="华文仿宋" w:eastAsia="华文仿宋" w:cs="华文仿宋"/>
          <w:sz w:val="28"/>
          <w:szCs w:val="28"/>
          <w:lang w:val="en-US" w:eastAsia="zh-CN"/>
        </w:rPr>
        <w:t>采购人、成交人</w:t>
      </w:r>
      <w:r>
        <w:rPr>
          <w:rFonts w:hint="eastAsia" w:ascii="华文仿宋" w:hAnsi="华文仿宋" w:eastAsia="华文仿宋" w:cs="华文仿宋"/>
          <w:spacing w:val="10"/>
          <w:sz w:val="28"/>
          <w:szCs w:val="28"/>
        </w:rPr>
        <w:t>任何一方无故提前终止合同的，违约方应赔偿对方年</w:t>
      </w:r>
      <w:r>
        <w:rPr>
          <w:rFonts w:hint="eastAsia" w:ascii="华文仿宋" w:hAnsi="华文仿宋" w:eastAsia="华文仿宋" w:cs="华文仿宋"/>
          <w:spacing w:val="10"/>
          <w:sz w:val="28"/>
          <w:szCs w:val="28"/>
          <w:lang w:eastAsia="zh-CN"/>
        </w:rPr>
        <w:t>维保服务费</w:t>
      </w:r>
      <w:r>
        <w:rPr>
          <w:rFonts w:hint="eastAsia" w:ascii="华文仿宋" w:hAnsi="华文仿宋" w:eastAsia="华文仿宋" w:cs="华文仿宋"/>
          <w:spacing w:val="10"/>
          <w:sz w:val="28"/>
          <w:szCs w:val="28"/>
          <w:lang w:val="en-US" w:eastAsia="zh-CN"/>
        </w:rPr>
        <w:t>20</w:t>
      </w:r>
      <w:r>
        <w:rPr>
          <w:rFonts w:hint="eastAsia" w:ascii="华文仿宋" w:hAnsi="华文仿宋" w:eastAsia="华文仿宋" w:cs="华文仿宋"/>
          <w:spacing w:val="10"/>
          <w:sz w:val="28"/>
          <w:szCs w:val="28"/>
        </w:rPr>
        <w:t>%的违约金；造成对方经济损失的，应给予经济赔偿。</w:t>
      </w:r>
    </w:p>
    <w:p w14:paraId="39D81C3B">
      <w:pPr>
        <w:widowControl w:val="0"/>
        <w:spacing w:line="560" w:lineRule="exact"/>
        <w:ind w:firstLine="566" w:firstLineChars="200"/>
        <w:jc w:val="both"/>
        <w:rPr>
          <w:rFonts w:hint="eastAsia" w:ascii="华文仿宋" w:hAnsi="华文仿宋" w:eastAsia="华文仿宋" w:cs="华文仿宋"/>
          <w:b/>
          <w:bCs/>
          <w:color w:val="auto"/>
          <w:kern w:val="2"/>
          <w:sz w:val="28"/>
          <w:szCs w:val="28"/>
          <w:lang w:val="en-US" w:eastAsia="zh-CN" w:bidi="ar-SA"/>
        </w:rPr>
      </w:pPr>
      <w:r>
        <w:rPr>
          <w:rFonts w:hint="eastAsia" w:ascii="华文仿宋" w:hAnsi="华文仿宋" w:eastAsia="华文仿宋" w:cs="华文仿宋"/>
          <w:b/>
          <w:bCs/>
          <w:color w:val="auto"/>
          <w:kern w:val="2"/>
          <w:sz w:val="28"/>
          <w:szCs w:val="28"/>
          <w:lang w:val="en-US" w:eastAsia="zh-CN" w:bidi="ar-SA"/>
        </w:rPr>
        <w:t>十一</w:t>
      </w:r>
      <w:r>
        <w:rPr>
          <w:rFonts w:hint="eastAsia" w:ascii="华文仿宋" w:hAnsi="华文仿宋" w:cs="华文仿宋"/>
          <w:b/>
          <w:bCs/>
          <w:color w:val="auto"/>
          <w:kern w:val="2"/>
          <w:sz w:val="28"/>
          <w:szCs w:val="28"/>
          <w:lang w:val="en-US" w:eastAsia="zh-CN" w:bidi="ar-SA"/>
        </w:rPr>
        <w:t>、</w:t>
      </w:r>
      <w:r>
        <w:rPr>
          <w:rFonts w:hint="eastAsia" w:ascii="华文仿宋" w:hAnsi="华文仿宋" w:eastAsia="华文仿宋" w:cs="华文仿宋"/>
          <w:b/>
          <w:bCs/>
          <w:color w:val="auto"/>
          <w:kern w:val="2"/>
          <w:sz w:val="28"/>
          <w:szCs w:val="28"/>
          <w:lang w:val="en-US" w:eastAsia="zh-CN" w:bidi="ar-SA"/>
        </w:rPr>
        <w:t>其它事项</w:t>
      </w:r>
    </w:p>
    <w:p w14:paraId="619053CE">
      <w:pPr>
        <w:widowControl w:val="0"/>
        <w:spacing w:line="560" w:lineRule="exact"/>
        <w:ind w:firstLine="566" w:firstLineChars="200"/>
        <w:jc w:val="both"/>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1.本</w:t>
      </w:r>
      <w:r>
        <w:rPr>
          <w:rFonts w:hint="eastAsia" w:ascii="华文仿宋" w:hAnsi="华文仿宋" w:cs="华文仿宋"/>
          <w:color w:val="auto"/>
          <w:kern w:val="2"/>
          <w:sz w:val="28"/>
          <w:szCs w:val="28"/>
          <w:lang w:val="en-US" w:eastAsia="zh-CN" w:bidi="ar-SA"/>
        </w:rPr>
        <w:t>项目</w:t>
      </w:r>
      <w:r>
        <w:rPr>
          <w:rFonts w:hint="eastAsia" w:ascii="华文仿宋" w:hAnsi="华文仿宋" w:eastAsia="华文仿宋" w:cs="华文仿宋"/>
          <w:color w:val="auto"/>
          <w:kern w:val="2"/>
          <w:sz w:val="28"/>
          <w:szCs w:val="28"/>
          <w:lang w:val="en-US" w:eastAsia="zh-CN" w:bidi="ar-SA"/>
        </w:rPr>
        <w:t>保养维修内容包括项目内所有电梯的日常维护保养、大中修以及电梯服务等达到电梯安全高效运行状态的所有事项。</w:t>
      </w:r>
    </w:p>
    <w:p w14:paraId="47DB5FCE">
      <w:pPr>
        <w:widowControl w:val="0"/>
        <w:spacing w:line="560" w:lineRule="exact"/>
        <w:ind w:firstLine="566" w:firstLineChars="200"/>
        <w:jc w:val="both"/>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2.本</w:t>
      </w:r>
      <w:r>
        <w:rPr>
          <w:rFonts w:hint="eastAsia" w:ascii="华文仿宋" w:hAnsi="华文仿宋" w:cs="华文仿宋"/>
          <w:color w:val="auto"/>
          <w:kern w:val="2"/>
          <w:sz w:val="28"/>
          <w:szCs w:val="28"/>
          <w:lang w:val="en-US" w:eastAsia="zh-CN" w:bidi="ar-SA"/>
        </w:rPr>
        <w:t>项目</w:t>
      </w:r>
      <w:r>
        <w:rPr>
          <w:rFonts w:hint="eastAsia" w:ascii="华文仿宋" w:hAnsi="华文仿宋" w:eastAsia="华文仿宋" w:cs="华文仿宋"/>
          <w:color w:val="auto"/>
          <w:kern w:val="2"/>
          <w:sz w:val="28"/>
          <w:szCs w:val="28"/>
          <w:lang w:val="en-US" w:eastAsia="zh-CN" w:bidi="ar-SA"/>
        </w:rPr>
        <w:t>的服务范围不包括改变电梯现有结构和装置或增加新功能。如有需要，双方可另行协商，并签订相关合同。</w:t>
      </w:r>
    </w:p>
    <w:p w14:paraId="12772C5F">
      <w:pPr>
        <w:widowControl w:val="0"/>
        <w:spacing w:line="560" w:lineRule="exact"/>
        <w:ind w:firstLine="566" w:firstLineChars="200"/>
        <w:jc w:val="both"/>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3.因非成交人责任导致的电梯/扶梯设备丢失、损坏、合同履行的延误以及</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或任何第三方的损失，成交人不负责任。</w:t>
      </w:r>
    </w:p>
    <w:p w14:paraId="4050A123">
      <w:pPr>
        <w:widowControl w:val="0"/>
        <w:spacing w:line="560" w:lineRule="exact"/>
        <w:ind w:firstLine="566" w:firstLineChars="200"/>
        <w:jc w:val="both"/>
        <w:rPr>
          <w:rFonts w:hint="eastAsia" w:ascii="华文仿宋" w:hAnsi="华文仿宋" w:eastAsia="华文仿宋" w:cs="华文仿宋"/>
          <w:color w:val="auto"/>
          <w:kern w:val="2"/>
          <w:sz w:val="28"/>
          <w:szCs w:val="28"/>
          <w:lang w:val="en-US" w:eastAsia="zh-CN" w:bidi="ar-SA"/>
        </w:rPr>
      </w:pPr>
      <w:r>
        <w:rPr>
          <w:rFonts w:hint="eastAsia" w:ascii="华文仿宋" w:hAnsi="华文仿宋" w:eastAsia="华文仿宋" w:cs="华文仿宋"/>
          <w:color w:val="auto"/>
          <w:kern w:val="2"/>
          <w:sz w:val="28"/>
          <w:szCs w:val="28"/>
          <w:lang w:val="en-US" w:eastAsia="zh-CN" w:bidi="ar-SA"/>
        </w:rPr>
        <w:t>4.对不可抗力（如动乱、战争、罢工、洪水、地震、火灾等）、人为破坏、使用不当导致的电梯/扶梯部分的损坏，</w:t>
      </w:r>
      <w:r>
        <w:rPr>
          <w:rFonts w:hint="eastAsia" w:ascii="华文仿宋" w:hAnsi="华文仿宋" w:eastAsia="华文仿宋" w:cs="华文仿宋"/>
          <w:sz w:val="28"/>
          <w:szCs w:val="28"/>
          <w:lang w:val="en-US" w:eastAsia="zh-CN"/>
        </w:rPr>
        <w:t>采购人</w:t>
      </w:r>
      <w:r>
        <w:rPr>
          <w:rFonts w:hint="eastAsia" w:ascii="华文仿宋" w:hAnsi="华文仿宋" w:eastAsia="华文仿宋" w:cs="华文仿宋"/>
          <w:color w:val="auto"/>
          <w:kern w:val="2"/>
          <w:sz w:val="28"/>
          <w:szCs w:val="28"/>
          <w:lang w:val="en-US" w:eastAsia="zh-CN" w:bidi="ar-SA"/>
        </w:rPr>
        <w:t>或第三者因此蒙受的损失、伤亡，成交人不负责任。</w:t>
      </w:r>
    </w:p>
    <w:p w14:paraId="1EFF87A3">
      <w:pPr>
        <w:pStyle w:val="2"/>
        <w:ind w:firstLine="566" w:firstLineChars="200"/>
        <w:rPr>
          <w:rFonts w:hint="default" w:ascii="华文仿宋" w:hAnsi="华文仿宋" w:eastAsia="华文仿宋" w:cs="华文仿宋"/>
          <w:b w:val="0"/>
          <w:color w:val="auto"/>
          <w:kern w:val="2"/>
          <w:sz w:val="28"/>
          <w:szCs w:val="28"/>
          <w:lang w:val="en-US" w:eastAsia="zh-CN" w:bidi="ar-SA"/>
        </w:rPr>
      </w:pPr>
      <w:r>
        <w:rPr>
          <w:rFonts w:hint="eastAsia" w:ascii="华文仿宋" w:hAnsi="华文仿宋" w:eastAsia="华文仿宋" w:cs="华文仿宋"/>
          <w:b w:val="0"/>
          <w:color w:val="auto"/>
          <w:kern w:val="2"/>
          <w:sz w:val="28"/>
          <w:szCs w:val="28"/>
          <w:lang w:val="en-US" w:eastAsia="zh-CN" w:bidi="ar-SA"/>
        </w:rPr>
        <w:t>5.本</w:t>
      </w:r>
      <w:r>
        <w:rPr>
          <w:rFonts w:hint="eastAsia" w:ascii="华文仿宋" w:hAnsi="华文仿宋" w:cs="华文仿宋"/>
          <w:b w:val="0"/>
          <w:color w:val="auto"/>
          <w:kern w:val="2"/>
          <w:sz w:val="28"/>
          <w:szCs w:val="28"/>
          <w:lang w:val="en-US" w:eastAsia="zh-CN" w:bidi="ar-SA"/>
        </w:rPr>
        <w:t>项目</w:t>
      </w:r>
      <w:r>
        <w:rPr>
          <w:rFonts w:hint="eastAsia" w:ascii="华文仿宋" w:hAnsi="华文仿宋" w:eastAsia="华文仿宋" w:cs="华文仿宋"/>
          <w:b w:val="0"/>
          <w:color w:val="auto"/>
          <w:kern w:val="2"/>
          <w:sz w:val="28"/>
          <w:szCs w:val="28"/>
          <w:lang w:val="en-US" w:eastAsia="zh-CN" w:bidi="ar-SA"/>
        </w:rPr>
        <w:t>正常终止前，若采购人不再拥有电梯/扶梯的管理权时，采购人应通知成交人，并为新客户与成交人的签约提供便利条件。</w:t>
      </w:r>
    </w:p>
    <w:p w14:paraId="1B83E5CD">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eastAsia="华文仿宋" w:cs="华文仿宋"/>
          <w:b/>
          <w:bCs/>
          <w:color w:val="auto"/>
          <w:kern w:val="2"/>
          <w:sz w:val="28"/>
          <w:szCs w:val="28"/>
          <w:lang w:val="en-US" w:eastAsia="zh-CN" w:bidi="ar-SA"/>
        </w:rPr>
        <w:t>十二</w:t>
      </w:r>
      <w:r>
        <w:rPr>
          <w:rFonts w:hint="eastAsia" w:ascii="华文仿宋" w:hAnsi="华文仿宋" w:cs="华文仿宋"/>
          <w:b/>
          <w:bCs/>
          <w:color w:val="auto"/>
          <w:kern w:val="2"/>
          <w:sz w:val="28"/>
          <w:szCs w:val="28"/>
          <w:lang w:val="en-US" w:eastAsia="zh-CN" w:bidi="ar-SA"/>
        </w:rPr>
        <w:t>、</w:t>
      </w:r>
      <w:r>
        <w:rPr>
          <w:rFonts w:hint="eastAsia" w:ascii="华文仿宋" w:hAnsi="华文仿宋" w:cs="华文仿宋"/>
          <w:b/>
          <w:bCs/>
          <w:color w:val="000000"/>
          <w:sz w:val="28"/>
          <w:szCs w:val="28"/>
          <w:lang w:val="en-US" w:eastAsia="zh-CN"/>
        </w:rPr>
        <w:t xml:space="preserve">合同一经签订，不得擅自变更、中止或者终止合同。对确需变更、调整或者中止、终止合同的，应按规定履行相应的手续。 </w:t>
      </w:r>
    </w:p>
    <w:p w14:paraId="654EB1F6">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十三、本合同从签订之日起生效，合同规定的全部事宜和程序结束后终止。合同份数不低于四份，具体份数由采购人和成交人依需商定。 </w:t>
      </w:r>
    </w:p>
    <w:p w14:paraId="6FAFCFEA">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十四、未尽事宜由双方在签订合同时具体明确，但不得超出磋商文件合同草案规定。 </w:t>
      </w:r>
    </w:p>
    <w:p w14:paraId="6038CD20">
      <w:pPr>
        <w:keepNext w:val="0"/>
        <w:keepLines w:val="0"/>
        <w:pageBreakBefore w:val="0"/>
        <w:widowControl/>
        <w:kinsoku/>
        <w:wordWrap/>
        <w:overflowPunct/>
        <w:topLinePunct w:val="0"/>
        <w:autoSpaceDE/>
        <w:autoSpaceDN/>
        <w:bidi w:val="0"/>
        <w:adjustRightInd/>
        <w:snapToGrid/>
        <w:spacing w:line="60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本合同须经延安市公共资源交易中心（延安市市直单位政府采购中心）确认，否则无效。</w:t>
      </w:r>
    </w:p>
    <w:p w14:paraId="290E775B">
      <w:pPr>
        <w:keepNext w:val="0"/>
        <w:keepLines w:val="0"/>
        <w:pageBreakBefore w:val="0"/>
        <w:widowControl w:val="0"/>
        <w:kinsoku/>
        <w:wordWrap/>
        <w:overflowPunct/>
        <w:topLinePunct w:val="0"/>
        <w:autoSpaceDE/>
        <w:autoSpaceDN/>
        <w:bidi w:val="0"/>
        <w:adjustRightInd/>
        <w:snapToGrid/>
        <w:spacing w:line="560" w:lineRule="exact"/>
        <w:ind w:firstLine="566" w:firstLineChars="200"/>
        <w:jc w:val="left"/>
        <w:textAlignment w:val="auto"/>
        <w:rPr>
          <w:rFonts w:hint="eastAsia" w:ascii="仿宋" w:hAnsi="仿宋" w:eastAsia="仿宋" w:cs="仿宋"/>
          <w:b w:val="0"/>
          <w:bCs w:val="0"/>
          <w:color w:val="000000"/>
          <w:sz w:val="28"/>
          <w:szCs w:val="28"/>
        </w:rPr>
      </w:pPr>
      <w:r>
        <w:rPr>
          <w:rFonts w:hint="eastAsia" w:ascii="华文仿宋" w:hAnsi="华文仿宋" w:eastAsia="华文仿宋" w:cs="华文仿宋"/>
          <w:b/>
          <w:bCs/>
          <w:color w:val="000000"/>
          <w:kern w:val="2"/>
          <w:sz w:val="28"/>
          <w:szCs w:val="28"/>
          <w:lang w:val="en-US" w:eastAsia="zh-CN" w:bidi="ar-SA"/>
        </w:rPr>
        <w:t xml:space="preserve"> </w:t>
      </w:r>
    </w:p>
    <w:p w14:paraId="79EE5278">
      <w:pPr>
        <w:rPr>
          <w:rFonts w:hint="eastAsia" w:ascii="华文仿宋" w:hAnsi="华文仿宋" w:cs="华文仿宋"/>
          <w:b w:val="0"/>
          <w:bCs w:val="0"/>
          <w:color w:val="000000"/>
          <w:sz w:val="28"/>
          <w:szCs w:val="28"/>
        </w:rPr>
      </w:pPr>
    </w:p>
    <w:p w14:paraId="0EAAFB42">
      <w:pPr>
        <w:rPr>
          <w:rFonts w:hint="eastAsia" w:ascii="华文仿宋" w:hAnsi="华文仿宋" w:cs="华文仿宋"/>
          <w:b w:val="0"/>
          <w:bCs w:val="0"/>
          <w:color w:val="000000"/>
          <w:sz w:val="28"/>
          <w:szCs w:val="28"/>
        </w:rPr>
      </w:pPr>
    </w:p>
    <w:p w14:paraId="4BA4ECF8">
      <w:pPr>
        <w:pStyle w:val="3"/>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cs="黑体"/>
          <w:b w:val="0"/>
          <w:color w:val="000000"/>
          <w:szCs w:val="32"/>
        </w:rPr>
      </w:pPr>
    </w:p>
    <w:p w14:paraId="380EF4A5">
      <w:pPr>
        <w:pStyle w:val="3"/>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cs="黑体"/>
          <w:b w:val="0"/>
          <w:color w:val="000000"/>
          <w:szCs w:val="32"/>
        </w:rPr>
      </w:pPr>
    </w:p>
    <w:p w14:paraId="7499512C">
      <w:pPr>
        <w:pStyle w:val="3"/>
        <w:keepNext w:val="0"/>
        <w:keepLines w:val="0"/>
        <w:pageBreakBefore w:val="0"/>
        <w:widowControl w:val="0"/>
        <w:kinsoku/>
        <w:wordWrap/>
        <w:overflowPunct/>
        <w:topLinePunct w:val="0"/>
        <w:autoSpaceDE/>
        <w:autoSpaceDN/>
        <w:bidi w:val="0"/>
        <w:adjustRightInd/>
        <w:snapToGrid/>
        <w:jc w:val="center"/>
        <w:textAlignment w:val="auto"/>
        <w:rPr>
          <w:rFonts w:hint="eastAsia" w:ascii="黑体" w:hAnsi="黑体" w:cs="黑体"/>
          <w:b w:val="0"/>
          <w:color w:val="000000"/>
          <w:szCs w:val="32"/>
        </w:rPr>
      </w:pPr>
    </w:p>
    <w:p w14:paraId="6C439501">
      <w:pPr>
        <w:pStyle w:val="4"/>
        <w:rPr>
          <w:rFonts w:hint="eastAsia" w:ascii="黑体" w:hAnsi="黑体" w:cs="黑体"/>
          <w:b w:val="0"/>
          <w:color w:val="000000"/>
          <w:szCs w:val="32"/>
        </w:rPr>
      </w:pPr>
    </w:p>
    <w:p w14:paraId="17CFBD2E">
      <w:pPr>
        <w:rPr>
          <w:rFonts w:hint="eastAsia" w:ascii="黑体" w:hAnsi="黑体" w:cs="黑体"/>
          <w:b w:val="0"/>
          <w:color w:val="000000"/>
          <w:szCs w:val="32"/>
        </w:rPr>
      </w:pPr>
    </w:p>
    <w:p w14:paraId="6025A38E">
      <w:pPr>
        <w:pStyle w:val="2"/>
        <w:rPr>
          <w:rFonts w:hint="eastAsia" w:ascii="黑体" w:hAnsi="黑体" w:cs="黑体"/>
          <w:b w:val="0"/>
          <w:color w:val="000000"/>
          <w:szCs w:val="32"/>
        </w:rPr>
      </w:pPr>
    </w:p>
    <w:p w14:paraId="530516C8">
      <w:pPr>
        <w:rPr>
          <w:rFonts w:hint="eastAsia" w:ascii="黑体" w:hAnsi="黑体" w:cs="黑体"/>
          <w:b w:val="0"/>
          <w:color w:val="000000"/>
          <w:szCs w:val="32"/>
        </w:rPr>
      </w:pPr>
    </w:p>
    <w:p w14:paraId="2C35B768">
      <w:pPr>
        <w:pStyle w:val="2"/>
        <w:rPr>
          <w:rFonts w:hint="eastAsia" w:ascii="黑体" w:hAnsi="黑体" w:cs="黑体"/>
          <w:b w:val="0"/>
          <w:color w:val="000000"/>
          <w:szCs w:val="32"/>
        </w:rPr>
      </w:pPr>
    </w:p>
    <w:p w14:paraId="3B704974">
      <w:pPr>
        <w:rPr>
          <w:rFonts w:hint="eastAsia" w:ascii="黑体" w:hAnsi="黑体" w:cs="黑体"/>
          <w:b w:val="0"/>
          <w:color w:val="000000"/>
          <w:szCs w:val="32"/>
        </w:rPr>
      </w:pPr>
    </w:p>
    <w:p w14:paraId="078D2537">
      <w:pPr>
        <w:pStyle w:val="2"/>
        <w:rPr>
          <w:rFonts w:hint="eastAsia" w:ascii="黑体" w:hAnsi="黑体" w:cs="黑体"/>
          <w:b w:val="0"/>
          <w:color w:val="000000"/>
          <w:szCs w:val="32"/>
        </w:rPr>
      </w:pPr>
    </w:p>
    <w:p w14:paraId="122CDE9A">
      <w:pPr>
        <w:rPr>
          <w:rFonts w:hint="eastAsia" w:ascii="黑体" w:hAnsi="黑体" w:cs="黑体"/>
          <w:b w:val="0"/>
          <w:color w:val="000000"/>
          <w:szCs w:val="32"/>
        </w:rPr>
      </w:pPr>
    </w:p>
    <w:p w14:paraId="6DF18802">
      <w:pPr>
        <w:pStyle w:val="2"/>
        <w:rPr>
          <w:rFonts w:hint="eastAsia" w:ascii="黑体" w:hAnsi="黑体" w:cs="黑体"/>
          <w:b w:val="0"/>
          <w:color w:val="000000"/>
          <w:szCs w:val="32"/>
        </w:rPr>
      </w:pPr>
    </w:p>
    <w:p w14:paraId="001D231B">
      <w:pPr>
        <w:rPr>
          <w:rFonts w:hint="eastAsia" w:ascii="黑体" w:hAnsi="黑体" w:cs="黑体"/>
          <w:b w:val="0"/>
          <w:color w:val="000000"/>
          <w:szCs w:val="32"/>
        </w:rPr>
      </w:pPr>
    </w:p>
    <w:p w14:paraId="788C63EF">
      <w:pPr>
        <w:pStyle w:val="2"/>
        <w:rPr>
          <w:rFonts w:hint="eastAsia" w:ascii="黑体" w:hAnsi="黑体" w:cs="黑体"/>
          <w:b w:val="0"/>
          <w:color w:val="000000"/>
          <w:szCs w:val="32"/>
        </w:rPr>
      </w:pPr>
    </w:p>
    <w:p w14:paraId="75B36880">
      <w:pPr>
        <w:rPr>
          <w:rFonts w:hint="eastAsia" w:ascii="黑体" w:hAnsi="黑体" w:cs="黑体"/>
          <w:b w:val="0"/>
          <w:color w:val="000000"/>
          <w:szCs w:val="32"/>
        </w:rPr>
      </w:pPr>
    </w:p>
    <w:p w14:paraId="2676BACE">
      <w:pPr>
        <w:pStyle w:val="2"/>
        <w:rPr>
          <w:rFonts w:hint="eastAsia"/>
        </w:rPr>
      </w:pPr>
    </w:p>
    <w:p w14:paraId="1CC1C770">
      <w:pPr>
        <w:pStyle w:val="3"/>
        <w:keepNext w:val="0"/>
        <w:keepLines w:val="0"/>
        <w:pageBreakBefore w:val="0"/>
        <w:widowControl w:val="0"/>
        <w:kinsoku/>
        <w:wordWrap/>
        <w:overflowPunct/>
        <w:topLinePunct w:val="0"/>
        <w:autoSpaceDE/>
        <w:autoSpaceDN/>
        <w:bidi w:val="0"/>
        <w:adjustRightInd/>
        <w:snapToGrid/>
        <w:jc w:val="both"/>
        <w:textAlignment w:val="auto"/>
        <w:rPr>
          <w:rFonts w:hint="eastAsia" w:ascii="黑体" w:hAnsi="黑体" w:cs="黑体"/>
          <w:b w:val="0"/>
          <w:color w:val="000000"/>
          <w:szCs w:val="32"/>
        </w:rPr>
      </w:pPr>
    </w:p>
    <w:p w14:paraId="6F669DD3">
      <w:pPr>
        <w:pStyle w:val="4"/>
        <w:keepNext w:val="0"/>
        <w:keepLines w:val="0"/>
        <w:pageBreakBefore w:val="0"/>
        <w:widowControl w:val="0"/>
        <w:kinsoku/>
        <w:wordWrap/>
        <w:overflowPunct/>
        <w:topLinePunct w:val="0"/>
        <w:autoSpaceDE/>
        <w:autoSpaceDN/>
        <w:bidi w:val="0"/>
        <w:adjustRightInd/>
        <w:snapToGrid/>
        <w:textAlignment w:val="auto"/>
        <w:rPr>
          <w:rFonts w:hint="eastAsia"/>
        </w:rPr>
      </w:pPr>
    </w:p>
    <w:p w14:paraId="215E1F08">
      <w:pPr>
        <w:pStyle w:val="3"/>
        <w:jc w:val="center"/>
        <w:rPr>
          <w:rFonts w:hint="eastAsia" w:ascii="黑体" w:hAnsi="黑体" w:cs="黑体"/>
          <w:b w:val="0"/>
          <w:color w:val="000000"/>
          <w:szCs w:val="32"/>
        </w:rPr>
      </w:pPr>
    </w:p>
    <w:p w14:paraId="7F8DD5C6">
      <w:pPr>
        <w:pStyle w:val="4"/>
        <w:rPr>
          <w:rFonts w:hint="eastAsia" w:ascii="黑体" w:hAnsi="黑体" w:cs="黑体"/>
          <w:b w:val="0"/>
          <w:color w:val="000000"/>
          <w:szCs w:val="32"/>
        </w:rPr>
      </w:pPr>
    </w:p>
    <w:p w14:paraId="064F65FE">
      <w:pPr>
        <w:rPr>
          <w:rFonts w:hint="eastAsia"/>
        </w:rPr>
      </w:pPr>
    </w:p>
    <w:p w14:paraId="16AF7415">
      <w:pPr>
        <w:pStyle w:val="3"/>
        <w:jc w:val="center"/>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27C65BF4">
      <w:pPr>
        <w:pStyle w:val="32"/>
        <w:rPr>
          <w:color w:val="000000"/>
        </w:rPr>
      </w:pPr>
    </w:p>
    <w:p w14:paraId="6E1A2C25">
      <w:pPr>
        <w:pStyle w:val="32"/>
        <w:rPr>
          <w:color w:val="000000"/>
        </w:rPr>
      </w:pPr>
    </w:p>
    <w:p w14:paraId="2F95ED48">
      <w:pPr>
        <w:pStyle w:val="32"/>
        <w:rPr>
          <w:color w:val="000000"/>
        </w:rPr>
      </w:pPr>
    </w:p>
    <w:tbl>
      <w:tblPr>
        <w:tblStyle w:val="21"/>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6821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5D95DDC6">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06EE8649">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6C42DA4A">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5E22860D">
      <w:pPr>
        <w:pStyle w:val="32"/>
        <w:rPr>
          <w:color w:val="000000"/>
          <w:sz w:val="20"/>
        </w:rPr>
      </w:pPr>
    </w:p>
    <w:p w14:paraId="3D7B2D46">
      <w:pPr>
        <w:pStyle w:val="29"/>
        <w:spacing w:line="240" w:lineRule="auto"/>
        <w:ind w:firstLine="253" w:firstLineChars="70"/>
        <w:jc w:val="center"/>
        <w:rPr>
          <w:rFonts w:ascii="宋体" w:hAnsi="宋体" w:eastAsia="宋体"/>
          <w:color w:val="000000"/>
          <w:sz w:val="36"/>
          <w:szCs w:val="36"/>
        </w:rPr>
      </w:pPr>
    </w:p>
    <w:p w14:paraId="31B8BB6B">
      <w:pPr>
        <w:pStyle w:val="29"/>
        <w:spacing w:line="240" w:lineRule="auto"/>
        <w:ind w:firstLine="253" w:firstLineChars="70"/>
        <w:jc w:val="center"/>
        <w:rPr>
          <w:color w:val="000000"/>
          <w:sz w:val="36"/>
          <w:szCs w:val="36"/>
        </w:rPr>
      </w:pPr>
      <w:r>
        <w:rPr>
          <w:rFonts w:ascii="宋体" w:hAnsi="宋体" w:eastAsia="宋体"/>
          <w:color w:val="000000"/>
          <w:sz w:val="36"/>
          <w:szCs w:val="36"/>
        </w:rPr>
        <w:br w:type="page"/>
      </w:r>
    </w:p>
    <w:p w14:paraId="0808081F">
      <w:pPr>
        <w:pStyle w:val="29"/>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4909E9F7">
      <w:pPr>
        <w:spacing w:line="240" w:lineRule="auto"/>
        <w:jc w:val="center"/>
        <w:rPr>
          <w:rFonts w:hint="eastAsia" w:ascii="华文中宋" w:hAnsi="华文中宋" w:eastAsia="华文中宋" w:cs="华文仿宋"/>
          <w:color w:val="000000"/>
          <w:w w:val="85"/>
          <w:sz w:val="56"/>
          <w:szCs w:val="56"/>
          <w:lang w:val="en-US" w:eastAsia="zh-CN"/>
        </w:rPr>
      </w:pPr>
      <w:bookmarkStart w:id="144" w:name="_Toc257"/>
      <w:bookmarkStart w:id="145" w:name="_Toc26349"/>
      <w:bookmarkStart w:id="146" w:name="_Toc26293"/>
      <w:bookmarkStart w:id="147" w:name="_Toc23235"/>
      <w:bookmarkStart w:id="148" w:name="_Toc6132"/>
      <w:bookmarkStart w:id="149" w:name="_Toc20830"/>
      <w:bookmarkStart w:id="150" w:name="_Toc24786"/>
      <w:bookmarkStart w:id="151" w:name="_Toc10248"/>
    </w:p>
    <w:p w14:paraId="278E193F">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4"/>
      <w:bookmarkEnd w:id="145"/>
      <w:bookmarkEnd w:id="146"/>
      <w:bookmarkEnd w:id="147"/>
      <w:bookmarkEnd w:id="148"/>
      <w:bookmarkEnd w:id="149"/>
      <w:bookmarkEnd w:id="150"/>
      <w:bookmarkEnd w:id="151"/>
    </w:p>
    <w:p w14:paraId="32059387">
      <w:pPr>
        <w:pStyle w:val="29"/>
        <w:spacing w:line="240" w:lineRule="auto"/>
        <w:ind w:firstLine="310" w:firstLineChars="70"/>
        <w:jc w:val="center"/>
        <w:rPr>
          <w:rFonts w:ascii="华文仿宋" w:hAnsi="华文仿宋" w:cs="华文仿宋"/>
          <w:color w:val="000000"/>
          <w:sz w:val="44"/>
          <w:szCs w:val="44"/>
        </w:rPr>
      </w:pPr>
    </w:p>
    <w:p w14:paraId="4358E51F">
      <w:pPr>
        <w:pStyle w:val="29"/>
        <w:spacing w:line="240" w:lineRule="auto"/>
        <w:ind w:firstLine="253" w:firstLineChars="70"/>
        <w:jc w:val="center"/>
        <w:rPr>
          <w:rFonts w:ascii="华文仿宋" w:hAnsi="华文仿宋" w:cs="华文仿宋"/>
          <w:color w:val="000000"/>
          <w:sz w:val="36"/>
          <w:szCs w:val="36"/>
        </w:rPr>
      </w:pPr>
    </w:p>
    <w:p w14:paraId="32BD9239">
      <w:pPr>
        <w:pStyle w:val="29"/>
        <w:spacing w:line="240" w:lineRule="auto"/>
        <w:ind w:firstLine="0" w:firstLineChars="0"/>
        <w:jc w:val="center"/>
        <w:rPr>
          <w:rFonts w:ascii="华文仿宋" w:hAnsi="华文仿宋" w:cs="华文仿宋"/>
          <w:color w:val="000000"/>
          <w:kern w:val="0"/>
          <w:sz w:val="96"/>
          <w:szCs w:val="96"/>
        </w:rPr>
      </w:pPr>
      <w:bookmarkStart w:id="152" w:name="_Toc8257"/>
      <w:bookmarkStart w:id="153" w:name="_Toc76"/>
      <w:bookmarkStart w:id="154" w:name="_Toc26378"/>
      <w:bookmarkStart w:id="155" w:name="_Toc13950"/>
      <w:bookmarkStart w:id="156" w:name="_Toc19569"/>
      <w:bookmarkStart w:id="157" w:name="_Toc20481"/>
      <w:bookmarkStart w:id="158" w:name="_Toc16362"/>
      <w:bookmarkStart w:id="159" w:name="_Toc17700"/>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2"/>
      <w:bookmarkEnd w:id="153"/>
      <w:bookmarkEnd w:id="154"/>
      <w:bookmarkEnd w:id="155"/>
      <w:bookmarkEnd w:id="156"/>
      <w:bookmarkEnd w:id="157"/>
      <w:bookmarkEnd w:id="158"/>
      <w:bookmarkEnd w:id="159"/>
    </w:p>
    <w:p w14:paraId="583214C3">
      <w:pPr>
        <w:pStyle w:val="29"/>
        <w:spacing w:line="240" w:lineRule="auto"/>
        <w:ind w:firstLine="0" w:firstLineChars="0"/>
        <w:jc w:val="center"/>
        <w:rPr>
          <w:rFonts w:ascii="华文仿宋" w:hAnsi="华文仿宋" w:cs="华文仿宋"/>
          <w:color w:val="000000"/>
          <w:sz w:val="36"/>
          <w:szCs w:val="36"/>
        </w:rPr>
      </w:pPr>
    </w:p>
    <w:p w14:paraId="46E40CB5">
      <w:pPr>
        <w:pStyle w:val="29"/>
        <w:spacing w:line="240" w:lineRule="auto"/>
        <w:ind w:firstLine="0" w:firstLineChars="0"/>
        <w:jc w:val="center"/>
        <w:rPr>
          <w:rFonts w:ascii="华文仿宋" w:hAnsi="华文仿宋" w:cs="华文仿宋"/>
          <w:color w:val="000000"/>
          <w:sz w:val="36"/>
          <w:szCs w:val="36"/>
        </w:rPr>
      </w:pPr>
    </w:p>
    <w:p w14:paraId="7E572766">
      <w:pPr>
        <w:pStyle w:val="29"/>
        <w:spacing w:line="240" w:lineRule="auto"/>
        <w:ind w:firstLine="0" w:firstLineChars="0"/>
        <w:jc w:val="center"/>
        <w:rPr>
          <w:rFonts w:ascii="华文仿宋" w:hAnsi="华文仿宋" w:cs="华文仿宋"/>
          <w:color w:val="000000"/>
          <w:sz w:val="36"/>
          <w:szCs w:val="36"/>
        </w:rPr>
      </w:pPr>
    </w:p>
    <w:p w14:paraId="7A9F353E">
      <w:pPr>
        <w:pStyle w:val="29"/>
        <w:spacing w:line="240" w:lineRule="auto"/>
        <w:ind w:firstLine="0" w:firstLineChars="0"/>
        <w:jc w:val="center"/>
        <w:rPr>
          <w:rFonts w:ascii="华文仿宋" w:hAnsi="华文仿宋" w:cs="华文仿宋"/>
          <w:color w:val="000000"/>
          <w:sz w:val="36"/>
          <w:szCs w:val="36"/>
        </w:rPr>
      </w:pPr>
    </w:p>
    <w:p w14:paraId="6A38BC3A">
      <w:pPr>
        <w:pStyle w:val="29"/>
        <w:spacing w:line="240" w:lineRule="auto"/>
        <w:ind w:firstLine="0" w:firstLineChars="0"/>
        <w:jc w:val="center"/>
        <w:rPr>
          <w:rFonts w:ascii="华文仿宋" w:hAnsi="华文仿宋" w:cs="华文仿宋"/>
          <w:color w:val="000000"/>
          <w:sz w:val="36"/>
        </w:rPr>
      </w:pPr>
    </w:p>
    <w:p w14:paraId="609BCA27">
      <w:pPr>
        <w:pStyle w:val="29"/>
        <w:spacing w:line="240" w:lineRule="auto"/>
        <w:ind w:firstLine="1452" w:firstLineChars="400"/>
        <w:rPr>
          <w:rFonts w:hint="default" w:ascii="仿宋" w:hAnsi="仿宋" w:eastAsia="仿宋" w:cs="仿宋"/>
          <w:b/>
          <w:color w:val="000000"/>
          <w:sz w:val="36"/>
          <w:szCs w:val="36"/>
          <w:u w:val="single"/>
          <w:lang w:val="en-US" w:eastAsia="zh-CN"/>
        </w:rPr>
      </w:pPr>
      <w:bookmarkStart w:id="160" w:name="_Toc2030"/>
      <w:bookmarkStart w:id="161" w:name="_Toc21212"/>
      <w:bookmarkStart w:id="162" w:name="_Toc24457"/>
      <w:bookmarkStart w:id="163" w:name="_Toc12627"/>
      <w:bookmarkStart w:id="164" w:name="_Toc23171"/>
      <w:bookmarkStart w:id="165" w:name="_Toc22280"/>
      <w:bookmarkStart w:id="166" w:name="_Toc24486"/>
      <w:bookmarkStart w:id="167" w:name="_Toc15354"/>
      <w:r>
        <w:rPr>
          <w:rFonts w:hint="eastAsia" w:ascii="仿宋" w:hAnsi="仿宋" w:eastAsia="仿宋" w:cs="仿宋"/>
          <w:bCs/>
          <w:color w:val="000000"/>
          <w:sz w:val="36"/>
          <w:szCs w:val="36"/>
        </w:rPr>
        <w:t>项目名称：</w:t>
      </w:r>
      <w:bookmarkEnd w:id="160"/>
      <w:bookmarkEnd w:id="161"/>
      <w:bookmarkEnd w:id="162"/>
      <w:bookmarkEnd w:id="163"/>
      <w:bookmarkEnd w:id="164"/>
      <w:bookmarkEnd w:id="165"/>
      <w:bookmarkEnd w:id="166"/>
      <w:bookmarkEnd w:id="167"/>
      <w:r>
        <w:rPr>
          <w:rFonts w:hint="eastAsia" w:ascii="仿宋" w:hAnsi="仿宋" w:eastAsia="仿宋" w:cs="仿宋"/>
          <w:bCs/>
          <w:color w:val="000000"/>
          <w:sz w:val="36"/>
          <w:szCs w:val="36"/>
          <w:u w:val="single"/>
          <w:lang w:val="en-US" w:eastAsia="zh-CN"/>
        </w:rPr>
        <w:t xml:space="preserve">             </w:t>
      </w:r>
    </w:p>
    <w:p w14:paraId="0F6CC6B7">
      <w:pPr>
        <w:pStyle w:val="29"/>
        <w:spacing w:line="240" w:lineRule="auto"/>
        <w:ind w:firstLine="1452" w:firstLineChars="400"/>
        <w:rPr>
          <w:rFonts w:hint="default" w:ascii="仿宋" w:hAnsi="仿宋" w:eastAsia="仿宋" w:cs="仿宋"/>
          <w:color w:val="000000"/>
          <w:sz w:val="36"/>
          <w:szCs w:val="36"/>
          <w:u w:val="single"/>
        </w:rPr>
      </w:pPr>
      <w:bookmarkStart w:id="168" w:name="_Toc6740"/>
      <w:bookmarkStart w:id="169" w:name="_Toc10738"/>
      <w:bookmarkStart w:id="170" w:name="_Toc27644"/>
      <w:bookmarkStart w:id="171" w:name="_Toc12638"/>
      <w:bookmarkStart w:id="172" w:name="_Toc346"/>
      <w:bookmarkStart w:id="173" w:name="_Toc13586"/>
      <w:bookmarkStart w:id="174" w:name="_Toc4485"/>
      <w:bookmarkStart w:id="175" w:name="_Toc3140"/>
      <w:r>
        <w:rPr>
          <w:rFonts w:hint="eastAsia" w:ascii="仿宋" w:hAnsi="仿宋" w:eastAsia="仿宋" w:cs="仿宋"/>
          <w:color w:val="000000"/>
          <w:sz w:val="36"/>
          <w:szCs w:val="36"/>
        </w:rPr>
        <w:t>项目编号：</w:t>
      </w:r>
      <w:bookmarkEnd w:id="168"/>
      <w:bookmarkEnd w:id="169"/>
      <w:bookmarkEnd w:id="170"/>
      <w:bookmarkEnd w:id="171"/>
      <w:bookmarkEnd w:id="172"/>
      <w:bookmarkEnd w:id="173"/>
      <w:bookmarkEnd w:id="174"/>
      <w:bookmarkEnd w:id="175"/>
      <w:r>
        <w:rPr>
          <w:rFonts w:hint="eastAsia" w:ascii="仿宋" w:hAnsi="仿宋" w:eastAsia="仿宋" w:cs="仿宋"/>
          <w:color w:val="000000"/>
          <w:sz w:val="36"/>
          <w:szCs w:val="36"/>
          <w:u w:val="single"/>
          <w:lang w:val="en-US" w:eastAsia="zh-CN"/>
        </w:rPr>
        <w:t xml:space="preserve">             </w:t>
      </w:r>
    </w:p>
    <w:p w14:paraId="4C035C1F">
      <w:pPr>
        <w:pStyle w:val="29"/>
        <w:spacing w:line="240" w:lineRule="auto"/>
        <w:ind w:firstLine="1452" w:firstLineChars="400"/>
        <w:rPr>
          <w:rFonts w:ascii="仿宋" w:hAnsi="仿宋" w:eastAsia="仿宋" w:cs="仿宋"/>
          <w:color w:val="000000"/>
          <w:sz w:val="36"/>
        </w:rPr>
      </w:pPr>
      <w:bookmarkStart w:id="176" w:name="_Toc7640"/>
      <w:bookmarkStart w:id="177" w:name="_Toc11267"/>
      <w:bookmarkStart w:id="178" w:name="_Toc1120"/>
      <w:bookmarkStart w:id="179" w:name="_Toc5428"/>
      <w:bookmarkStart w:id="180" w:name="_Toc21054"/>
      <w:bookmarkStart w:id="181" w:name="_Toc29966"/>
      <w:bookmarkStart w:id="182" w:name="_Toc22519"/>
      <w:bookmarkStart w:id="183" w:name="_Toc15987"/>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rPr>
        <w:t>（公章）</w:t>
      </w:r>
      <w:bookmarkEnd w:id="176"/>
      <w:bookmarkEnd w:id="177"/>
      <w:bookmarkEnd w:id="178"/>
      <w:bookmarkEnd w:id="179"/>
      <w:bookmarkEnd w:id="180"/>
      <w:bookmarkEnd w:id="181"/>
      <w:bookmarkEnd w:id="182"/>
      <w:bookmarkEnd w:id="183"/>
    </w:p>
    <w:p w14:paraId="5F7F1BA6">
      <w:pPr>
        <w:pStyle w:val="29"/>
        <w:spacing w:line="240" w:lineRule="auto"/>
        <w:ind w:firstLine="1452" w:firstLineChars="400"/>
        <w:jc w:val="left"/>
        <w:rPr>
          <w:rFonts w:hint="default" w:ascii="仿宋" w:hAnsi="仿宋" w:eastAsia="仿宋" w:cs="仿宋"/>
          <w:color w:val="000000"/>
          <w:sz w:val="36"/>
          <w:szCs w:val="36"/>
          <w:u w:val="single"/>
          <w:lang w:val="en-US" w:eastAsia="zh-CN"/>
        </w:rPr>
      </w:pPr>
      <w:bookmarkStart w:id="184" w:name="_Toc21702"/>
      <w:bookmarkStart w:id="185" w:name="_Toc15429"/>
      <w:bookmarkStart w:id="186" w:name="_Toc7734"/>
      <w:bookmarkStart w:id="187" w:name="_Toc880"/>
      <w:bookmarkStart w:id="188" w:name="_Toc26250"/>
      <w:bookmarkStart w:id="189" w:name="_Toc2899"/>
      <w:bookmarkStart w:id="190" w:name="_Toc5243"/>
      <w:bookmarkStart w:id="191" w:name="_Toc24294"/>
      <w:r>
        <w:rPr>
          <w:rFonts w:hint="eastAsia" w:ascii="仿宋" w:hAnsi="仿宋" w:eastAsia="仿宋" w:cs="仿宋"/>
          <w:color w:val="000000"/>
          <w:sz w:val="36"/>
        </w:rPr>
        <w:t>时　  间：</w:t>
      </w:r>
      <w:bookmarkEnd w:id="184"/>
      <w:bookmarkEnd w:id="185"/>
      <w:bookmarkEnd w:id="186"/>
      <w:bookmarkEnd w:id="187"/>
      <w:bookmarkEnd w:id="188"/>
      <w:bookmarkEnd w:id="189"/>
      <w:bookmarkEnd w:id="190"/>
      <w:bookmarkEnd w:id="191"/>
      <w:r>
        <w:rPr>
          <w:rFonts w:hint="eastAsia" w:ascii="仿宋" w:hAnsi="仿宋" w:eastAsia="仿宋" w:cs="仿宋"/>
          <w:color w:val="000000"/>
          <w:sz w:val="36"/>
          <w:u w:val="single"/>
          <w:lang w:val="en-US" w:eastAsia="zh-CN"/>
        </w:rPr>
        <w:t xml:space="preserve">             </w:t>
      </w:r>
    </w:p>
    <w:p w14:paraId="1507C43F">
      <w:pPr>
        <w:pStyle w:val="29"/>
        <w:spacing w:line="240" w:lineRule="auto"/>
        <w:ind w:firstLine="1452" w:firstLineChars="400"/>
        <w:jc w:val="left"/>
        <w:rPr>
          <w:rFonts w:ascii="仿宋" w:hAnsi="仿宋" w:eastAsia="仿宋" w:cs="仿宋"/>
          <w:color w:val="000000"/>
          <w:sz w:val="36"/>
          <w:szCs w:val="36"/>
          <w:u w:val="single"/>
        </w:rPr>
      </w:pPr>
    </w:p>
    <w:p w14:paraId="16142314">
      <w:pPr>
        <w:pStyle w:val="33"/>
        <w:ind w:firstLine="888"/>
        <w:outlineLvl w:val="9"/>
        <w:rPr>
          <w:rFonts w:ascii="Calibri Light" w:hAnsi="Calibri Light"/>
          <w:color w:val="000000"/>
          <w:sz w:val="36"/>
          <w:szCs w:val="36"/>
        </w:rPr>
      </w:pPr>
      <w:bookmarkStart w:id="192" w:name="_Toc3838"/>
      <w:bookmarkStart w:id="193" w:name="_Toc21571_WPSOffice_Level1"/>
      <w:bookmarkStart w:id="194" w:name="_Toc22476_WPSOffice_Level1"/>
      <w:bookmarkStart w:id="195" w:name="_Toc24906"/>
      <w:bookmarkStart w:id="196" w:name="_Toc10193"/>
      <w:bookmarkStart w:id="197" w:name="_Toc31082_WPSOffice_Level1"/>
      <w:bookmarkStart w:id="198" w:name="_Toc23450"/>
      <w:bookmarkStart w:id="199" w:name="_Toc2071_WPSOffice_Level1"/>
      <w:bookmarkStart w:id="200" w:name="_Toc11156"/>
      <w:r>
        <w:rPr>
          <w:rFonts w:hint="eastAsia" w:ascii="华文仿宋" w:hAnsi="华文仿宋" w:cs="华文仿宋"/>
          <w:color w:val="000000"/>
          <w:sz w:val="44"/>
          <w:szCs w:val="44"/>
        </w:rPr>
        <w:br w:type="page"/>
      </w:r>
      <w:bookmarkStart w:id="201" w:name="_Toc580"/>
      <w:r>
        <w:rPr>
          <w:rFonts w:hint="eastAsia" w:ascii="华文仿宋" w:hAnsi="华文仿宋" w:cs="华文仿宋"/>
          <w:color w:val="000000"/>
          <w:sz w:val="44"/>
          <w:szCs w:val="44"/>
        </w:rPr>
        <w:t>目  录</w:t>
      </w:r>
      <w:bookmarkEnd w:id="192"/>
      <w:bookmarkEnd w:id="193"/>
      <w:bookmarkEnd w:id="194"/>
      <w:bookmarkEnd w:id="195"/>
      <w:bookmarkEnd w:id="196"/>
      <w:bookmarkEnd w:id="197"/>
      <w:bookmarkEnd w:id="198"/>
      <w:bookmarkEnd w:id="199"/>
      <w:bookmarkEnd w:id="200"/>
      <w:bookmarkEnd w:id="201"/>
    </w:p>
    <w:p w14:paraId="39A745A9">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2" w:name="_Toc25537_WPSOffice_Level1"/>
      <w:bookmarkStart w:id="203" w:name="_Toc19993_WPSOffice_Level1"/>
      <w:bookmarkStart w:id="204" w:name="_Toc26192_WPSOffice_Level1"/>
      <w:bookmarkStart w:id="205" w:name="_Toc8294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2"/>
      <w:bookmarkEnd w:id="203"/>
      <w:bookmarkEnd w:id="204"/>
      <w:bookmarkEnd w:id="205"/>
    </w:p>
    <w:p w14:paraId="77C9C53E">
      <w:pPr>
        <w:tabs>
          <w:tab w:val="right" w:leader="hyphen" w:pos="8504"/>
        </w:tabs>
        <w:spacing w:line="500" w:lineRule="exact"/>
        <w:ind w:left="1981" w:leftChars="200" w:right="849" w:rightChars="300" w:hanging="1415" w:hangingChars="500"/>
        <w:rPr>
          <w:color w:val="000000"/>
        </w:rPr>
      </w:pPr>
      <w:r>
        <w:rPr>
          <w:color w:val="000000"/>
        </w:rPr>
        <w:t>　　　</w:t>
      </w:r>
      <w:bookmarkStart w:id="206" w:name="_Toc25969_WPSOffice_Level2"/>
      <w:bookmarkStart w:id="207" w:name="_Toc14464_WPSOffice_Level2"/>
      <w:bookmarkStart w:id="208" w:name="_Toc19993_WPSOffice_Level2"/>
      <w:bookmarkStart w:id="209" w:name="_Toc31082_WPSOffice_Level2"/>
      <w:r>
        <w:rPr>
          <w:rFonts w:hint="eastAsia"/>
          <w:color w:val="000000"/>
        </w:rPr>
        <w:t>一、营业执照等主体资格证明文件</w:t>
      </w:r>
      <w:r>
        <w:rPr>
          <w:color w:val="000000"/>
        </w:rPr>
        <w:tab/>
      </w:r>
      <w:r>
        <w:rPr>
          <w:color w:val="000000"/>
        </w:rPr>
        <w:t>X</w:t>
      </w:r>
      <w:bookmarkEnd w:id="206"/>
      <w:bookmarkEnd w:id="207"/>
      <w:bookmarkEnd w:id="208"/>
      <w:bookmarkEnd w:id="209"/>
    </w:p>
    <w:p w14:paraId="3EB7DD33">
      <w:pPr>
        <w:tabs>
          <w:tab w:val="right" w:leader="hyphen" w:pos="8504"/>
        </w:tabs>
        <w:spacing w:line="500" w:lineRule="exact"/>
        <w:ind w:right="849" w:rightChars="300" w:firstLine="1415" w:firstLineChars="500"/>
        <w:rPr>
          <w:color w:val="000000"/>
        </w:rPr>
      </w:pPr>
      <w:bookmarkStart w:id="210" w:name="_Toc25537_WPSOffice_Level2"/>
      <w:bookmarkStart w:id="211" w:name="_Toc10078_WPSOffice_Level2"/>
      <w:bookmarkStart w:id="212" w:name="_Toc27026_WPSOffice_Level2"/>
      <w:bookmarkStart w:id="213" w:name="_Toc5830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0"/>
      <w:bookmarkEnd w:id="211"/>
      <w:bookmarkEnd w:id="212"/>
      <w:bookmarkEnd w:id="213"/>
    </w:p>
    <w:p w14:paraId="4200966C">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05533773">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011523C9">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5A84B197">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05B1EA25">
      <w:pPr>
        <w:tabs>
          <w:tab w:val="right" w:leader="hyphen" w:pos="8504"/>
        </w:tabs>
        <w:spacing w:line="500" w:lineRule="exact"/>
        <w:ind w:left="1981" w:leftChars="500" w:right="849" w:rightChars="300" w:hanging="566" w:hangingChars="200"/>
        <w:rPr>
          <w:rFonts w:hint="eastAsia"/>
          <w:color w:val="000000"/>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63C67509">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八、特定资格要求五</w:t>
      </w:r>
      <w:r>
        <w:rPr>
          <w:rFonts w:hint="eastAsia"/>
          <w:color w:val="000000"/>
        </w:rPr>
        <w:t>、书面声明</w:t>
      </w:r>
      <w:r>
        <w:rPr>
          <w:rFonts w:hint="eastAsia"/>
          <w:color w:val="000000"/>
        </w:rPr>
        <w:tab/>
      </w:r>
      <w:r>
        <w:rPr>
          <w:rFonts w:hint="eastAsia"/>
          <w:color w:val="000000"/>
        </w:rPr>
        <w:t>X</w:t>
      </w:r>
    </w:p>
    <w:p w14:paraId="7D4007D4">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D123D64">
      <w:pPr>
        <w:tabs>
          <w:tab w:val="right" w:leader="hyphen" w:pos="8504"/>
        </w:tabs>
        <w:spacing w:line="500" w:lineRule="exact"/>
        <w:ind w:right="849" w:rightChars="300" w:firstLine="1415" w:firstLineChars="500"/>
        <w:rPr>
          <w:color w:val="000000"/>
        </w:rPr>
      </w:pPr>
      <w:bookmarkStart w:id="214" w:name="_Toc7348_WPSOffice_Level2"/>
      <w:bookmarkStart w:id="215" w:name="_Toc5795_WPSOffice_Level2"/>
      <w:bookmarkStart w:id="216" w:name="_Toc28631_WPSOffice_Level2"/>
      <w:bookmarkStart w:id="217" w:name="_Toc183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4"/>
      <w:bookmarkEnd w:id="215"/>
      <w:bookmarkEnd w:id="216"/>
      <w:bookmarkEnd w:id="217"/>
    </w:p>
    <w:p w14:paraId="5027F675">
      <w:pPr>
        <w:tabs>
          <w:tab w:val="right" w:leader="hyphen" w:pos="8504"/>
        </w:tabs>
        <w:spacing w:line="500" w:lineRule="exact"/>
        <w:ind w:right="849" w:rightChars="300" w:firstLine="1415" w:firstLineChars="500"/>
        <w:rPr>
          <w:rFonts w:hint="eastAsia"/>
          <w:color w:val="000000"/>
        </w:rPr>
      </w:pPr>
      <w:bookmarkStart w:id="218" w:name="_Toc9021_WPSOffice_Level2"/>
      <w:bookmarkStart w:id="219" w:name="_Toc1168_WPSOffice_Level2"/>
      <w:bookmarkStart w:id="220" w:name="_Toc27223_WPSOffice_Level2"/>
      <w:bookmarkStart w:id="221" w:name="_Toc8116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0D5E6F54">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8"/>
      <w:bookmarkEnd w:id="219"/>
      <w:bookmarkEnd w:id="220"/>
      <w:bookmarkEnd w:id="221"/>
    </w:p>
    <w:p w14:paraId="7B7F01C5">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2E10E437">
      <w:pPr>
        <w:tabs>
          <w:tab w:val="right" w:leader="hyphen" w:pos="8504"/>
        </w:tabs>
        <w:spacing w:line="500" w:lineRule="exact"/>
        <w:ind w:left="1981" w:leftChars="500" w:right="849" w:rightChars="300" w:hanging="566" w:hangingChars="200"/>
        <w:rPr>
          <w:color w:val="000000"/>
        </w:rPr>
      </w:pPr>
      <w:bookmarkStart w:id="222" w:name="_Toc27170_WPSOffice_Level2"/>
      <w:bookmarkStart w:id="223" w:name="_Toc29414_WPSOffice_Level2"/>
      <w:bookmarkStart w:id="224" w:name="_Toc11630_WPSOffice_Level2"/>
      <w:bookmarkStart w:id="225" w:name="_Toc3525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2"/>
      <w:bookmarkEnd w:id="223"/>
      <w:bookmarkEnd w:id="224"/>
      <w:bookmarkEnd w:id="225"/>
    </w:p>
    <w:p w14:paraId="046A46B5">
      <w:pPr>
        <w:tabs>
          <w:tab w:val="right" w:leader="hyphen" w:pos="8504"/>
        </w:tabs>
        <w:spacing w:line="480" w:lineRule="exact"/>
        <w:ind w:right="849" w:rightChars="300" w:firstLine="1415" w:firstLineChars="500"/>
        <w:rPr>
          <w:color w:val="000000"/>
        </w:rPr>
      </w:pPr>
      <w:bookmarkStart w:id="226" w:name="_Toc1782_WPSOffice_Level2"/>
      <w:bookmarkStart w:id="227" w:name="_Toc31457_WPSOffice_Level2"/>
      <w:bookmarkStart w:id="228" w:name="_Toc20504_WPSOffice_Level2"/>
      <w:bookmarkStart w:id="229" w:name="_Toc18811_WPSOffice_Level2"/>
      <w:r>
        <w:rPr>
          <w:rFonts w:hint="eastAsia"/>
          <w:color w:val="000000"/>
          <w:lang w:val="en-US" w:eastAsia="zh-CN"/>
        </w:rPr>
        <w:t>五</w:t>
      </w:r>
      <w:r>
        <w:rPr>
          <w:rFonts w:hint="eastAsia"/>
          <w:color w:val="000000"/>
        </w:rPr>
        <w:t>、</w:t>
      </w:r>
      <w:bookmarkEnd w:id="226"/>
      <w:bookmarkEnd w:id="227"/>
      <w:bookmarkEnd w:id="228"/>
      <w:bookmarkEnd w:id="229"/>
      <w:r>
        <w:rPr>
          <w:rFonts w:hint="eastAsia" w:ascii="华文仿宋" w:hAnsi="华文仿宋" w:cs="华文仿宋"/>
          <w:color w:val="000000"/>
        </w:rPr>
        <w:t>技术服务偏差表</w:t>
      </w:r>
      <w:r>
        <w:rPr>
          <w:rFonts w:cs="Times New Roman"/>
          <w:color w:val="000000"/>
        </w:rPr>
        <w:tab/>
      </w:r>
      <w:r>
        <w:rPr>
          <w:color w:val="000000"/>
        </w:rPr>
        <w:t>X</w:t>
      </w:r>
    </w:p>
    <w:p w14:paraId="21D20944">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1BC3046D">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25B10D0">
      <w:pPr>
        <w:tabs>
          <w:tab w:val="right" w:leader="hyphen" w:pos="8504"/>
        </w:tabs>
        <w:spacing w:line="500" w:lineRule="exact"/>
        <w:ind w:left="1734" w:leftChars="513" w:right="849" w:rightChars="300" w:hanging="283" w:hangingChars="100"/>
        <w:rPr>
          <w:color w:val="000000"/>
        </w:rPr>
      </w:pPr>
      <w:bookmarkStart w:id="230" w:name="_Toc28279_WPSOffice_Level2"/>
      <w:bookmarkStart w:id="231" w:name="_Toc19486_WPSOffice_Level2"/>
      <w:bookmarkStart w:id="232" w:name="_Toc13258_WPSOffice_Level2"/>
      <w:bookmarkStart w:id="233" w:name="_Toc17428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0"/>
      <w:bookmarkEnd w:id="231"/>
      <w:bookmarkEnd w:id="232"/>
      <w:bookmarkEnd w:id="233"/>
    </w:p>
    <w:p w14:paraId="585E0243">
      <w:pPr>
        <w:tabs>
          <w:tab w:val="right" w:leader="hyphen" w:pos="8504"/>
        </w:tabs>
        <w:spacing w:line="500" w:lineRule="exact"/>
        <w:ind w:right="849" w:rightChars="300" w:firstLine="566" w:firstLineChars="200"/>
        <w:rPr>
          <w:rFonts w:ascii="黑体" w:hAnsi="黑体" w:eastAsia="黑体" w:cs="黑体"/>
          <w:color w:val="000000"/>
        </w:rPr>
      </w:pPr>
      <w:bookmarkStart w:id="234" w:name="_Toc22808_WPSOffice_Level1"/>
      <w:bookmarkStart w:id="235" w:name="_Toc23092_WPSOffice_Level1"/>
      <w:bookmarkStart w:id="236" w:name="_Toc27464_WPSOffice_Level1"/>
      <w:bookmarkStart w:id="237" w:name="_Toc21905_WPSOffice_Level1"/>
      <w:r>
        <w:rPr>
          <w:rFonts w:hint="eastAsia" w:ascii="黑体" w:hAnsi="黑体" w:eastAsia="黑体" w:cs="黑体"/>
          <w:color w:val="000000"/>
        </w:rPr>
        <w:t>第三部分  响应方案</w:t>
      </w:r>
      <w:bookmarkEnd w:id="234"/>
      <w:bookmarkEnd w:id="235"/>
      <w:bookmarkEnd w:id="236"/>
      <w:bookmarkEnd w:id="237"/>
      <w:r>
        <w:rPr>
          <w:rFonts w:hint="eastAsia" w:ascii="黑体" w:hAnsi="黑体" w:eastAsia="黑体" w:cs="黑体"/>
          <w:color w:val="000000"/>
        </w:rPr>
        <w:tab/>
      </w:r>
      <w:r>
        <w:rPr>
          <w:rFonts w:hint="eastAsia"/>
          <w:color w:val="000000"/>
        </w:rPr>
        <w:t>X</w:t>
      </w:r>
    </w:p>
    <w:p w14:paraId="68A17096">
      <w:pPr>
        <w:tabs>
          <w:tab w:val="right" w:leader="hyphen" w:pos="8504"/>
        </w:tabs>
        <w:spacing w:line="500" w:lineRule="exact"/>
        <w:ind w:left="1734" w:leftChars="513" w:right="849" w:rightChars="300" w:hanging="283" w:hangingChars="100"/>
        <w:rPr>
          <w:color w:val="000000"/>
        </w:rPr>
      </w:pPr>
      <w:bookmarkStart w:id="238" w:name="_Toc7951_WPSOffice_Level2"/>
      <w:bookmarkStart w:id="239" w:name="_Toc8316_WPSOffice_Level2"/>
      <w:bookmarkStart w:id="240" w:name="_Toc7544_WPSOffice_Level2"/>
      <w:bookmarkStart w:id="241" w:name="_Toc980_WPSOffice_Level2"/>
      <w:r>
        <w:rPr>
          <w:rFonts w:hint="eastAsia"/>
          <w:color w:val="000000"/>
        </w:rPr>
        <w:t>一、供应</w:t>
      </w:r>
      <w:r>
        <w:rPr>
          <w:color w:val="000000"/>
        </w:rPr>
        <w:t>商</w:t>
      </w:r>
      <w:bookmarkEnd w:id="238"/>
      <w:r>
        <w:rPr>
          <w:rFonts w:hint="eastAsia"/>
          <w:color w:val="000000"/>
        </w:rPr>
        <w:t>概况</w:t>
      </w:r>
      <w:r>
        <w:rPr>
          <w:color w:val="000000"/>
        </w:rPr>
        <w:tab/>
      </w:r>
      <w:r>
        <w:rPr>
          <w:color w:val="000000"/>
        </w:rPr>
        <w:t>X</w:t>
      </w:r>
      <w:bookmarkEnd w:id="239"/>
      <w:bookmarkEnd w:id="240"/>
      <w:bookmarkEnd w:id="241"/>
    </w:p>
    <w:p w14:paraId="5CF17A77">
      <w:pPr>
        <w:tabs>
          <w:tab w:val="right" w:leader="hyphen" w:pos="8504"/>
        </w:tabs>
        <w:spacing w:line="500" w:lineRule="exact"/>
        <w:ind w:left="849" w:leftChars="300" w:right="849" w:rightChars="300" w:firstLine="566" w:firstLineChars="200"/>
        <w:rPr>
          <w:color w:val="000000"/>
        </w:rPr>
      </w:pPr>
      <w:bookmarkStart w:id="242" w:name="_Toc2987_WPSOffice_Level2"/>
      <w:bookmarkStart w:id="243" w:name="_Toc2999_WPSOffice_Level2"/>
      <w:bookmarkStart w:id="244" w:name="_Toc15474_WPSOffice_Level2"/>
      <w:bookmarkStart w:id="245" w:name="_Toc10127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2"/>
      <w:bookmarkEnd w:id="243"/>
      <w:bookmarkEnd w:id="244"/>
      <w:bookmarkEnd w:id="245"/>
    </w:p>
    <w:p w14:paraId="26D5F5D9">
      <w:pPr>
        <w:numPr>
          <w:ilvl w:val="0"/>
          <w:numId w:val="7"/>
        </w:numPr>
        <w:tabs>
          <w:tab w:val="right" w:leader="hyphen" w:pos="8504"/>
        </w:tabs>
        <w:spacing w:line="500" w:lineRule="exact"/>
        <w:ind w:left="1981" w:leftChars="500" w:right="849" w:rightChars="300" w:hanging="566" w:hangingChars="200"/>
        <w:rPr>
          <w:color w:val="000000"/>
        </w:rPr>
      </w:pPr>
      <w:bookmarkStart w:id="246" w:name="_Toc13401_WPSOffice_Level2"/>
      <w:bookmarkStart w:id="247" w:name="_Toc28542_WPSOffice_Level2"/>
      <w:bookmarkStart w:id="248" w:name="_Toc15492_WPSOffice_Level2"/>
      <w:bookmarkStart w:id="249" w:name="_Toc22913_WPSOffice_Level2"/>
      <w:r>
        <w:rPr>
          <w:rFonts w:hint="eastAsia"/>
          <w:color w:val="000000"/>
        </w:rPr>
        <w:t>参考样表</w:t>
      </w:r>
      <w:r>
        <w:rPr>
          <w:color w:val="000000"/>
        </w:rPr>
        <w:tab/>
      </w:r>
      <w:r>
        <w:rPr>
          <w:color w:val="000000"/>
        </w:rPr>
        <w:t>X</w:t>
      </w:r>
      <w:bookmarkEnd w:id="246"/>
      <w:bookmarkEnd w:id="247"/>
      <w:bookmarkEnd w:id="248"/>
      <w:bookmarkEnd w:id="249"/>
    </w:p>
    <w:p w14:paraId="294B09D9">
      <w:pPr>
        <w:spacing w:line="240" w:lineRule="auto"/>
        <w:jc w:val="center"/>
        <w:outlineLvl w:val="1"/>
        <w:rPr>
          <w:rFonts w:ascii="黑体" w:hAnsi="黑体" w:eastAsia="黑体"/>
          <w:color w:val="000000"/>
        </w:rPr>
      </w:pPr>
      <w:r>
        <w:rPr>
          <w:rFonts w:ascii="黑体" w:hAnsi="黑体" w:eastAsia="黑体"/>
          <w:b/>
          <w:color w:val="000000"/>
        </w:rPr>
        <w:br w:type="page"/>
      </w:r>
      <w:bookmarkStart w:id="250" w:name="_Toc1807"/>
      <w:bookmarkStart w:id="251" w:name="_Toc13654"/>
      <w:bookmarkStart w:id="252" w:name="_Toc31057"/>
      <w:r>
        <w:rPr>
          <w:rStyle w:val="34"/>
          <w:rFonts w:hint="eastAsia" w:ascii="黑体" w:hAnsi="黑体" w:eastAsia="黑体"/>
          <w:b w:val="0"/>
          <w:bCs w:val="0"/>
          <w:color w:val="000000"/>
        </w:rPr>
        <w:t>第一部分  资格证明文件</w:t>
      </w:r>
      <w:bookmarkEnd w:id="250"/>
      <w:bookmarkEnd w:id="251"/>
      <w:bookmarkEnd w:id="252"/>
    </w:p>
    <w:p w14:paraId="06C3CF63">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278014F2">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正反面）</w:t>
      </w:r>
      <w:r>
        <w:rPr>
          <w:rFonts w:hint="eastAsia"/>
          <w:color w:val="000000"/>
          <w:lang w:eastAsia="zh-CN"/>
        </w:rPr>
        <w:t>扫描件</w:t>
      </w:r>
      <w:r>
        <w:rPr>
          <w:rFonts w:hint="eastAsia"/>
          <w:color w:val="000000"/>
        </w:rPr>
        <w:t>。</w:t>
      </w:r>
    </w:p>
    <w:p w14:paraId="642C0AE1">
      <w:pPr>
        <w:spacing w:line="500" w:lineRule="exact"/>
        <w:ind w:firstLine="562"/>
        <w:outlineLvl w:val="2"/>
        <w:rPr>
          <w:rFonts w:hint="eastAsia"/>
          <w:b/>
          <w:bCs/>
          <w:color w:val="000000"/>
        </w:rPr>
      </w:pPr>
      <w:r>
        <w:rPr>
          <w:rFonts w:hint="eastAsia"/>
          <w:b/>
          <w:bCs/>
          <w:color w:val="000000"/>
        </w:rPr>
        <w:t>一、营业执照等主体资格证明文件</w:t>
      </w:r>
    </w:p>
    <w:p w14:paraId="1A4AE8A7">
      <w:pPr>
        <w:spacing w:line="500" w:lineRule="exact"/>
        <w:ind w:firstLine="562"/>
        <w:outlineLvl w:val="2"/>
        <w:rPr>
          <w:rFonts w:hint="eastAsia" w:ascii="仿宋" w:hAnsi="仿宋" w:eastAsia="仿宋"/>
          <w:b/>
          <w:color w:val="000000"/>
        </w:rPr>
      </w:pPr>
    </w:p>
    <w:p w14:paraId="56DC7CEC">
      <w:pPr>
        <w:spacing w:line="500" w:lineRule="exact"/>
        <w:ind w:firstLine="562"/>
        <w:outlineLvl w:val="2"/>
        <w:rPr>
          <w:rFonts w:hint="eastAsia" w:ascii="仿宋" w:hAnsi="仿宋" w:eastAsia="仿宋"/>
          <w:b/>
          <w:color w:val="000000"/>
        </w:rPr>
      </w:pPr>
    </w:p>
    <w:p w14:paraId="5481CB37">
      <w:pPr>
        <w:spacing w:line="500" w:lineRule="exact"/>
        <w:ind w:firstLine="562"/>
        <w:outlineLvl w:val="2"/>
        <w:rPr>
          <w:rFonts w:hint="eastAsia" w:ascii="仿宋" w:hAnsi="仿宋" w:eastAsia="仿宋"/>
          <w:b/>
          <w:color w:val="000000"/>
        </w:rPr>
      </w:pPr>
    </w:p>
    <w:p w14:paraId="3018148F">
      <w:pPr>
        <w:spacing w:line="500" w:lineRule="exact"/>
        <w:ind w:firstLine="562"/>
        <w:outlineLvl w:val="2"/>
        <w:rPr>
          <w:rFonts w:hint="eastAsia" w:ascii="仿宋" w:hAnsi="仿宋" w:eastAsia="仿宋"/>
          <w:b/>
          <w:color w:val="000000"/>
        </w:rPr>
      </w:pPr>
    </w:p>
    <w:p w14:paraId="6115D6E7">
      <w:pPr>
        <w:spacing w:line="500" w:lineRule="exact"/>
        <w:ind w:firstLine="562"/>
        <w:outlineLvl w:val="2"/>
        <w:rPr>
          <w:rFonts w:hint="eastAsia" w:ascii="仿宋" w:hAnsi="仿宋" w:eastAsia="仿宋"/>
          <w:b/>
          <w:color w:val="000000"/>
        </w:rPr>
      </w:pPr>
    </w:p>
    <w:p w14:paraId="67688564">
      <w:pPr>
        <w:spacing w:line="500" w:lineRule="exact"/>
        <w:ind w:firstLine="562"/>
        <w:outlineLvl w:val="2"/>
        <w:rPr>
          <w:rFonts w:hint="eastAsia" w:ascii="仿宋" w:hAnsi="仿宋" w:eastAsia="仿宋"/>
          <w:b/>
          <w:color w:val="000000"/>
        </w:rPr>
      </w:pPr>
    </w:p>
    <w:p w14:paraId="1610511F">
      <w:pPr>
        <w:spacing w:line="500" w:lineRule="exact"/>
        <w:ind w:firstLine="562"/>
        <w:outlineLvl w:val="2"/>
        <w:rPr>
          <w:rFonts w:hint="eastAsia" w:ascii="仿宋" w:hAnsi="仿宋" w:eastAsia="仿宋"/>
          <w:b/>
          <w:color w:val="000000"/>
        </w:rPr>
      </w:pPr>
    </w:p>
    <w:p w14:paraId="5F08B83D">
      <w:pPr>
        <w:spacing w:line="500" w:lineRule="exact"/>
        <w:ind w:firstLine="562"/>
        <w:outlineLvl w:val="2"/>
        <w:rPr>
          <w:rFonts w:hint="eastAsia" w:ascii="仿宋" w:hAnsi="仿宋" w:eastAsia="仿宋"/>
          <w:b/>
          <w:color w:val="000000"/>
        </w:rPr>
      </w:pPr>
    </w:p>
    <w:p w14:paraId="57219DE2">
      <w:pPr>
        <w:spacing w:line="500" w:lineRule="exact"/>
        <w:ind w:firstLine="562"/>
        <w:outlineLvl w:val="2"/>
        <w:rPr>
          <w:rFonts w:hint="eastAsia"/>
          <w:b/>
          <w:bCs/>
          <w:color w:val="000000"/>
          <w:lang w:val="en-US" w:eastAsia="zh-CN"/>
        </w:rPr>
      </w:pPr>
    </w:p>
    <w:p w14:paraId="0B235C39">
      <w:pPr>
        <w:spacing w:line="360" w:lineRule="atLeast"/>
        <w:jc w:val="center"/>
        <w:rPr>
          <w:rFonts w:hint="eastAsia" w:ascii="宋体" w:hAnsi="宋体" w:eastAsia="宋体" w:cs="Times New Roman"/>
          <w:b/>
          <w:sz w:val="32"/>
          <w:szCs w:val="32"/>
          <w:lang w:val="en-US" w:eastAsia="zh-CN"/>
        </w:rPr>
      </w:pPr>
    </w:p>
    <w:p w14:paraId="6D00AB94">
      <w:pPr>
        <w:spacing w:line="360" w:lineRule="atLeast"/>
        <w:jc w:val="center"/>
        <w:rPr>
          <w:rFonts w:hint="eastAsia" w:ascii="宋体" w:hAnsi="宋体" w:eastAsia="宋体" w:cs="Times New Roman"/>
          <w:b/>
          <w:sz w:val="32"/>
          <w:szCs w:val="32"/>
          <w:lang w:val="en-US" w:eastAsia="zh-CN"/>
        </w:rPr>
      </w:pPr>
    </w:p>
    <w:p w14:paraId="6E800E43">
      <w:pPr>
        <w:spacing w:line="360" w:lineRule="atLeast"/>
        <w:jc w:val="center"/>
        <w:rPr>
          <w:rFonts w:hint="eastAsia" w:ascii="宋体" w:hAnsi="宋体" w:eastAsia="宋体" w:cs="Times New Roman"/>
          <w:b/>
          <w:sz w:val="32"/>
          <w:szCs w:val="32"/>
          <w:lang w:val="en-US" w:eastAsia="zh-CN"/>
        </w:rPr>
      </w:pPr>
    </w:p>
    <w:p w14:paraId="4EBFA28B">
      <w:pPr>
        <w:spacing w:line="360" w:lineRule="atLeast"/>
        <w:jc w:val="center"/>
        <w:rPr>
          <w:rFonts w:hint="eastAsia" w:ascii="宋体" w:hAnsi="宋体" w:eastAsia="宋体" w:cs="Times New Roman"/>
          <w:b/>
          <w:sz w:val="32"/>
          <w:szCs w:val="32"/>
          <w:lang w:val="en-US" w:eastAsia="zh-CN"/>
        </w:rPr>
      </w:pPr>
    </w:p>
    <w:p w14:paraId="6326C3EA">
      <w:pPr>
        <w:spacing w:line="360" w:lineRule="atLeast"/>
        <w:jc w:val="center"/>
        <w:rPr>
          <w:rFonts w:hint="eastAsia" w:ascii="宋体" w:hAnsi="宋体" w:eastAsia="宋体" w:cs="Times New Roman"/>
          <w:b/>
          <w:sz w:val="32"/>
          <w:szCs w:val="32"/>
          <w:lang w:val="en-US" w:eastAsia="zh-CN"/>
        </w:rPr>
      </w:pPr>
    </w:p>
    <w:p w14:paraId="4D94CB59">
      <w:pPr>
        <w:spacing w:line="360" w:lineRule="atLeast"/>
        <w:jc w:val="both"/>
        <w:rPr>
          <w:rFonts w:hint="eastAsia" w:ascii="宋体" w:hAnsi="宋体" w:eastAsia="宋体" w:cs="Times New Roman"/>
          <w:b/>
          <w:sz w:val="32"/>
          <w:szCs w:val="32"/>
          <w:lang w:val="en-US" w:eastAsia="zh-CN"/>
        </w:rPr>
      </w:pPr>
    </w:p>
    <w:p w14:paraId="76D8DCCF">
      <w:pPr>
        <w:spacing w:line="360" w:lineRule="atLeast"/>
        <w:jc w:val="left"/>
        <w:rPr>
          <w:rFonts w:hint="eastAsia" w:ascii="宋体" w:hAnsi="宋体" w:eastAsia="宋体" w:cs="Times New Roman"/>
          <w:b/>
          <w:sz w:val="32"/>
          <w:szCs w:val="32"/>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7F266E9A">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26AE93F1">
      <w:pPr>
        <w:pStyle w:val="10"/>
        <w:rPr>
          <w:rFonts w:hint="eastAsia"/>
          <w:lang w:val="en-US" w:eastAsia="zh-CN"/>
        </w:rPr>
      </w:pPr>
    </w:p>
    <w:p w14:paraId="63E93B2E">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2591F2D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49D36F9C">
      <w:pPr>
        <w:spacing w:line="360" w:lineRule="auto"/>
        <w:ind w:firstLine="364" w:firstLineChars="150"/>
        <w:rPr>
          <w:rFonts w:hint="eastAsia" w:ascii="宋体" w:hAnsi="宋体" w:eastAsia="宋体" w:cs="Times New Roman"/>
          <w:sz w:val="24"/>
          <w:szCs w:val="28"/>
          <w:lang w:val="en-US" w:eastAsia="zh-CN"/>
        </w:rPr>
      </w:pPr>
    </w:p>
    <w:p w14:paraId="70E93761">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440178A3">
      <w:pPr>
        <w:spacing w:line="360" w:lineRule="auto"/>
        <w:ind w:firstLine="364" w:firstLineChars="150"/>
        <w:rPr>
          <w:rFonts w:hint="eastAsia" w:ascii="宋体" w:hAnsi="宋体" w:eastAsia="宋体" w:cs="Times New Roman"/>
          <w:sz w:val="24"/>
          <w:szCs w:val="28"/>
          <w:lang w:val="en-US" w:eastAsia="zh-CN"/>
        </w:rPr>
      </w:pPr>
    </w:p>
    <w:p w14:paraId="2EA6E616">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44F3BBFC">
      <w:pPr>
        <w:spacing w:line="360" w:lineRule="auto"/>
        <w:ind w:firstLine="364" w:firstLineChars="150"/>
        <w:rPr>
          <w:rFonts w:hint="eastAsia" w:ascii="宋体" w:hAnsi="宋体" w:eastAsia="宋体" w:cs="Times New Roman"/>
          <w:sz w:val="24"/>
          <w:szCs w:val="28"/>
          <w:lang w:val="en-US" w:eastAsia="zh-CN"/>
        </w:rPr>
      </w:pPr>
    </w:p>
    <w:p w14:paraId="38ADB2A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207591BE">
      <w:pPr>
        <w:spacing w:line="360" w:lineRule="auto"/>
        <w:ind w:firstLine="364" w:firstLineChars="150"/>
        <w:rPr>
          <w:rFonts w:hint="eastAsia" w:ascii="宋体" w:hAnsi="宋体" w:eastAsia="宋体" w:cs="Times New Roman"/>
          <w:sz w:val="24"/>
          <w:szCs w:val="28"/>
          <w:lang w:val="en-US" w:eastAsia="zh-CN"/>
        </w:rPr>
      </w:pPr>
    </w:p>
    <w:p w14:paraId="67652D7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0A85D476">
      <w:pPr>
        <w:spacing w:line="360" w:lineRule="auto"/>
        <w:ind w:firstLine="364" w:firstLineChars="150"/>
        <w:rPr>
          <w:rFonts w:hint="eastAsia" w:ascii="宋体" w:hAnsi="宋体" w:eastAsia="宋体" w:cs="Times New Roman"/>
          <w:sz w:val="24"/>
          <w:szCs w:val="28"/>
          <w:lang w:val="en-US" w:eastAsia="zh-CN"/>
        </w:rPr>
      </w:pPr>
    </w:p>
    <w:p w14:paraId="0009B767">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1216DB8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24D408CF">
      <w:pPr>
        <w:spacing w:line="500" w:lineRule="exact"/>
        <w:ind w:firstLine="566" w:firstLineChars="200"/>
        <w:outlineLvl w:val="2"/>
        <w:rPr>
          <w:rFonts w:hint="eastAsia"/>
          <w:b/>
          <w:bCs/>
          <w:color w:val="000000"/>
          <w:lang w:val="en-US" w:eastAsia="zh-CN"/>
        </w:rPr>
      </w:pPr>
    </w:p>
    <w:p w14:paraId="08E79EE3">
      <w:pPr>
        <w:spacing w:line="500" w:lineRule="exact"/>
        <w:ind w:firstLine="566" w:firstLineChars="200"/>
        <w:outlineLvl w:val="2"/>
        <w:rPr>
          <w:rFonts w:hint="eastAsia"/>
          <w:b/>
          <w:bCs/>
          <w:color w:val="000000"/>
          <w:lang w:val="en-US" w:eastAsia="zh-CN"/>
        </w:rPr>
      </w:pPr>
    </w:p>
    <w:p w14:paraId="6BBEE900">
      <w:pPr>
        <w:spacing w:line="500" w:lineRule="exact"/>
        <w:ind w:firstLine="566" w:firstLineChars="200"/>
        <w:outlineLvl w:val="2"/>
        <w:rPr>
          <w:rFonts w:hint="eastAsia"/>
          <w:b/>
          <w:bCs/>
          <w:color w:val="000000"/>
          <w:lang w:val="en-US" w:eastAsia="zh-CN"/>
        </w:rPr>
      </w:pPr>
    </w:p>
    <w:p w14:paraId="6A8E9F6E">
      <w:pPr>
        <w:spacing w:line="500" w:lineRule="exact"/>
        <w:ind w:firstLine="566" w:firstLineChars="200"/>
        <w:outlineLvl w:val="2"/>
        <w:rPr>
          <w:rFonts w:hint="eastAsia"/>
          <w:b/>
          <w:bCs/>
          <w:color w:val="000000"/>
          <w:lang w:val="en-US" w:eastAsia="zh-CN"/>
        </w:rPr>
      </w:pPr>
    </w:p>
    <w:p w14:paraId="18D1869B">
      <w:pPr>
        <w:spacing w:line="500" w:lineRule="exact"/>
        <w:ind w:firstLine="566" w:firstLineChars="200"/>
        <w:outlineLvl w:val="2"/>
        <w:rPr>
          <w:rFonts w:hint="eastAsia"/>
          <w:b/>
          <w:bCs/>
          <w:color w:val="000000"/>
          <w:lang w:val="en-US" w:eastAsia="zh-CN"/>
        </w:rPr>
      </w:pPr>
    </w:p>
    <w:p w14:paraId="248AB3F6">
      <w:pPr>
        <w:spacing w:line="500" w:lineRule="exact"/>
        <w:ind w:firstLine="566" w:firstLineChars="200"/>
        <w:outlineLvl w:val="2"/>
        <w:rPr>
          <w:rFonts w:hint="eastAsia"/>
          <w:b/>
          <w:bCs/>
          <w:color w:val="000000"/>
          <w:lang w:val="en-US" w:eastAsia="zh-CN"/>
        </w:rPr>
      </w:pPr>
    </w:p>
    <w:p w14:paraId="50CB8E74">
      <w:pPr>
        <w:spacing w:line="500" w:lineRule="exact"/>
        <w:ind w:firstLine="566" w:firstLineChars="200"/>
        <w:outlineLvl w:val="2"/>
        <w:rPr>
          <w:rFonts w:hint="eastAsia"/>
          <w:b/>
          <w:bCs/>
          <w:color w:val="000000"/>
          <w:lang w:val="en-US" w:eastAsia="zh-CN"/>
        </w:rPr>
      </w:pPr>
    </w:p>
    <w:p w14:paraId="7FC149FC">
      <w:pPr>
        <w:spacing w:line="500" w:lineRule="exact"/>
        <w:ind w:firstLine="566" w:firstLineChars="200"/>
        <w:outlineLvl w:val="2"/>
        <w:rPr>
          <w:rFonts w:hint="eastAsia"/>
          <w:b/>
          <w:bCs/>
          <w:color w:val="000000"/>
          <w:lang w:val="en-US" w:eastAsia="zh-CN"/>
        </w:rPr>
      </w:pPr>
    </w:p>
    <w:p w14:paraId="26ABCB4D">
      <w:pPr>
        <w:spacing w:line="500" w:lineRule="exact"/>
        <w:ind w:firstLine="566" w:firstLineChars="200"/>
        <w:outlineLvl w:val="2"/>
        <w:rPr>
          <w:rFonts w:hint="eastAsia"/>
          <w:b/>
          <w:bCs/>
          <w:color w:val="000000"/>
          <w:lang w:val="en-US" w:eastAsia="zh-CN"/>
        </w:rPr>
      </w:pPr>
    </w:p>
    <w:p w14:paraId="7D0B67EA">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1F6FA184">
      <w:pPr>
        <w:ind w:firstLine="0" w:firstLineChars="0"/>
        <w:rPr>
          <w:rFonts w:ascii="仿宋" w:hAnsi="仿宋" w:eastAsia="仿宋"/>
          <w:b/>
          <w:color w:val="000000"/>
        </w:rPr>
      </w:pPr>
    </w:p>
    <w:p w14:paraId="41806EC9">
      <w:pPr>
        <w:pStyle w:val="35"/>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rPr>
        <w:t>（格式）</w:t>
      </w:r>
    </w:p>
    <w:p w14:paraId="4796276F">
      <w:pPr>
        <w:spacing w:line="500" w:lineRule="exact"/>
        <w:rPr>
          <w:rFonts w:hint="eastAsia" w:ascii="华文仿宋" w:hAnsi="华文仿宋" w:cs="华文仿宋"/>
          <w:color w:val="000000"/>
          <w:lang w:eastAsia="zh-CN"/>
        </w:rPr>
      </w:pPr>
    </w:p>
    <w:p w14:paraId="5C6E537B">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7FA1F163">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780F1A1D">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1DB62A59">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（填“未被列入”或“被列入”）失信被执行人名单。</w:t>
      </w:r>
    </w:p>
    <w:p w14:paraId="0226B2FD">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C86EAB9">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rPr>
        <w:t>（填“未被列入”或“被列入”）政府采购严重违法失信行为记录名单。</w:t>
      </w:r>
    </w:p>
    <w:p w14:paraId="6532B5AB">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297FB036">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023E341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ACA2A6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DF7DBBF">
      <w:pPr>
        <w:spacing w:line="500" w:lineRule="exact"/>
        <w:ind w:firstLine="566" w:firstLineChars="200"/>
        <w:rPr>
          <w:rFonts w:ascii="仿宋" w:hAnsi="仿宋" w:eastAsia="仿宋" w:cs="仿宋"/>
          <w:color w:val="000000"/>
          <w:highlight w:val="yellow"/>
        </w:rPr>
      </w:pPr>
    </w:p>
    <w:p w14:paraId="468B4125">
      <w:pPr>
        <w:spacing w:line="500" w:lineRule="exact"/>
        <w:ind w:firstLine="566" w:firstLineChars="200"/>
        <w:rPr>
          <w:rFonts w:ascii="仿宋" w:hAnsi="仿宋" w:eastAsia="仿宋" w:cs="仿宋"/>
          <w:color w:val="000000"/>
          <w:highlight w:val="yellow"/>
        </w:rPr>
      </w:pPr>
    </w:p>
    <w:p w14:paraId="30FA2970">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2ADB5619">
      <w:pPr>
        <w:spacing w:line="240" w:lineRule="auto"/>
        <w:jc w:val="left"/>
        <w:rPr>
          <w:color w:val="000000"/>
          <w:sz w:val="30"/>
          <w:szCs w:val="30"/>
        </w:rPr>
      </w:pPr>
    </w:p>
    <w:p w14:paraId="0DE060FE">
      <w:pPr>
        <w:pStyle w:val="7"/>
        <w:rPr>
          <w:color w:val="000000"/>
          <w:sz w:val="30"/>
          <w:szCs w:val="30"/>
        </w:rPr>
      </w:pPr>
    </w:p>
    <w:p w14:paraId="6F98D92D">
      <w:pPr>
        <w:pStyle w:val="7"/>
        <w:rPr>
          <w:color w:val="000000"/>
          <w:sz w:val="30"/>
          <w:szCs w:val="30"/>
        </w:rPr>
      </w:pPr>
    </w:p>
    <w:p w14:paraId="13517ED5">
      <w:pPr>
        <w:pStyle w:val="16"/>
      </w:pPr>
    </w:p>
    <w:p w14:paraId="001176D9">
      <w:pPr>
        <w:pStyle w:val="7"/>
        <w:rPr>
          <w:color w:val="000000"/>
          <w:sz w:val="30"/>
          <w:szCs w:val="30"/>
        </w:rPr>
      </w:pPr>
    </w:p>
    <w:p w14:paraId="69CDB4E0">
      <w:pPr>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19856AFF">
      <w:pPr>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6C783271">
      <w:pPr>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控股管理关系（样表）</w:t>
      </w:r>
    </w:p>
    <w:p w14:paraId="544C57F8">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2E05E882">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1"/>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6DFFF38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3969B0AD">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334F7F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EA68036">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083BB800">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646" w:type="dxa"/>
            <w:tcBorders>
              <w:left w:val="single" w:color="auto" w:sz="4" w:space="0"/>
              <w:right w:val="single" w:color="auto" w:sz="4" w:space="0"/>
            </w:tcBorders>
            <w:noWrap/>
            <w:vAlign w:val="center"/>
          </w:tcPr>
          <w:p w14:paraId="14C06118">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993" w:type="dxa"/>
            <w:tcBorders>
              <w:left w:val="single" w:color="auto" w:sz="4" w:space="0"/>
              <w:right w:val="single" w:color="auto" w:sz="12" w:space="0"/>
            </w:tcBorders>
            <w:noWrap/>
            <w:vAlign w:val="center"/>
          </w:tcPr>
          <w:p w14:paraId="71C2A074">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3E4FF4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2A7093E">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07F98E41">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21EBDC50">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54F6AC42">
            <w:pPr>
              <w:autoSpaceDE w:val="0"/>
              <w:autoSpaceDN w:val="0"/>
              <w:adjustRightInd w:val="0"/>
              <w:spacing w:line="320" w:lineRule="exact"/>
              <w:rPr>
                <w:rFonts w:ascii="仿宋" w:hAnsi="仿宋" w:eastAsia="仿宋" w:cs="仿宋"/>
                <w:bCs/>
                <w:color w:val="auto"/>
                <w:kern w:val="0"/>
                <w:sz w:val="24"/>
                <w:szCs w:val="24"/>
              </w:rPr>
            </w:pPr>
          </w:p>
        </w:tc>
      </w:tr>
      <w:tr w14:paraId="42D4F0A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78E7FC8">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0C6F423A">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24D0C97A">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48C2F4D4">
            <w:pPr>
              <w:autoSpaceDE w:val="0"/>
              <w:autoSpaceDN w:val="0"/>
              <w:adjustRightInd w:val="0"/>
              <w:spacing w:line="320" w:lineRule="exact"/>
              <w:rPr>
                <w:rFonts w:ascii="仿宋" w:hAnsi="仿宋" w:eastAsia="仿宋" w:cs="仿宋"/>
                <w:bCs/>
                <w:color w:val="auto"/>
                <w:kern w:val="0"/>
                <w:sz w:val="24"/>
                <w:szCs w:val="24"/>
              </w:rPr>
            </w:pPr>
          </w:p>
        </w:tc>
      </w:tr>
      <w:tr w14:paraId="4B58951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2B272E6">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4A07AF2A">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30A8ACFC">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7AFE82ED">
            <w:pPr>
              <w:autoSpaceDE w:val="0"/>
              <w:autoSpaceDN w:val="0"/>
              <w:adjustRightInd w:val="0"/>
              <w:spacing w:line="320" w:lineRule="exact"/>
              <w:rPr>
                <w:rFonts w:ascii="仿宋" w:hAnsi="仿宋" w:eastAsia="仿宋" w:cs="仿宋"/>
                <w:bCs/>
                <w:color w:val="auto"/>
                <w:kern w:val="0"/>
                <w:sz w:val="24"/>
                <w:szCs w:val="24"/>
              </w:rPr>
            </w:pPr>
          </w:p>
        </w:tc>
      </w:tr>
      <w:tr w14:paraId="15E4A97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0EF4AFEE">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46938A6A">
            <w:pPr>
              <w:autoSpaceDE w:val="0"/>
              <w:autoSpaceDN w:val="0"/>
              <w:adjustRightInd w:val="0"/>
              <w:spacing w:line="320" w:lineRule="exact"/>
              <w:rPr>
                <w:rFonts w:ascii="仿宋" w:hAnsi="仿宋" w:eastAsia="仿宋" w:cs="仿宋"/>
                <w:bCs/>
                <w:color w:val="auto"/>
                <w:kern w:val="0"/>
                <w:sz w:val="24"/>
                <w:szCs w:val="24"/>
              </w:rPr>
            </w:pPr>
          </w:p>
        </w:tc>
        <w:tc>
          <w:tcPr>
            <w:tcW w:w="2646" w:type="dxa"/>
            <w:tcBorders>
              <w:left w:val="single" w:color="auto" w:sz="4" w:space="0"/>
              <w:right w:val="single" w:color="auto" w:sz="4" w:space="0"/>
            </w:tcBorders>
            <w:noWrap/>
            <w:vAlign w:val="center"/>
          </w:tcPr>
          <w:p w14:paraId="24491BBB">
            <w:pPr>
              <w:autoSpaceDE w:val="0"/>
              <w:autoSpaceDN w:val="0"/>
              <w:adjustRightInd w:val="0"/>
              <w:spacing w:line="320" w:lineRule="exact"/>
              <w:rPr>
                <w:rFonts w:ascii="仿宋" w:hAnsi="仿宋" w:eastAsia="仿宋" w:cs="仿宋"/>
                <w:bCs/>
                <w:color w:val="auto"/>
                <w:kern w:val="0"/>
                <w:sz w:val="24"/>
                <w:szCs w:val="24"/>
              </w:rPr>
            </w:pPr>
          </w:p>
        </w:tc>
        <w:tc>
          <w:tcPr>
            <w:tcW w:w="1993" w:type="dxa"/>
            <w:tcBorders>
              <w:left w:val="single" w:color="auto" w:sz="4" w:space="0"/>
              <w:right w:val="single" w:color="auto" w:sz="12" w:space="0"/>
            </w:tcBorders>
            <w:noWrap/>
            <w:vAlign w:val="center"/>
          </w:tcPr>
          <w:p w14:paraId="7DFA9466">
            <w:pPr>
              <w:autoSpaceDE w:val="0"/>
              <w:autoSpaceDN w:val="0"/>
              <w:adjustRightInd w:val="0"/>
              <w:spacing w:line="320" w:lineRule="exact"/>
              <w:rPr>
                <w:rFonts w:ascii="仿宋" w:hAnsi="仿宋" w:eastAsia="仿宋" w:cs="仿宋"/>
                <w:bCs/>
                <w:color w:val="auto"/>
                <w:kern w:val="0"/>
                <w:sz w:val="24"/>
                <w:szCs w:val="24"/>
              </w:rPr>
            </w:pPr>
          </w:p>
        </w:tc>
      </w:tr>
    </w:tbl>
    <w:p w14:paraId="2675C90D">
      <w:pPr>
        <w:spacing w:line="500" w:lineRule="exact"/>
        <w:ind w:firstLine="4528" w:firstLineChars="1600"/>
        <w:rPr>
          <w:rFonts w:ascii="仿宋" w:hAnsi="仿宋" w:eastAsia="仿宋" w:cs="仿宋"/>
          <w:color w:val="auto"/>
        </w:rPr>
      </w:pPr>
    </w:p>
    <w:p w14:paraId="29FACA0B">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rPr>
        <w:t>（加盖公章）</w:t>
      </w:r>
    </w:p>
    <w:p w14:paraId="2A664DE3">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7033CD01">
      <w:pPr>
        <w:pStyle w:val="7"/>
        <w:rPr>
          <w:rFonts w:ascii="仿宋" w:hAnsi="仿宋" w:eastAsia="仿宋" w:cs="仿宋"/>
          <w:color w:val="auto"/>
        </w:rPr>
      </w:pPr>
    </w:p>
    <w:p w14:paraId="610E840B">
      <w:pPr>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4B92D80E">
      <w:pPr>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46280123">
      <w:pPr>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72D0ED07">
      <w:pPr>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1D520282">
      <w:pPr>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523ACCE2">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4C26E59E">
      <w:pPr>
        <w:pStyle w:val="10"/>
      </w:pPr>
    </w:p>
    <w:p w14:paraId="6A0B218E">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书面声明（格式）</w:t>
      </w:r>
    </w:p>
    <w:p w14:paraId="31E58B2F">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25ECFC2">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E793037">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3CD4A9F0">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53CBBBF">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2C65689C">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19230F0B">
      <w:pPr>
        <w:spacing w:line="500" w:lineRule="exact"/>
        <w:ind w:firstLine="4528" w:firstLineChars="1600"/>
        <w:rPr>
          <w:rFonts w:ascii="仿宋" w:hAnsi="仿宋" w:eastAsia="仿宋" w:cs="仿宋"/>
          <w:color w:val="000000"/>
        </w:rPr>
      </w:pPr>
    </w:p>
    <w:p w14:paraId="0505A6CE">
      <w:pPr>
        <w:pStyle w:val="10"/>
        <w:rPr>
          <w:color w:val="000000"/>
        </w:rPr>
      </w:pPr>
    </w:p>
    <w:p w14:paraId="1E53E07F">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2B12ABF">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5CDCB81">
      <w:pPr>
        <w:spacing w:line="500" w:lineRule="exact"/>
        <w:rPr>
          <w:rFonts w:ascii="宋体" w:hAnsi="宋体" w:eastAsia="宋体" w:cs="宋体"/>
          <w:color w:val="000000"/>
          <w:sz w:val="21"/>
          <w:szCs w:val="21"/>
        </w:rPr>
      </w:pPr>
    </w:p>
    <w:p w14:paraId="0AB3CFCE">
      <w:pPr>
        <w:spacing w:line="500" w:lineRule="exact"/>
        <w:rPr>
          <w:rFonts w:ascii="宋体" w:hAnsi="宋体" w:eastAsia="宋体" w:cs="宋体"/>
          <w:color w:val="000000"/>
          <w:sz w:val="21"/>
          <w:szCs w:val="21"/>
        </w:rPr>
      </w:pPr>
    </w:p>
    <w:p w14:paraId="30523C2F">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12DFCA64">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7D5E89CF">
      <w:pPr>
        <w:pStyle w:val="35"/>
        <w:spacing w:line="500" w:lineRule="atLeast"/>
        <w:ind w:firstLine="607"/>
        <w:jc w:val="center"/>
        <w:outlineLvl w:val="9"/>
        <w:rPr>
          <w:rFonts w:cs="Times New Roman"/>
          <w:color w:val="000000"/>
          <w:szCs w:val="30"/>
        </w:rPr>
      </w:pPr>
      <w:bookmarkStart w:id="253" w:name="_Toc19326"/>
      <w:bookmarkStart w:id="254" w:name="_Toc18044"/>
      <w:bookmarkStart w:id="255" w:name="_Toc15591"/>
      <w:bookmarkStart w:id="256" w:name="_Toc29822"/>
      <w:bookmarkStart w:id="257" w:name="_Toc9004"/>
      <w:bookmarkStart w:id="258" w:name="_Toc13312"/>
      <w:bookmarkStart w:id="259" w:name="_Toc17482"/>
      <w:bookmarkStart w:id="260" w:name="_Toc12408"/>
      <w:r>
        <w:rPr>
          <w:rFonts w:hint="eastAsia" w:cs="华文仿宋"/>
          <w:color w:val="000000"/>
          <w:szCs w:val="30"/>
        </w:rPr>
        <w:t>法定代表人授权委托书</w:t>
      </w:r>
      <w:bookmarkEnd w:id="253"/>
      <w:bookmarkEnd w:id="254"/>
      <w:bookmarkEnd w:id="255"/>
      <w:r>
        <w:rPr>
          <w:rFonts w:hint="eastAsia" w:ascii="仿宋" w:hAnsi="仿宋" w:eastAsia="仿宋" w:cs="仿宋"/>
          <w:color w:val="000000"/>
          <w:szCs w:val="30"/>
        </w:rPr>
        <w:t>（格式）</w:t>
      </w:r>
      <w:bookmarkEnd w:id="256"/>
    </w:p>
    <w:bookmarkEnd w:id="257"/>
    <w:bookmarkEnd w:id="258"/>
    <w:bookmarkEnd w:id="259"/>
    <w:bookmarkEnd w:id="260"/>
    <w:p w14:paraId="0742F669">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5B73045D">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ascii="华文仿宋" w:hAnsi="华文仿宋" w:cs="华文仿宋"/>
          <w:u w:val="single"/>
        </w:rPr>
        <w:t>被授权代表姓名</w:t>
      </w:r>
      <w:r>
        <w:rPr>
          <w:rFonts w:hint="eastAsia" w:cs="华文仿宋"/>
          <w:u w:val="single"/>
        </w:rPr>
        <w:t xml:space="preserve">） </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5224B886">
                            <w:pPr>
                              <w:pStyle w:val="14"/>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5224B886">
                      <w:pPr>
                        <w:pStyle w:val="14"/>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9D37680">
      <w:pPr>
        <w:snapToGrid w:val="0"/>
        <w:spacing w:line="500" w:lineRule="exact"/>
        <w:ind w:firstLine="566" w:firstLineChars="200"/>
        <w:rPr>
          <w:rFonts w:hint="eastAsia" w:ascii="华文仿宋" w:hAnsi="华文仿宋" w:cs="华文仿宋"/>
          <w:color w:val="000000"/>
          <w:lang w:eastAsia="zh-CN"/>
        </w:rPr>
      </w:pPr>
    </w:p>
    <w:p w14:paraId="24E169C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w:t>
      </w:r>
      <w:r>
        <w:rPr>
          <w:rFonts w:hint="eastAsia" w:ascii="华文仿宋" w:hAnsi="华文仿宋" w:cs="华文仿宋"/>
          <w:color w:val="000000"/>
          <w:u w:val="single"/>
          <w:lang w:eastAsia="zh-CN"/>
        </w:rPr>
        <w:t>__</w:t>
      </w:r>
      <w:r>
        <w:rPr>
          <w:rFonts w:hint="eastAsia" w:ascii="华文仿宋" w:hAnsi="华文仿宋" w:cs="华文仿宋"/>
          <w:color w:val="000000"/>
          <w:u w:val="single"/>
          <w:lang w:val="en-US" w:eastAsia="zh-CN"/>
        </w:rPr>
        <w:t xml:space="preserve">       </w:t>
      </w:r>
      <w:r>
        <w:rPr>
          <w:rFonts w:hint="eastAsia" w:ascii="华文仿宋" w:hAnsi="华文仿宋" w:cs="华文仿宋"/>
          <w:color w:val="000000"/>
          <w:lang w:eastAsia="zh-CN"/>
        </w:rPr>
        <w:t>___</w:t>
      </w:r>
    </w:p>
    <w:p w14:paraId="526EF48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1"/>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6B3CB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737" w:hRule="atLeast"/>
          <w:jc w:val="center"/>
        </w:trPr>
        <w:tc>
          <w:tcPr>
            <w:tcW w:w="4072" w:type="dxa"/>
            <w:vAlign w:val="center"/>
          </w:tcPr>
          <w:p w14:paraId="04F873B9">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76F956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68081C2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23E5713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4ECE36C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41540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7D91D5D2">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2F3B222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2AE5367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556B2AC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2774C27">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216BA4A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3B779CCD">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37C759B7">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054584A0">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7207030D">
      <w:pPr>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4B7E292E">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599DA868">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59CB0CE1">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75DD8DA1">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76A7B999">
      <w:pPr>
        <w:tabs>
          <w:tab w:val="left" w:pos="210"/>
        </w:tabs>
        <w:spacing w:line="320" w:lineRule="exact"/>
        <w:jc w:val="center"/>
        <w:rPr>
          <w:rFonts w:hint="eastAsia" w:ascii="宋体" w:hAnsi="宋体" w:cs="Arial"/>
          <w:b/>
          <w:color w:val="000000"/>
          <w:kern w:val="0"/>
          <w:sz w:val="32"/>
          <w:szCs w:val="32"/>
        </w:rPr>
      </w:pPr>
    </w:p>
    <w:tbl>
      <w:tblPr>
        <w:tblStyle w:val="21"/>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55BBB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6C647279">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7582C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14FD2E1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17F70C7D">
            <w:pPr>
              <w:tabs>
                <w:tab w:val="left" w:pos="210"/>
              </w:tabs>
              <w:spacing w:line="320" w:lineRule="exact"/>
              <w:jc w:val="center"/>
              <w:rPr>
                <w:rFonts w:hint="eastAsia" w:ascii="宋体" w:hAnsi="宋体" w:cs="Arial"/>
                <w:color w:val="000000"/>
                <w:kern w:val="0"/>
                <w:sz w:val="24"/>
              </w:rPr>
            </w:pPr>
          </w:p>
          <w:p w14:paraId="3A67B3A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470D5E34">
            <w:pPr>
              <w:tabs>
                <w:tab w:val="left" w:pos="210"/>
              </w:tabs>
              <w:spacing w:line="320" w:lineRule="exact"/>
              <w:jc w:val="center"/>
              <w:rPr>
                <w:rFonts w:hint="eastAsia" w:ascii="宋体" w:hAnsi="宋体" w:cs="Arial"/>
                <w:color w:val="000000"/>
                <w:kern w:val="0"/>
                <w:sz w:val="24"/>
              </w:rPr>
            </w:pPr>
          </w:p>
          <w:p w14:paraId="6C9D941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384D3C91">
            <w:pPr>
              <w:tabs>
                <w:tab w:val="left" w:pos="210"/>
              </w:tabs>
              <w:spacing w:line="320" w:lineRule="exact"/>
              <w:jc w:val="center"/>
              <w:rPr>
                <w:rFonts w:hint="eastAsia" w:ascii="宋体" w:hAnsi="宋体" w:cs="Arial"/>
                <w:color w:val="000000"/>
                <w:kern w:val="0"/>
                <w:sz w:val="24"/>
              </w:rPr>
            </w:pPr>
          </w:p>
          <w:p w14:paraId="3599A4DD">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2E0744A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578827FE">
            <w:pPr>
              <w:tabs>
                <w:tab w:val="left" w:pos="210"/>
              </w:tabs>
              <w:spacing w:line="320" w:lineRule="exact"/>
              <w:jc w:val="center"/>
              <w:rPr>
                <w:rFonts w:ascii="宋体" w:hAnsi="宋体" w:cs="Arial"/>
                <w:color w:val="000000"/>
                <w:kern w:val="0"/>
                <w:sz w:val="24"/>
              </w:rPr>
            </w:pPr>
          </w:p>
        </w:tc>
      </w:tr>
      <w:tr w14:paraId="372B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737F1E64">
            <w:pPr>
              <w:tabs>
                <w:tab w:val="left" w:pos="210"/>
              </w:tabs>
              <w:spacing w:line="320" w:lineRule="exact"/>
              <w:jc w:val="center"/>
              <w:rPr>
                <w:rFonts w:ascii="宋体" w:hAnsi="宋体" w:cs="Arial"/>
                <w:color w:val="000000"/>
                <w:kern w:val="0"/>
                <w:sz w:val="24"/>
              </w:rPr>
            </w:pPr>
          </w:p>
        </w:tc>
        <w:tc>
          <w:tcPr>
            <w:tcW w:w="2160" w:type="dxa"/>
            <w:noWrap w:val="0"/>
            <w:vAlign w:val="center"/>
          </w:tcPr>
          <w:p w14:paraId="5F837E7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0DC3735F">
            <w:pPr>
              <w:tabs>
                <w:tab w:val="left" w:pos="210"/>
              </w:tabs>
              <w:spacing w:line="320" w:lineRule="exact"/>
              <w:jc w:val="center"/>
              <w:rPr>
                <w:rFonts w:ascii="宋体" w:hAnsi="宋体" w:cs="Arial"/>
                <w:color w:val="000000"/>
                <w:kern w:val="0"/>
                <w:sz w:val="24"/>
              </w:rPr>
            </w:pPr>
          </w:p>
        </w:tc>
      </w:tr>
      <w:tr w14:paraId="6FA72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4D0066D9">
            <w:pPr>
              <w:tabs>
                <w:tab w:val="left" w:pos="210"/>
              </w:tabs>
              <w:spacing w:line="320" w:lineRule="exact"/>
              <w:jc w:val="center"/>
              <w:rPr>
                <w:rFonts w:ascii="宋体" w:hAnsi="宋体" w:cs="Arial"/>
                <w:color w:val="000000"/>
                <w:kern w:val="0"/>
                <w:sz w:val="24"/>
              </w:rPr>
            </w:pPr>
          </w:p>
        </w:tc>
        <w:tc>
          <w:tcPr>
            <w:tcW w:w="2160" w:type="dxa"/>
            <w:noWrap w:val="0"/>
            <w:vAlign w:val="center"/>
          </w:tcPr>
          <w:p w14:paraId="09E6408D">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2D43CF3">
            <w:pPr>
              <w:tabs>
                <w:tab w:val="left" w:pos="210"/>
              </w:tabs>
              <w:spacing w:line="320" w:lineRule="exact"/>
              <w:jc w:val="center"/>
              <w:rPr>
                <w:rFonts w:ascii="宋体" w:hAnsi="宋体" w:cs="Arial"/>
                <w:color w:val="000000"/>
                <w:kern w:val="0"/>
                <w:sz w:val="24"/>
              </w:rPr>
            </w:pPr>
          </w:p>
        </w:tc>
      </w:tr>
      <w:tr w14:paraId="4144C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0BE2261">
            <w:pPr>
              <w:tabs>
                <w:tab w:val="left" w:pos="210"/>
              </w:tabs>
              <w:spacing w:line="320" w:lineRule="exact"/>
              <w:jc w:val="center"/>
              <w:rPr>
                <w:rFonts w:ascii="宋体" w:hAnsi="宋体" w:cs="Arial"/>
                <w:color w:val="000000"/>
                <w:kern w:val="0"/>
                <w:sz w:val="24"/>
              </w:rPr>
            </w:pPr>
          </w:p>
        </w:tc>
        <w:tc>
          <w:tcPr>
            <w:tcW w:w="2160" w:type="dxa"/>
            <w:noWrap w:val="0"/>
            <w:vAlign w:val="center"/>
          </w:tcPr>
          <w:p w14:paraId="7EA2090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4CA8FC7D">
            <w:pPr>
              <w:tabs>
                <w:tab w:val="left" w:pos="210"/>
              </w:tabs>
              <w:spacing w:line="320" w:lineRule="exact"/>
              <w:jc w:val="center"/>
              <w:rPr>
                <w:rFonts w:ascii="宋体" w:hAnsi="宋体" w:cs="Arial"/>
                <w:color w:val="000000"/>
                <w:kern w:val="0"/>
                <w:sz w:val="24"/>
              </w:rPr>
            </w:pPr>
          </w:p>
        </w:tc>
      </w:tr>
      <w:tr w14:paraId="07475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132C3983">
            <w:pPr>
              <w:tabs>
                <w:tab w:val="left" w:pos="210"/>
              </w:tabs>
              <w:spacing w:line="320" w:lineRule="exact"/>
              <w:jc w:val="center"/>
              <w:rPr>
                <w:rFonts w:ascii="宋体" w:hAnsi="宋体" w:cs="Arial"/>
                <w:color w:val="000000"/>
                <w:kern w:val="0"/>
                <w:sz w:val="24"/>
              </w:rPr>
            </w:pPr>
          </w:p>
        </w:tc>
        <w:tc>
          <w:tcPr>
            <w:tcW w:w="2160" w:type="dxa"/>
            <w:noWrap w:val="0"/>
            <w:vAlign w:val="center"/>
          </w:tcPr>
          <w:p w14:paraId="2703197B">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0A491ECF">
            <w:pPr>
              <w:tabs>
                <w:tab w:val="left" w:pos="210"/>
              </w:tabs>
              <w:spacing w:line="320" w:lineRule="exact"/>
              <w:rPr>
                <w:rFonts w:hint="eastAsia" w:ascii="宋体" w:hAnsi="宋体" w:cs="Arial"/>
                <w:color w:val="000000"/>
                <w:kern w:val="0"/>
                <w:sz w:val="24"/>
              </w:rPr>
            </w:pPr>
          </w:p>
        </w:tc>
      </w:tr>
      <w:tr w14:paraId="2AFEE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59FB4353">
            <w:pPr>
              <w:tabs>
                <w:tab w:val="left" w:pos="210"/>
              </w:tabs>
              <w:spacing w:line="320" w:lineRule="exact"/>
              <w:jc w:val="center"/>
              <w:rPr>
                <w:rFonts w:ascii="宋体" w:hAnsi="宋体" w:cs="Arial"/>
                <w:color w:val="000000"/>
                <w:kern w:val="0"/>
                <w:sz w:val="24"/>
              </w:rPr>
            </w:pPr>
          </w:p>
        </w:tc>
        <w:tc>
          <w:tcPr>
            <w:tcW w:w="2160" w:type="dxa"/>
            <w:noWrap w:val="0"/>
            <w:vAlign w:val="center"/>
          </w:tcPr>
          <w:p w14:paraId="278779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3C2FC66D">
            <w:pPr>
              <w:tabs>
                <w:tab w:val="left" w:pos="210"/>
              </w:tabs>
              <w:spacing w:line="320" w:lineRule="exact"/>
              <w:jc w:val="center"/>
              <w:rPr>
                <w:rFonts w:ascii="宋体" w:hAnsi="宋体" w:cs="Arial"/>
                <w:color w:val="000000"/>
                <w:kern w:val="0"/>
                <w:sz w:val="24"/>
              </w:rPr>
            </w:pPr>
          </w:p>
        </w:tc>
      </w:tr>
      <w:tr w14:paraId="115E8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7A7C9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562E134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1FC4F46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12776CB7">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6C5D0869">
            <w:pPr>
              <w:tabs>
                <w:tab w:val="left" w:pos="210"/>
              </w:tabs>
              <w:spacing w:line="320" w:lineRule="exact"/>
              <w:jc w:val="center"/>
              <w:rPr>
                <w:rFonts w:ascii="宋体" w:hAnsi="宋体" w:cs="Arial"/>
                <w:color w:val="000000"/>
                <w:kern w:val="0"/>
                <w:sz w:val="24"/>
              </w:rPr>
            </w:pPr>
          </w:p>
        </w:tc>
      </w:tr>
      <w:tr w14:paraId="5F196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6AED670">
            <w:pPr>
              <w:tabs>
                <w:tab w:val="left" w:pos="210"/>
              </w:tabs>
              <w:spacing w:line="320" w:lineRule="exact"/>
              <w:jc w:val="center"/>
              <w:rPr>
                <w:rFonts w:ascii="宋体" w:hAnsi="宋体" w:cs="Arial"/>
                <w:color w:val="000000"/>
                <w:kern w:val="0"/>
                <w:sz w:val="24"/>
              </w:rPr>
            </w:pPr>
          </w:p>
        </w:tc>
        <w:tc>
          <w:tcPr>
            <w:tcW w:w="2160" w:type="dxa"/>
            <w:noWrap w:val="0"/>
            <w:vAlign w:val="center"/>
          </w:tcPr>
          <w:p w14:paraId="560FE89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42936274">
            <w:pPr>
              <w:tabs>
                <w:tab w:val="left" w:pos="210"/>
              </w:tabs>
              <w:spacing w:line="320" w:lineRule="exact"/>
              <w:jc w:val="center"/>
              <w:rPr>
                <w:rFonts w:ascii="宋体" w:hAnsi="宋体" w:cs="Arial"/>
                <w:color w:val="000000"/>
                <w:kern w:val="0"/>
                <w:sz w:val="24"/>
              </w:rPr>
            </w:pPr>
          </w:p>
        </w:tc>
        <w:tc>
          <w:tcPr>
            <w:tcW w:w="2156" w:type="dxa"/>
            <w:noWrap w:val="0"/>
            <w:vAlign w:val="center"/>
          </w:tcPr>
          <w:p w14:paraId="579B459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4100189B">
            <w:pPr>
              <w:tabs>
                <w:tab w:val="left" w:pos="210"/>
              </w:tabs>
              <w:spacing w:line="320" w:lineRule="exact"/>
              <w:jc w:val="center"/>
              <w:rPr>
                <w:rFonts w:ascii="宋体" w:hAnsi="宋体" w:cs="Arial"/>
                <w:color w:val="000000"/>
                <w:kern w:val="0"/>
                <w:sz w:val="24"/>
              </w:rPr>
            </w:pPr>
          </w:p>
        </w:tc>
      </w:tr>
      <w:tr w14:paraId="2F49D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3103CC06">
            <w:pPr>
              <w:tabs>
                <w:tab w:val="left" w:pos="210"/>
              </w:tabs>
              <w:spacing w:line="320" w:lineRule="exact"/>
              <w:jc w:val="center"/>
              <w:rPr>
                <w:rFonts w:ascii="宋体" w:hAnsi="宋体" w:cs="Arial"/>
                <w:color w:val="000000"/>
                <w:kern w:val="0"/>
                <w:sz w:val="24"/>
              </w:rPr>
            </w:pPr>
          </w:p>
        </w:tc>
        <w:tc>
          <w:tcPr>
            <w:tcW w:w="2160" w:type="dxa"/>
            <w:noWrap w:val="0"/>
            <w:vAlign w:val="center"/>
          </w:tcPr>
          <w:p w14:paraId="5F3EFF7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3A4765E1">
            <w:pPr>
              <w:tabs>
                <w:tab w:val="left" w:pos="210"/>
              </w:tabs>
              <w:spacing w:line="320" w:lineRule="exact"/>
              <w:jc w:val="center"/>
              <w:rPr>
                <w:rFonts w:ascii="宋体" w:hAnsi="宋体" w:cs="Arial"/>
                <w:color w:val="000000"/>
                <w:kern w:val="0"/>
                <w:sz w:val="24"/>
              </w:rPr>
            </w:pPr>
          </w:p>
        </w:tc>
      </w:tr>
      <w:tr w14:paraId="17360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20561185">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5D2F2E6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（粘贴处）</w:t>
            </w:r>
          </w:p>
        </w:tc>
        <w:tc>
          <w:tcPr>
            <w:tcW w:w="4500" w:type="dxa"/>
            <w:gridSpan w:val="3"/>
            <w:noWrap w:val="0"/>
            <w:vAlign w:val="center"/>
          </w:tcPr>
          <w:p w14:paraId="20A6788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79787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69AD87F9">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1AD8C26C">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CAA9DA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（公章）</w:t>
            </w:r>
          </w:p>
          <w:p w14:paraId="42F7BC89">
            <w:pPr>
              <w:tabs>
                <w:tab w:val="left" w:pos="210"/>
              </w:tabs>
              <w:spacing w:line="320" w:lineRule="exact"/>
              <w:jc w:val="center"/>
              <w:rPr>
                <w:rFonts w:hint="eastAsia" w:ascii="宋体" w:hAnsi="宋体" w:cs="Arial"/>
                <w:color w:val="000000"/>
                <w:kern w:val="0"/>
                <w:sz w:val="24"/>
              </w:rPr>
            </w:pPr>
          </w:p>
          <w:p w14:paraId="37496BD7">
            <w:pPr>
              <w:tabs>
                <w:tab w:val="left" w:pos="210"/>
              </w:tabs>
              <w:spacing w:line="320" w:lineRule="exact"/>
              <w:jc w:val="center"/>
              <w:rPr>
                <w:rFonts w:hint="eastAsia" w:ascii="宋体" w:hAnsi="宋体" w:cs="Arial"/>
                <w:color w:val="000000"/>
                <w:kern w:val="0"/>
                <w:sz w:val="24"/>
              </w:rPr>
            </w:pPr>
          </w:p>
          <w:p w14:paraId="37F41991">
            <w:pPr>
              <w:tabs>
                <w:tab w:val="left" w:pos="210"/>
              </w:tabs>
              <w:spacing w:line="320" w:lineRule="exact"/>
              <w:jc w:val="center"/>
              <w:rPr>
                <w:rFonts w:hint="eastAsia" w:ascii="宋体" w:hAnsi="宋体" w:cs="Arial"/>
                <w:color w:val="000000"/>
                <w:kern w:val="0"/>
                <w:sz w:val="24"/>
              </w:rPr>
            </w:pPr>
          </w:p>
          <w:p w14:paraId="122A92BB">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074CDF0B">
      <w:pPr>
        <w:tabs>
          <w:tab w:val="left" w:pos="210"/>
        </w:tabs>
        <w:spacing w:line="320" w:lineRule="exact"/>
        <w:jc w:val="center"/>
        <w:rPr>
          <w:rFonts w:ascii="宋体" w:hAnsi="宋体" w:cs="Arial"/>
          <w:b/>
          <w:color w:val="000000"/>
          <w:kern w:val="0"/>
          <w:sz w:val="32"/>
          <w:szCs w:val="32"/>
        </w:rPr>
      </w:pPr>
    </w:p>
    <w:p w14:paraId="6C589D69">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3CE5BB20">
      <w:pPr>
        <w:spacing w:line="500" w:lineRule="exact"/>
        <w:ind w:firstLine="566" w:firstLineChars="200"/>
        <w:rPr>
          <w:rFonts w:ascii="华文仿宋" w:hAnsi="华文仿宋" w:cs="华文仿宋"/>
          <w:color w:val="000000"/>
        </w:rPr>
      </w:pPr>
    </w:p>
    <w:p w14:paraId="5B552C4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非联合体不分包投标声明（格式）</w:t>
      </w:r>
    </w:p>
    <w:p w14:paraId="4AACB4B8">
      <w:pPr>
        <w:spacing w:line="500" w:lineRule="exact"/>
        <w:ind w:firstLine="566" w:firstLineChars="200"/>
        <w:rPr>
          <w:rFonts w:ascii="华文仿宋" w:hAnsi="华文仿宋" w:cs="华文仿宋"/>
          <w:color w:val="000000"/>
        </w:rPr>
      </w:pPr>
    </w:p>
    <w:p w14:paraId="1246753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487755AA">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47EE9ADA">
      <w:pPr>
        <w:spacing w:line="500" w:lineRule="exact"/>
        <w:ind w:firstLine="566" w:firstLineChars="200"/>
        <w:jc w:val="left"/>
        <w:rPr>
          <w:rFonts w:ascii="华文仿宋" w:hAnsi="华文仿宋" w:cs="华文仿宋"/>
          <w:color w:val="000000"/>
        </w:rPr>
      </w:pPr>
    </w:p>
    <w:p w14:paraId="5E907812">
      <w:pPr>
        <w:spacing w:line="500" w:lineRule="exact"/>
        <w:ind w:firstLine="566" w:firstLineChars="200"/>
        <w:jc w:val="left"/>
        <w:rPr>
          <w:rFonts w:ascii="华文仿宋" w:hAnsi="华文仿宋" w:cs="华文仿宋"/>
          <w:color w:val="000000"/>
        </w:rPr>
      </w:pPr>
    </w:p>
    <w:p w14:paraId="45247B44">
      <w:pPr>
        <w:pStyle w:val="7"/>
        <w:rPr>
          <w:rFonts w:ascii="华文仿宋" w:hAnsi="华文仿宋" w:cs="华文仿宋"/>
          <w:color w:val="000000"/>
        </w:rPr>
      </w:pPr>
    </w:p>
    <w:p w14:paraId="6DF1A13D">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rPr>
        <w:t>（加盖公章）</w:t>
      </w:r>
    </w:p>
    <w:p w14:paraId="320A2A54">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67BA3D14">
      <w:pPr>
        <w:tabs>
          <w:tab w:val="left" w:pos="5670"/>
        </w:tabs>
        <w:spacing w:line="500" w:lineRule="exact"/>
        <w:ind w:firstLine="566" w:firstLineChars="200"/>
        <w:jc w:val="left"/>
        <w:rPr>
          <w:color w:val="000000"/>
        </w:rPr>
      </w:pPr>
    </w:p>
    <w:p w14:paraId="7AF13E08">
      <w:pPr>
        <w:spacing w:line="500" w:lineRule="exact"/>
        <w:ind w:firstLine="566" w:firstLineChars="200"/>
        <w:rPr>
          <w:color w:val="000000"/>
        </w:rPr>
      </w:pPr>
    </w:p>
    <w:p w14:paraId="61F98EFD">
      <w:pPr>
        <w:tabs>
          <w:tab w:val="left" w:pos="5670"/>
        </w:tabs>
        <w:spacing w:line="240" w:lineRule="auto"/>
        <w:ind w:firstLine="566"/>
        <w:jc w:val="left"/>
        <w:rPr>
          <w:rFonts w:hint="eastAsia"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7B6837A6">
      <w:pPr>
        <w:pStyle w:val="13"/>
        <w:rPr>
          <w:rFonts w:hint="eastAsia" w:ascii="宋体" w:hAnsi="宋体" w:eastAsia="宋体" w:cs="宋体"/>
          <w:color w:val="000000"/>
          <w:sz w:val="21"/>
          <w:szCs w:val="21"/>
        </w:rPr>
      </w:pPr>
    </w:p>
    <w:p w14:paraId="5C72B268">
      <w:pPr>
        <w:pStyle w:val="13"/>
        <w:rPr>
          <w:rFonts w:hint="eastAsia" w:ascii="宋体" w:hAnsi="宋体" w:eastAsia="宋体" w:cs="宋体"/>
          <w:color w:val="000000"/>
          <w:sz w:val="21"/>
          <w:szCs w:val="21"/>
        </w:rPr>
      </w:pPr>
    </w:p>
    <w:p w14:paraId="6A1E1BCC">
      <w:pPr>
        <w:pStyle w:val="13"/>
        <w:rPr>
          <w:rFonts w:hint="eastAsia" w:ascii="宋体" w:hAnsi="宋体" w:eastAsia="宋体" w:cs="宋体"/>
          <w:color w:val="000000"/>
          <w:sz w:val="21"/>
          <w:szCs w:val="21"/>
        </w:rPr>
      </w:pPr>
    </w:p>
    <w:p w14:paraId="7AB181D2">
      <w:pPr>
        <w:pStyle w:val="13"/>
        <w:rPr>
          <w:rFonts w:hint="eastAsia" w:ascii="宋体" w:hAnsi="宋体" w:eastAsia="宋体" w:cs="宋体"/>
          <w:color w:val="000000"/>
          <w:sz w:val="21"/>
          <w:szCs w:val="21"/>
        </w:rPr>
      </w:pPr>
    </w:p>
    <w:p w14:paraId="268E977F">
      <w:pPr>
        <w:pStyle w:val="13"/>
        <w:rPr>
          <w:rFonts w:hint="eastAsia" w:ascii="宋体" w:hAnsi="宋体" w:eastAsia="宋体" w:cs="宋体"/>
          <w:color w:val="000000"/>
          <w:sz w:val="21"/>
          <w:szCs w:val="21"/>
        </w:rPr>
      </w:pPr>
    </w:p>
    <w:p w14:paraId="51CFE323">
      <w:pPr>
        <w:pStyle w:val="13"/>
        <w:ind w:firstLine="566" w:firstLineChars="200"/>
        <w:rPr>
          <w:rFonts w:hint="eastAsia" w:ascii="华文仿宋" w:hAnsi="华文仿宋" w:eastAsia="华文仿宋" w:cs="华文仿宋"/>
          <w:b w:val="0"/>
          <w:bCs w:val="0"/>
          <w:color w:val="000000"/>
          <w:kern w:val="2"/>
          <w:sz w:val="28"/>
          <w:szCs w:val="28"/>
          <w:lang w:val="en-US" w:eastAsia="zh-CN" w:bidi="ar-SA"/>
        </w:rPr>
      </w:pPr>
      <w:r>
        <w:rPr>
          <w:rFonts w:hint="eastAsia" w:ascii="华文仿宋" w:hAnsi="华文仿宋" w:eastAsia="华文仿宋" w:cs="华文仿宋"/>
          <w:b/>
          <w:bCs/>
          <w:color w:val="000000"/>
          <w:kern w:val="2"/>
          <w:sz w:val="28"/>
          <w:szCs w:val="28"/>
          <w:lang w:val="en-US" w:eastAsia="zh-CN" w:bidi="ar-SA"/>
        </w:rPr>
        <w:t>八、特定资格要求：</w:t>
      </w:r>
      <w:r>
        <w:rPr>
          <w:rFonts w:hint="eastAsia" w:ascii="华文仿宋" w:hAnsi="华文仿宋" w:eastAsia="华文仿宋" w:cs="华文仿宋"/>
          <w:b w:val="0"/>
          <w:bCs w:val="0"/>
          <w:color w:val="000000"/>
          <w:kern w:val="2"/>
          <w:sz w:val="28"/>
          <w:szCs w:val="28"/>
          <w:lang w:val="en-US" w:eastAsia="zh-CN" w:bidi="ar-SA"/>
        </w:rPr>
        <w:t>投标人须具备有效期内《中华人民共和国特种设备生产许可证》，许可范围包含电梯修理。拟派项目负责人、技术负责人须持有有效的《特种设备安全管理和作业人员证》（电梯修理T证或特种设备安全管理A证），持证上岗。</w:t>
      </w:r>
    </w:p>
    <w:p w14:paraId="4F6007E0">
      <w:pPr>
        <w:pStyle w:val="13"/>
        <w:rPr>
          <w:rFonts w:hint="eastAsia" w:ascii="宋体" w:hAnsi="宋体" w:eastAsia="宋体" w:cs="宋体"/>
          <w:color w:val="000000"/>
          <w:sz w:val="21"/>
          <w:szCs w:val="21"/>
        </w:rPr>
      </w:pPr>
    </w:p>
    <w:p w14:paraId="18EDBA9F">
      <w:pPr>
        <w:pStyle w:val="20"/>
        <w:numPr>
          <w:ilvl w:val="0"/>
          <w:numId w:val="0"/>
        </w:numPr>
        <w:spacing w:line="240" w:lineRule="auto"/>
        <w:jc w:val="both"/>
        <w:rPr>
          <w:rFonts w:hint="eastAsia"/>
          <w:lang w:val="en-US" w:eastAsia="zh-CN"/>
        </w:rPr>
      </w:pPr>
    </w:p>
    <w:p w14:paraId="3FBE8726">
      <w:pPr>
        <w:rPr>
          <w:rFonts w:hint="eastAsia"/>
          <w:lang w:val="en-US" w:eastAsia="zh-CN"/>
        </w:rPr>
      </w:pPr>
    </w:p>
    <w:p w14:paraId="55C89F92">
      <w:pPr>
        <w:pStyle w:val="26"/>
        <w:rPr>
          <w:rFonts w:hint="eastAsia"/>
          <w:lang w:val="en-US" w:eastAsia="zh-CN"/>
        </w:rPr>
      </w:pPr>
    </w:p>
    <w:p w14:paraId="39E518EC">
      <w:pPr>
        <w:rPr>
          <w:rFonts w:hint="eastAsia"/>
          <w:lang w:val="en-US" w:eastAsia="zh-CN"/>
        </w:rPr>
      </w:pPr>
    </w:p>
    <w:p w14:paraId="632E97E4">
      <w:pPr>
        <w:pStyle w:val="13"/>
        <w:rPr>
          <w:rFonts w:hint="eastAsia"/>
          <w:lang w:val="en-US" w:eastAsia="zh-CN"/>
        </w:rPr>
      </w:pPr>
    </w:p>
    <w:p w14:paraId="06B52A58">
      <w:pPr>
        <w:pStyle w:val="13"/>
        <w:rPr>
          <w:rFonts w:hint="eastAsia"/>
          <w:lang w:val="en-US" w:eastAsia="zh-CN"/>
        </w:rPr>
      </w:pPr>
    </w:p>
    <w:p w14:paraId="59D6903F">
      <w:pPr>
        <w:pStyle w:val="13"/>
        <w:rPr>
          <w:rFonts w:hint="eastAsia"/>
          <w:lang w:val="en-US" w:eastAsia="zh-CN"/>
        </w:rPr>
      </w:pPr>
    </w:p>
    <w:p w14:paraId="7C31AAD4">
      <w:pPr>
        <w:pStyle w:val="13"/>
        <w:rPr>
          <w:rFonts w:hint="eastAsia"/>
          <w:lang w:val="en-US" w:eastAsia="zh-CN"/>
        </w:rPr>
      </w:pPr>
    </w:p>
    <w:p w14:paraId="38BE2E12">
      <w:pPr>
        <w:pStyle w:val="13"/>
        <w:rPr>
          <w:rFonts w:hint="eastAsia"/>
          <w:lang w:val="en-US" w:eastAsia="zh-CN"/>
        </w:rPr>
      </w:pPr>
    </w:p>
    <w:p w14:paraId="5DC3814B">
      <w:pPr>
        <w:pStyle w:val="33"/>
        <w:ind w:firstLine="0" w:firstLineChars="0"/>
        <w:rPr>
          <w:rFonts w:ascii="黑体" w:hAnsi="黑体" w:eastAsia="黑体"/>
          <w:b w:val="0"/>
          <w:color w:val="000000"/>
        </w:rPr>
      </w:pPr>
      <w:bookmarkStart w:id="261" w:name="_Toc16881"/>
      <w:bookmarkStart w:id="262" w:name="_Toc29074"/>
      <w:bookmarkStart w:id="263" w:name="_Toc28770"/>
      <w:r>
        <w:rPr>
          <w:rFonts w:hint="eastAsia" w:ascii="黑体" w:hAnsi="黑体" w:eastAsia="黑体"/>
          <w:b w:val="0"/>
          <w:color w:val="000000"/>
        </w:rPr>
        <w:t>第二部分  符合性证明文件</w:t>
      </w:r>
      <w:bookmarkEnd w:id="261"/>
      <w:bookmarkEnd w:id="262"/>
      <w:bookmarkEnd w:id="263"/>
    </w:p>
    <w:p w14:paraId="3C4DBE90">
      <w:pPr>
        <w:pStyle w:val="33"/>
        <w:ind w:firstLine="609"/>
        <w:jc w:val="both"/>
        <w:outlineLvl w:val="2"/>
        <w:rPr>
          <w:rFonts w:ascii="仿宋" w:hAnsi="仿宋" w:eastAsia="仿宋" w:cs="仿宋"/>
          <w:bCs w:val="0"/>
          <w:color w:val="000000"/>
        </w:rPr>
      </w:pPr>
      <w:bookmarkStart w:id="264" w:name="_Toc2230"/>
      <w:bookmarkStart w:id="265" w:name="_Toc19195"/>
      <w:bookmarkStart w:id="266" w:name="_Toc14262"/>
      <w:bookmarkStart w:id="267" w:name="_Toc19788"/>
      <w:r>
        <w:rPr>
          <w:rFonts w:hint="eastAsia" w:ascii="仿宋" w:hAnsi="仿宋" w:eastAsia="仿宋" w:cs="仿宋"/>
          <w:bCs w:val="0"/>
          <w:color w:val="000000"/>
        </w:rPr>
        <w:t>一、响应函格式</w:t>
      </w:r>
      <w:bookmarkEnd w:id="264"/>
      <w:bookmarkEnd w:id="265"/>
      <w:bookmarkEnd w:id="266"/>
      <w:bookmarkEnd w:id="267"/>
    </w:p>
    <w:p w14:paraId="4C80E213">
      <w:pPr>
        <w:pStyle w:val="29"/>
        <w:ind w:firstLine="0" w:firstLineChars="0"/>
        <w:jc w:val="center"/>
        <w:rPr>
          <w:rFonts w:ascii="黑体" w:hAnsi="黑体" w:eastAsia="黑体" w:cs="黑体"/>
          <w:color w:val="000000"/>
          <w:sz w:val="32"/>
          <w:szCs w:val="32"/>
        </w:rPr>
      </w:pPr>
      <w:bookmarkStart w:id="268" w:name="_Toc23334"/>
      <w:bookmarkStart w:id="269" w:name="_Toc22777"/>
      <w:bookmarkStart w:id="270" w:name="_Toc10617"/>
      <w:r>
        <w:rPr>
          <w:rFonts w:hint="eastAsia" w:ascii="黑体" w:hAnsi="黑体" w:eastAsia="黑体" w:cs="黑体"/>
          <w:color w:val="000000"/>
          <w:sz w:val="32"/>
          <w:szCs w:val="32"/>
        </w:rPr>
        <w:t>响应函</w:t>
      </w:r>
      <w:bookmarkEnd w:id="268"/>
      <w:bookmarkEnd w:id="269"/>
      <w:bookmarkEnd w:id="270"/>
    </w:p>
    <w:p w14:paraId="4C8A9316">
      <w:pPr>
        <w:pStyle w:val="29"/>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18FCECD1">
      <w:pPr>
        <w:pStyle w:val="29"/>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63621227">
      <w:pPr>
        <w:pStyle w:val="29"/>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0817AF28">
      <w:pPr>
        <w:pStyle w:val="29"/>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的修改、澄清”）上发布的关于本项目的有关变更公告（包括但不限于对</w:t>
      </w:r>
      <w:r>
        <w:rPr>
          <w:rFonts w:hint="eastAsia" w:ascii="华文仿宋" w:hAnsi="华文仿宋" w:cs="华文仿宋"/>
          <w:color w:val="000000"/>
          <w:lang w:eastAsia="zh-CN"/>
        </w:rPr>
        <w:t>电子磋商文件</w:t>
      </w:r>
      <w:r>
        <w:rPr>
          <w:rFonts w:hint="eastAsia" w:ascii="华文仿宋" w:hAnsi="华文仿宋" w:cs="华文仿宋"/>
          <w:color w:val="000000"/>
        </w:rPr>
        <w:t>做出的修改或澄清、答疑纪要，以及项目暂停、重启、延期、终止等）。</w:t>
      </w:r>
    </w:p>
    <w:p w14:paraId="33A35386">
      <w:pPr>
        <w:pStyle w:val="29"/>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649F3119">
      <w:pPr>
        <w:pStyle w:val="29"/>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4FDF7554">
      <w:pPr>
        <w:pStyle w:val="29"/>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7221E439">
      <w:pPr>
        <w:pStyle w:val="29"/>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69FD9043">
      <w:pPr>
        <w:pStyle w:val="29"/>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5523D811">
      <w:pPr>
        <w:pStyle w:val="29"/>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6AD453ED">
      <w:pPr>
        <w:pStyle w:val="29"/>
        <w:spacing w:line="500" w:lineRule="exact"/>
        <w:ind w:firstLine="567"/>
        <w:rPr>
          <w:rFonts w:ascii="华文仿宋" w:hAnsi="华文仿宋" w:cs="华文仿宋"/>
          <w:color w:val="000000"/>
        </w:rPr>
      </w:pPr>
    </w:p>
    <w:p w14:paraId="1A59972A">
      <w:pPr>
        <w:pStyle w:val="29"/>
        <w:spacing w:line="500" w:lineRule="exact"/>
        <w:ind w:firstLine="567"/>
        <w:rPr>
          <w:rFonts w:ascii="华文仿宋" w:hAnsi="华文仿宋" w:cs="华文仿宋"/>
          <w:color w:val="000000"/>
        </w:rPr>
      </w:pPr>
      <w:r>
        <w:rPr>
          <w:rFonts w:hint="eastAsia" w:ascii="华文仿宋" w:hAnsi="华文仿宋" w:cs="华文仿宋"/>
          <w:color w:val="000000"/>
        </w:rPr>
        <w:t>供应商：名称（加盖公章）</w:t>
      </w:r>
    </w:p>
    <w:p w14:paraId="46DBE68B">
      <w:pPr>
        <w:pStyle w:val="29"/>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4A6F5A35">
      <w:pPr>
        <w:pStyle w:val="29"/>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1C625490">
      <w:pPr>
        <w:pStyle w:val="29"/>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45162EDA">
      <w:pPr>
        <w:pStyle w:val="29"/>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28071469">
      <w:pPr>
        <w:pStyle w:val="29"/>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636E049E">
      <w:pPr>
        <w:pStyle w:val="29"/>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4DD51909">
      <w:pPr>
        <w:pStyle w:val="29"/>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3B4DE9AE">
      <w:pPr>
        <w:pStyle w:val="29"/>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069FF47A">
      <w:pPr>
        <w:pStyle w:val="29"/>
        <w:ind w:firstLine="0" w:firstLineChars="0"/>
        <w:rPr>
          <w:rFonts w:ascii="华文仿宋" w:hAnsi="华文仿宋" w:cs="华文仿宋"/>
          <w:color w:val="000000"/>
          <w:sz w:val="36"/>
        </w:rPr>
      </w:pPr>
    </w:p>
    <w:p w14:paraId="3E461B3D">
      <w:pPr>
        <w:pStyle w:val="29"/>
        <w:ind w:firstLine="0" w:firstLineChars="0"/>
        <w:rPr>
          <w:color w:val="000000"/>
          <w:sz w:val="36"/>
        </w:rPr>
      </w:pPr>
    </w:p>
    <w:p w14:paraId="0F034EA7">
      <w:pPr>
        <w:pStyle w:val="29"/>
        <w:ind w:firstLine="0" w:firstLineChars="0"/>
        <w:rPr>
          <w:color w:val="000000"/>
          <w:sz w:val="24"/>
          <w:szCs w:val="24"/>
        </w:rPr>
      </w:pPr>
    </w:p>
    <w:p w14:paraId="6C404C54">
      <w:pPr>
        <w:pStyle w:val="29"/>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657440FB">
      <w:pPr>
        <w:pStyle w:val="29"/>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436ABC77">
      <w:pPr>
        <w:pStyle w:val="33"/>
        <w:ind w:firstLine="609"/>
        <w:jc w:val="both"/>
        <w:outlineLvl w:val="9"/>
        <w:rPr>
          <w:rFonts w:ascii="仿宋" w:hAnsi="仿宋" w:eastAsia="仿宋" w:cs="仿宋"/>
          <w:bCs w:val="0"/>
          <w:color w:val="000000"/>
        </w:rPr>
      </w:pPr>
      <w:bookmarkStart w:id="271" w:name="_Toc24876"/>
      <w:bookmarkStart w:id="272" w:name="_Toc6921"/>
      <w:bookmarkStart w:id="273" w:name="_Toc23660"/>
    </w:p>
    <w:p w14:paraId="3784259C">
      <w:pPr>
        <w:pStyle w:val="33"/>
        <w:ind w:firstLine="609"/>
        <w:jc w:val="both"/>
        <w:outlineLvl w:val="9"/>
        <w:rPr>
          <w:rFonts w:ascii="仿宋" w:hAnsi="仿宋" w:eastAsia="仿宋" w:cs="仿宋"/>
          <w:bCs w:val="0"/>
          <w:color w:val="000000"/>
        </w:rPr>
      </w:pPr>
    </w:p>
    <w:p w14:paraId="561F4264">
      <w:pPr>
        <w:pStyle w:val="33"/>
        <w:ind w:firstLine="609"/>
        <w:jc w:val="both"/>
        <w:outlineLvl w:val="9"/>
        <w:rPr>
          <w:rFonts w:ascii="仿宋" w:hAnsi="仿宋" w:eastAsia="仿宋" w:cs="仿宋"/>
          <w:bCs w:val="0"/>
          <w:color w:val="000000"/>
        </w:rPr>
      </w:pPr>
    </w:p>
    <w:p w14:paraId="209C28E4">
      <w:pPr>
        <w:pStyle w:val="33"/>
        <w:ind w:firstLine="609"/>
        <w:jc w:val="both"/>
        <w:outlineLvl w:val="9"/>
        <w:rPr>
          <w:rFonts w:ascii="仿宋" w:hAnsi="仿宋" w:eastAsia="仿宋" w:cs="仿宋"/>
          <w:bCs w:val="0"/>
          <w:color w:val="000000"/>
        </w:rPr>
      </w:pPr>
    </w:p>
    <w:p w14:paraId="5D4CAA24">
      <w:pPr>
        <w:pStyle w:val="33"/>
        <w:ind w:firstLine="609"/>
        <w:jc w:val="both"/>
        <w:outlineLvl w:val="9"/>
        <w:rPr>
          <w:rFonts w:ascii="仿宋" w:hAnsi="仿宋" w:eastAsia="仿宋" w:cs="仿宋"/>
          <w:bCs w:val="0"/>
          <w:color w:val="000000"/>
        </w:rPr>
      </w:pPr>
    </w:p>
    <w:p w14:paraId="30DEA697">
      <w:pPr>
        <w:pStyle w:val="33"/>
        <w:ind w:firstLine="609"/>
        <w:jc w:val="both"/>
        <w:outlineLvl w:val="9"/>
        <w:rPr>
          <w:rFonts w:ascii="仿宋" w:hAnsi="仿宋" w:eastAsia="仿宋" w:cs="仿宋"/>
          <w:bCs w:val="0"/>
          <w:color w:val="000000"/>
        </w:rPr>
      </w:pPr>
    </w:p>
    <w:p w14:paraId="5821FE02">
      <w:pPr>
        <w:pStyle w:val="33"/>
        <w:ind w:firstLine="609"/>
        <w:jc w:val="both"/>
        <w:outlineLvl w:val="9"/>
        <w:rPr>
          <w:rFonts w:ascii="仿宋" w:hAnsi="仿宋" w:eastAsia="仿宋" w:cs="仿宋"/>
          <w:bCs w:val="0"/>
          <w:color w:val="000000"/>
        </w:rPr>
      </w:pPr>
    </w:p>
    <w:p w14:paraId="6DBA86FB">
      <w:pPr>
        <w:pStyle w:val="33"/>
        <w:ind w:firstLine="609"/>
        <w:jc w:val="both"/>
        <w:outlineLvl w:val="9"/>
        <w:rPr>
          <w:rFonts w:ascii="仿宋" w:hAnsi="仿宋" w:eastAsia="仿宋" w:cs="仿宋"/>
          <w:bCs w:val="0"/>
          <w:color w:val="000000"/>
        </w:rPr>
      </w:pPr>
    </w:p>
    <w:bookmarkEnd w:id="271"/>
    <w:bookmarkEnd w:id="272"/>
    <w:bookmarkEnd w:id="273"/>
    <w:p w14:paraId="34CEAE08">
      <w:pPr>
        <w:spacing w:line="500" w:lineRule="exact"/>
        <w:ind w:firstLine="6460" w:firstLineChars="2000"/>
        <w:rPr>
          <w:rFonts w:ascii="宋体" w:hAnsi="宋体"/>
          <w:b/>
          <w:bCs/>
          <w:color w:val="000000"/>
          <w:sz w:val="32"/>
          <w:szCs w:val="32"/>
        </w:rPr>
      </w:pPr>
    </w:p>
    <w:p w14:paraId="4058F7D7">
      <w:pPr>
        <w:spacing w:line="500" w:lineRule="exact"/>
        <w:rPr>
          <w:rFonts w:ascii="宋体" w:hAnsi="宋体"/>
          <w:b/>
          <w:bCs/>
          <w:color w:val="000000"/>
          <w:sz w:val="32"/>
          <w:szCs w:val="32"/>
        </w:rPr>
        <w:sectPr>
          <w:footerReference r:id="rId10" w:type="first"/>
          <w:headerReference r:id="rId8" w:type="default"/>
          <w:footerReference r:id="rId9" w:type="default"/>
          <w:pgSz w:w="11906" w:h="16838"/>
          <w:pgMar w:top="1304" w:right="1417" w:bottom="1304" w:left="1417" w:header="850" w:footer="624" w:gutter="0"/>
          <w:pgBorders>
            <w:top w:val="none" w:sz="0" w:space="0"/>
            <w:left w:val="none" w:sz="0" w:space="0"/>
            <w:bottom w:val="none" w:sz="0" w:space="0"/>
            <w:right w:val="none" w:sz="0" w:space="0"/>
          </w:pgBorders>
          <w:pgNumType w:fmt="decimal" w:start="1"/>
          <w:cols w:space="720" w:num="1"/>
          <w:docGrid w:type="linesAndChars" w:linePitch="381" w:charSpace="704"/>
        </w:sectPr>
      </w:pPr>
    </w:p>
    <w:p w14:paraId="02BAB868">
      <w:pPr>
        <w:pStyle w:val="33"/>
        <w:numPr>
          <w:ilvl w:val="0"/>
          <w:numId w:val="8"/>
        </w:numPr>
        <w:ind w:firstLine="609"/>
        <w:jc w:val="both"/>
        <w:outlineLvl w:val="2"/>
        <w:rPr>
          <w:rFonts w:hint="eastAsia" w:eastAsia="华文仿宋"/>
          <w:b/>
          <w:bCs/>
          <w:color w:val="000000"/>
          <w:sz w:val="30"/>
          <w:szCs w:val="30"/>
          <w:lang w:eastAsia="zh-CN"/>
        </w:rPr>
      </w:pPr>
      <w:bookmarkStart w:id="274" w:name="_Toc10520"/>
      <w:r>
        <w:rPr>
          <w:rFonts w:hint="eastAsia" w:ascii="仿宋" w:hAnsi="仿宋" w:eastAsia="仿宋" w:cs="仿宋"/>
          <w:color w:val="000000"/>
          <w:lang w:val="en-US" w:eastAsia="zh-CN"/>
        </w:rPr>
        <w:t>落实的政府采购政策</w:t>
      </w:r>
    </w:p>
    <w:p w14:paraId="270CD8ED">
      <w:pPr>
        <w:spacing w:line="500" w:lineRule="exact"/>
        <w:ind w:firstLine="566" w:firstLineChars="200"/>
        <w:rPr>
          <w:rFonts w:hint="eastAsia" w:ascii="Calibri Light" w:hAnsi="Calibri Light" w:eastAsia="华文仿宋" w:cs="华文仿宋"/>
          <w:b w:val="0"/>
          <w:bCs w:val="0"/>
          <w:color w:val="auto"/>
          <w:kern w:val="2"/>
          <w:sz w:val="28"/>
          <w:szCs w:val="28"/>
          <w:highlight w:val="none"/>
          <w:u w:val="single"/>
          <w:lang w:val="en-US" w:eastAsia="zh-CN" w:bidi="ar-SA"/>
        </w:rPr>
      </w:pPr>
      <w:r>
        <w:rPr>
          <w:rFonts w:hint="eastAsia"/>
          <w:color w:val="auto"/>
          <w:highlight w:val="none"/>
        </w:rPr>
        <w:t>本项目采购标的对应的中小企业划分标准所属行业为</w:t>
      </w:r>
      <w:r>
        <w:rPr>
          <w:rFonts w:hint="eastAsia" w:ascii="华文仿宋" w:hAnsi="华文仿宋" w:cs="华文仿宋"/>
          <w:b w:val="0"/>
          <w:bCs/>
          <w:color w:val="auto"/>
          <w:highlight w:val="none"/>
          <w:u w:val="single"/>
          <w:lang w:val="en-US" w:eastAsia="zh-CN"/>
        </w:rPr>
        <w:t>其他未列明行业</w:t>
      </w:r>
      <w:r>
        <w:rPr>
          <w:rFonts w:hint="eastAsia" w:cs="华文仿宋"/>
          <w:b w:val="0"/>
          <w:bCs w:val="0"/>
          <w:color w:val="auto"/>
          <w:kern w:val="2"/>
          <w:sz w:val="28"/>
          <w:szCs w:val="28"/>
          <w:highlight w:val="none"/>
          <w:u w:val="none"/>
          <w:lang w:val="en-US" w:eastAsia="zh-CN" w:bidi="ar-SA"/>
        </w:rPr>
        <w:t>。</w:t>
      </w:r>
    </w:p>
    <w:p w14:paraId="3A6AF77A">
      <w:pPr>
        <w:pStyle w:val="35"/>
        <w:spacing w:line="500" w:lineRule="exact"/>
        <w:ind w:firstLine="566" w:firstLineChars="200"/>
        <w:jc w:val="both"/>
        <w:outlineLvl w:val="9"/>
        <w:rPr>
          <w:rFonts w:cs="华文仿宋"/>
          <w:b w:val="0"/>
          <w:bCs w:val="0"/>
          <w:color w:val="auto"/>
          <w:sz w:val="28"/>
          <w:szCs w:val="28"/>
          <w:highlight w:val="none"/>
        </w:rPr>
      </w:pPr>
      <w:bookmarkStart w:id="275" w:name="_Toc10647"/>
      <w:bookmarkStart w:id="276" w:name="_Toc3414"/>
      <w:bookmarkStart w:id="277" w:name="_Toc14796"/>
      <w:bookmarkStart w:id="278" w:name="_Toc1655"/>
      <w:bookmarkStart w:id="279" w:name="_Toc13874"/>
      <w:bookmarkStart w:id="280" w:name="_Toc22967"/>
      <w:bookmarkStart w:id="281" w:name="_Toc23652"/>
      <w:bookmarkStart w:id="282" w:name="_Toc4808"/>
      <w:bookmarkStart w:id="283" w:name="_Toc14293"/>
      <w:bookmarkStart w:id="284" w:name="_Toc1257"/>
      <w:bookmarkStart w:id="285" w:name="_Toc25473"/>
      <w:bookmarkStart w:id="286" w:name="_Toc1789"/>
      <w:bookmarkStart w:id="287" w:name="_Toc26030"/>
      <w:r>
        <w:rPr>
          <w:rFonts w:hint="eastAsia" w:cs="华文仿宋"/>
          <w:b w:val="0"/>
          <w:bCs w:val="0"/>
          <w:color w:val="auto"/>
          <w:sz w:val="28"/>
          <w:szCs w:val="28"/>
          <w:highlight w:val="none"/>
          <w:lang w:val="en-US" w:eastAsia="zh-CN"/>
        </w:rPr>
        <w:t>供应商</w:t>
      </w:r>
      <w:r>
        <w:rPr>
          <w:rFonts w:hint="eastAsia" w:cs="华文仿宋"/>
          <w:b w:val="0"/>
          <w:bCs w:val="0"/>
          <w:color w:val="auto"/>
          <w:sz w:val="28"/>
          <w:szCs w:val="28"/>
          <w:highlight w:val="none"/>
        </w:rPr>
        <w:t>所投产品的制造商为中型、小型、微型企业的，提供《中小企业声明函》，且中型、小型、微型企业的划分标准所属行业为</w:t>
      </w:r>
      <w:r>
        <w:rPr>
          <w:rFonts w:hint="eastAsia" w:cs="华文仿宋"/>
          <w:b w:val="0"/>
          <w:bCs w:val="0"/>
          <w:color w:val="auto"/>
          <w:sz w:val="28"/>
          <w:szCs w:val="28"/>
          <w:highlight w:val="none"/>
          <w:u w:val="single"/>
          <w:lang w:val="en-US" w:eastAsia="zh-CN"/>
        </w:rPr>
        <w:t>其他未列明行业</w:t>
      </w:r>
      <w:r>
        <w:rPr>
          <w:rFonts w:hint="eastAsia" w:cs="华文仿宋"/>
          <w:b w:val="0"/>
          <w:bCs w:val="0"/>
          <w:color w:val="auto"/>
          <w:sz w:val="28"/>
          <w:szCs w:val="28"/>
          <w:highlight w:val="none"/>
          <w:lang w:val="en-US" w:eastAsia="zh-CN"/>
        </w:rPr>
        <w:t>；供应商</w:t>
      </w:r>
      <w:r>
        <w:rPr>
          <w:rFonts w:hint="eastAsia" w:cs="华文仿宋"/>
          <w:b w:val="0"/>
          <w:bCs w:val="0"/>
          <w:color w:val="auto"/>
          <w:sz w:val="28"/>
          <w:szCs w:val="28"/>
          <w:highlight w:val="none"/>
        </w:rPr>
        <w:t>所投产品的制造商为监狱企业的，应提供监狱企业的证明文件；</w:t>
      </w:r>
      <w:r>
        <w:rPr>
          <w:rFonts w:hint="eastAsia" w:cs="华文仿宋"/>
          <w:b w:val="0"/>
          <w:bCs w:val="0"/>
          <w:color w:val="auto"/>
          <w:sz w:val="28"/>
          <w:szCs w:val="28"/>
          <w:highlight w:val="none"/>
          <w:lang w:val="en-US" w:eastAsia="zh-CN"/>
        </w:rPr>
        <w:t>供应商</w:t>
      </w:r>
      <w:r>
        <w:rPr>
          <w:rFonts w:hint="eastAsia" w:cs="华文仿宋"/>
          <w:b w:val="0"/>
          <w:bCs w:val="0"/>
          <w:color w:val="auto"/>
          <w:sz w:val="28"/>
          <w:szCs w:val="28"/>
          <w:highlight w:val="none"/>
        </w:rPr>
        <w:t>所投产品的制造商为残疾人福利性单位的，应提供《残疾人福利性单位声明函》。未提供相关证明文件的不能享受</w:t>
      </w:r>
      <w:r>
        <w:rPr>
          <w:rFonts w:hint="eastAsia" w:cs="华文仿宋"/>
          <w:b w:val="0"/>
          <w:bCs w:val="0"/>
          <w:color w:val="auto"/>
          <w:sz w:val="28"/>
          <w:szCs w:val="28"/>
          <w:highlight w:val="none"/>
          <w:lang w:val="en-US" w:eastAsia="zh-CN"/>
        </w:rPr>
        <w:t>电子谈判文件</w:t>
      </w:r>
      <w:r>
        <w:rPr>
          <w:rFonts w:hint="eastAsia" w:cs="华文仿宋"/>
          <w:b w:val="0"/>
          <w:bCs w:val="0"/>
          <w:color w:val="auto"/>
          <w:sz w:val="28"/>
          <w:szCs w:val="28"/>
          <w:highlight w:val="none"/>
        </w:rPr>
        <w:t>规定的价格扣除。</w:t>
      </w:r>
      <w:bookmarkEnd w:id="275"/>
      <w:bookmarkEnd w:id="276"/>
      <w:bookmarkEnd w:id="277"/>
      <w:bookmarkEnd w:id="278"/>
      <w:bookmarkEnd w:id="279"/>
      <w:bookmarkEnd w:id="280"/>
      <w:bookmarkEnd w:id="281"/>
      <w:bookmarkEnd w:id="282"/>
      <w:bookmarkEnd w:id="283"/>
      <w:bookmarkEnd w:id="284"/>
      <w:bookmarkEnd w:id="285"/>
      <w:bookmarkEnd w:id="286"/>
      <w:bookmarkEnd w:id="287"/>
    </w:p>
    <w:p w14:paraId="26D5DC6C">
      <w:pPr>
        <w:spacing w:line="500" w:lineRule="exact"/>
        <w:ind w:firstLine="566" w:firstLineChars="200"/>
        <w:rPr>
          <w:rFonts w:cs="Times New Roman"/>
          <w:color w:val="auto"/>
          <w:highlight w:val="none"/>
        </w:rPr>
      </w:pPr>
      <w:r>
        <w:rPr>
          <w:rFonts w:hint="eastAsia" w:cs="华文仿宋"/>
          <w:color w:val="auto"/>
          <w:highlight w:val="none"/>
          <w:lang w:val="en-US" w:eastAsia="zh-CN"/>
        </w:rPr>
        <w:t>电子谈判文件</w:t>
      </w:r>
      <w:r>
        <w:rPr>
          <w:rFonts w:hint="eastAsia" w:cs="华文仿宋"/>
          <w:color w:val="auto"/>
          <w:highlight w:val="none"/>
        </w:rPr>
        <w:t>允许联合体</w:t>
      </w:r>
      <w:r>
        <w:rPr>
          <w:rFonts w:hint="eastAsia" w:cs="华文仿宋"/>
          <w:color w:val="auto"/>
          <w:highlight w:val="none"/>
          <w:lang w:eastAsia="zh-CN"/>
        </w:rPr>
        <w:t>响应</w:t>
      </w:r>
      <w:r>
        <w:rPr>
          <w:rFonts w:hint="eastAsia" w:cs="华文仿宋"/>
          <w:color w:val="auto"/>
          <w:highlight w:val="none"/>
        </w:rPr>
        <w:t>的，组成联合体的</w:t>
      </w:r>
      <w:r>
        <w:rPr>
          <w:rFonts w:hint="eastAsia" w:cs="华文仿宋"/>
          <w:color w:val="auto"/>
          <w:highlight w:val="none"/>
          <w:lang w:val="en-US" w:eastAsia="zh-CN"/>
        </w:rPr>
        <w:t>供应商</w:t>
      </w:r>
      <w:r>
        <w:rPr>
          <w:rFonts w:hint="eastAsia" w:cs="华文仿宋"/>
          <w:color w:val="auto"/>
          <w:highlight w:val="none"/>
        </w:rPr>
        <w:t>应提供《联合体协议》及《中小企业声明函》；</w:t>
      </w:r>
      <w:r>
        <w:rPr>
          <w:rFonts w:hint="eastAsia" w:cs="华文仿宋"/>
          <w:color w:val="auto"/>
          <w:highlight w:val="none"/>
          <w:lang w:val="en-US" w:eastAsia="zh-CN"/>
        </w:rPr>
        <w:t>电子谈判文件</w:t>
      </w:r>
      <w:r>
        <w:rPr>
          <w:rFonts w:hint="eastAsia" w:cs="华文仿宋"/>
          <w:color w:val="auto"/>
          <w:highlight w:val="none"/>
        </w:rPr>
        <w:t>允许分包的，拟分包的</w:t>
      </w:r>
      <w:r>
        <w:rPr>
          <w:rFonts w:hint="eastAsia" w:cs="华文仿宋"/>
          <w:color w:val="auto"/>
          <w:highlight w:val="none"/>
          <w:lang w:val="en-US" w:eastAsia="zh-CN"/>
        </w:rPr>
        <w:t>供应商</w:t>
      </w:r>
      <w:r>
        <w:rPr>
          <w:rFonts w:hint="eastAsia" w:cs="华文仿宋"/>
          <w:color w:val="auto"/>
          <w:highlight w:val="none"/>
        </w:rPr>
        <w:t>提供《分包意向协议》及《中小企业声明函》，满足</w:t>
      </w:r>
      <w:r>
        <w:rPr>
          <w:rFonts w:hint="eastAsia" w:ascii="华文仿宋" w:hAnsi="华文仿宋" w:cs="华文仿宋"/>
          <w:color w:val="auto"/>
          <w:highlight w:val="none"/>
        </w:rPr>
        <w:t>第二章《</w:t>
      </w:r>
      <w:r>
        <w:rPr>
          <w:rFonts w:hint="eastAsia" w:cs="华文仿宋"/>
          <w:color w:val="auto"/>
          <w:highlight w:val="none"/>
          <w:lang w:val="en-US" w:eastAsia="zh-CN"/>
        </w:rPr>
        <w:t>供应商</w:t>
      </w:r>
      <w:r>
        <w:rPr>
          <w:rFonts w:hint="eastAsia" w:ascii="华文仿宋" w:hAnsi="华文仿宋" w:cs="华文仿宋"/>
          <w:color w:val="auto"/>
          <w:highlight w:val="none"/>
        </w:rPr>
        <w:t>须知》（五）落实的政府采购政策要求的，将</w:t>
      </w:r>
      <w:r>
        <w:rPr>
          <w:rFonts w:hint="eastAsia" w:cs="华文仿宋"/>
          <w:color w:val="auto"/>
          <w:highlight w:val="none"/>
        </w:rPr>
        <w:t>享受</w:t>
      </w:r>
      <w:r>
        <w:rPr>
          <w:rFonts w:hint="eastAsia" w:cs="华文仿宋"/>
          <w:b w:val="0"/>
          <w:bCs w:val="0"/>
          <w:color w:val="auto"/>
          <w:sz w:val="28"/>
          <w:szCs w:val="28"/>
          <w:highlight w:val="none"/>
          <w:lang w:val="en-US" w:eastAsia="zh-CN"/>
        </w:rPr>
        <w:t>电子谈判文件</w:t>
      </w:r>
      <w:r>
        <w:rPr>
          <w:rFonts w:hint="eastAsia" w:cs="华文仿宋"/>
          <w:color w:val="auto"/>
          <w:highlight w:val="none"/>
        </w:rPr>
        <w:t>规定的价格扣除。</w:t>
      </w:r>
    </w:p>
    <w:p w14:paraId="281FD33B">
      <w:pPr>
        <w:keepNext w:val="0"/>
        <w:keepLines w:val="0"/>
        <w:widowControl/>
        <w:suppressLineNumbers w:val="0"/>
        <w:spacing w:before="0" w:beforeAutospacing="0" w:after="0" w:afterAutospacing="0" w:line="360" w:lineRule="auto"/>
        <w:ind w:right="0" w:firstLine="486" w:firstLineChars="200"/>
        <w:jc w:val="left"/>
        <w:rPr>
          <w:rFonts w:hint="eastAsia" w:ascii="宋体" w:hAnsi="宋体" w:eastAsia="宋体" w:cs="宋体"/>
          <w:b/>
          <w:bCs/>
          <w:color w:val="auto"/>
          <w:kern w:val="0"/>
          <w:sz w:val="24"/>
          <w:szCs w:val="24"/>
          <w:lang w:val="en-US" w:eastAsia="zh-CN" w:bidi="ar"/>
        </w:rPr>
      </w:pPr>
    </w:p>
    <w:p w14:paraId="799B0549">
      <w:pPr>
        <w:spacing w:line="500" w:lineRule="exact"/>
        <w:ind w:firstLine="566" w:firstLineChars="200"/>
        <w:rPr>
          <w:rFonts w:hint="eastAsia" w:cs="华文仿宋"/>
          <w:b/>
          <w:bCs/>
          <w:color w:val="auto"/>
          <w:highlight w:val="none"/>
        </w:rPr>
      </w:pPr>
      <w:r>
        <w:rPr>
          <w:rFonts w:hint="eastAsia" w:cs="华文仿宋"/>
          <w:b/>
          <w:bCs/>
          <w:color w:val="auto"/>
          <w:highlight w:val="none"/>
          <w:lang w:val="en-US" w:eastAsia="zh-CN"/>
        </w:rPr>
        <w:t>非中小企业、残疾人福利性单位、监狱企业，也无联合体及分包情况的，可不提供此项内容。</w:t>
      </w:r>
    </w:p>
    <w:p w14:paraId="595A1DE2">
      <w:pPr>
        <w:spacing w:line="500" w:lineRule="exact"/>
        <w:ind w:firstLine="426" w:firstLineChars="200"/>
        <w:rPr>
          <w:rFonts w:hint="eastAsia" w:ascii="宋体" w:hAnsi="宋体" w:eastAsia="宋体" w:cs="宋体"/>
          <w:color w:val="auto"/>
          <w:sz w:val="21"/>
          <w:szCs w:val="21"/>
          <w:highlight w:val="none"/>
        </w:rPr>
      </w:pPr>
    </w:p>
    <w:p w14:paraId="3AAB3265">
      <w:pPr>
        <w:spacing w:line="500" w:lineRule="exact"/>
        <w:ind w:firstLine="426"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可根据企业从业人员、营业收入、资产总额等指标，按照</w:t>
      </w:r>
      <w:r>
        <w:rPr>
          <w:rFonts w:hint="eastAsia" w:ascii="宋体" w:hAnsi="宋体" w:eastAsia="宋体" w:cs="宋体"/>
          <w:color w:val="auto"/>
          <w:sz w:val="21"/>
          <w:szCs w:val="21"/>
          <w:highlight w:val="none"/>
          <w:lang w:val="en-US" w:eastAsia="zh-CN"/>
        </w:rPr>
        <w:t>电子谈判文件</w:t>
      </w:r>
      <w:r>
        <w:rPr>
          <w:rFonts w:hint="eastAsia" w:ascii="宋体" w:hAnsi="宋体" w:eastAsia="宋体" w:cs="宋体"/>
          <w:color w:val="auto"/>
          <w:sz w:val="21"/>
          <w:szCs w:val="21"/>
          <w:highlight w:val="none"/>
        </w:rPr>
        <w:t>约定的采购标的对应的中小企业划分标准所属行业和《中小企业划型标准规定》（工信部联企业〔2011〕300号）进行自测，判断属于中型、小型还是微型企业。也可在微信小程序中搜索中小企业规模类型自测小程序进行测算。</w:t>
      </w:r>
    </w:p>
    <w:p w14:paraId="0EE8E72E">
      <w:pPr>
        <w:spacing w:line="500" w:lineRule="exact"/>
        <w:ind w:firstLine="426" w:firstLineChars="200"/>
        <w:rPr>
          <w:rFonts w:ascii="宋体" w:hAnsi="宋体" w:eastAsia="宋体" w:cs="宋体"/>
          <w:color w:val="auto"/>
          <w:sz w:val="21"/>
          <w:szCs w:val="21"/>
          <w:highlight w:val="none"/>
        </w:rPr>
      </w:pPr>
    </w:p>
    <w:p w14:paraId="6BF0A7CE">
      <w:pPr>
        <w:spacing w:line="500" w:lineRule="exact"/>
        <w:ind w:firstLine="566" w:firstLineChars="200"/>
        <w:rPr>
          <w:rFonts w:cs="Times New Roman"/>
          <w:b/>
          <w:bCs/>
          <w:color w:val="auto"/>
          <w:highlight w:val="none"/>
        </w:rPr>
      </w:pPr>
      <w:r>
        <w:rPr>
          <w:rFonts w:hint="eastAsia" w:cs="华文仿宋"/>
          <w:b/>
          <w:bCs/>
          <w:color w:val="auto"/>
          <w:highlight w:val="none"/>
        </w:rPr>
        <w:t>特别提醒：</w:t>
      </w:r>
      <w:r>
        <w:rPr>
          <w:rFonts w:hint="eastAsia" w:cs="华文仿宋"/>
          <w:b/>
          <w:bCs/>
          <w:color w:val="auto"/>
          <w:highlight w:val="none"/>
          <w:lang w:eastAsia="zh-CN"/>
        </w:rPr>
        <w:t>成交人</w:t>
      </w:r>
      <w:r>
        <w:rPr>
          <w:rFonts w:hint="eastAsia" w:cs="华文仿宋"/>
          <w:b/>
          <w:bCs/>
          <w:color w:val="auto"/>
          <w:highlight w:val="none"/>
        </w:rPr>
        <w:t>的《中小企业声明函》</w:t>
      </w:r>
      <w:r>
        <w:rPr>
          <w:rFonts w:hint="eastAsia" w:cs="华文仿宋"/>
          <w:b/>
          <w:bCs/>
          <w:color w:val="auto"/>
          <w:highlight w:val="none"/>
          <w:lang w:val="en-US" w:eastAsia="zh-CN"/>
        </w:rPr>
        <w:t>或</w:t>
      </w:r>
      <w:r>
        <w:rPr>
          <w:rFonts w:hint="eastAsia" w:ascii="华文仿宋" w:hAnsi="华文仿宋" w:cs="华文仿宋"/>
          <w:b/>
          <w:bCs/>
          <w:color w:val="auto"/>
          <w:highlight w:val="none"/>
        </w:rPr>
        <w:t>《残疾人福利性单位声明函》</w:t>
      </w:r>
      <w:r>
        <w:rPr>
          <w:rFonts w:hint="eastAsia" w:cs="华文仿宋"/>
          <w:b/>
          <w:bCs/>
          <w:color w:val="auto"/>
          <w:highlight w:val="none"/>
        </w:rPr>
        <w:t>或监狱企业证明文件将随</w:t>
      </w:r>
      <w:r>
        <w:rPr>
          <w:rFonts w:hint="eastAsia" w:cs="华文仿宋"/>
          <w:b/>
          <w:bCs/>
          <w:color w:val="auto"/>
          <w:highlight w:val="none"/>
          <w:lang w:eastAsia="zh-CN"/>
        </w:rPr>
        <w:t>成交</w:t>
      </w:r>
      <w:r>
        <w:rPr>
          <w:rFonts w:hint="eastAsia" w:cs="华文仿宋"/>
          <w:b/>
          <w:bCs/>
          <w:color w:val="auto"/>
          <w:highlight w:val="none"/>
        </w:rPr>
        <w:t>结果公告一同公布，接受社会监督。</w:t>
      </w:r>
    </w:p>
    <w:p w14:paraId="2A6685C8">
      <w:pPr>
        <w:spacing w:before="190" w:beforeLines="50" w:after="190" w:afterLines="50" w:line="500" w:lineRule="exact"/>
        <w:jc w:val="center"/>
        <w:rPr>
          <w:rFonts w:ascii="华文仿宋" w:hAnsi="华文仿宋" w:cs="华文仿宋"/>
          <w:b/>
          <w:color w:val="auto"/>
          <w:kern w:val="0"/>
          <w:highlight w:val="none"/>
        </w:rPr>
      </w:pPr>
      <w:r>
        <w:rPr>
          <w:rFonts w:hint="eastAsia" w:ascii="华文仿宋" w:hAnsi="华文仿宋" w:cs="华文仿宋"/>
          <w:b/>
          <w:color w:val="auto"/>
          <w:kern w:val="0"/>
          <w:highlight w:val="none"/>
        </w:rPr>
        <w:br w:type="page"/>
      </w:r>
      <w:r>
        <w:rPr>
          <w:rFonts w:hint="eastAsia" w:ascii="华文仿宋" w:hAnsi="华文仿宋" w:cs="华文仿宋"/>
          <w:b/>
          <w:color w:val="auto"/>
          <w:kern w:val="0"/>
          <w:highlight w:val="none"/>
        </w:rPr>
        <w:t>中小企业声明函</w:t>
      </w:r>
    </w:p>
    <w:p w14:paraId="691063B8">
      <w:pPr>
        <w:spacing w:line="440" w:lineRule="exact"/>
        <w:ind w:firstLine="566" w:firstLineChars="200"/>
        <w:jc w:val="left"/>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u w:val="single"/>
          <w:lang w:eastAsia="zh-CN"/>
        </w:rPr>
        <w:t>延安市公共资源交易中心（延安市市直单位政府采购中心）</w:t>
      </w:r>
      <w:r>
        <w:rPr>
          <w:rFonts w:hint="eastAsia" w:ascii="华文仿宋" w:hAnsi="华文仿宋" w:cs="华文仿宋"/>
          <w:color w:val="auto"/>
          <w:kern w:val="0"/>
          <w:highlight w:val="none"/>
        </w:rPr>
        <w:t>组织的</w:t>
      </w:r>
      <w:r>
        <w:rPr>
          <w:rFonts w:hint="eastAsia" w:ascii="华文仿宋" w:hAnsi="华文仿宋" w:cs="华文仿宋"/>
          <w:color w:val="auto"/>
          <w:kern w:val="0"/>
          <w:highlight w:val="none"/>
          <w:u w:val="single"/>
        </w:rPr>
        <w:t>（项目名称）</w:t>
      </w:r>
      <w:r>
        <w:rPr>
          <w:rFonts w:hint="eastAsia" w:ascii="华文仿宋" w:hAnsi="华文仿宋" w:cs="华文仿宋"/>
          <w:color w:val="auto"/>
          <w:kern w:val="0"/>
          <w:highlight w:val="none"/>
        </w:rPr>
        <w:t>采购活动，提供的货物全部由符合政策要求的中小企业制造。相关企业的具体情况如下：</w:t>
      </w:r>
    </w:p>
    <w:p w14:paraId="1A073BFF">
      <w:pPr>
        <w:spacing w:line="44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1</w:t>
      </w:r>
      <w:r>
        <w:rPr>
          <w:rFonts w:hint="eastAsia" w:ascii="华文仿宋" w:hAnsi="华文仿宋" w:cs="华文仿宋"/>
          <w:color w:val="auto"/>
          <w:kern w:val="0"/>
          <w:highlight w:val="none"/>
          <w:lang w:val="en-US" w:eastAsia="zh-CN"/>
        </w:rPr>
        <w:t>.</w:t>
      </w:r>
      <w:r>
        <w:rPr>
          <w:rFonts w:hint="eastAsia" w:ascii="华文仿宋" w:hAnsi="华文仿宋" w:cs="华文仿宋"/>
          <w:color w:val="auto"/>
          <w:kern w:val="0"/>
          <w:highlight w:val="none"/>
          <w:u w:val="single"/>
        </w:rPr>
        <w:t>（标的名称）</w:t>
      </w:r>
      <w:r>
        <w:rPr>
          <w:rFonts w:hint="eastAsia" w:ascii="华文仿宋" w:hAnsi="华文仿宋" w:cs="华文仿宋"/>
          <w:color w:val="auto"/>
          <w:kern w:val="0"/>
          <w:highlight w:val="none"/>
        </w:rPr>
        <w:t>，属于</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w:t>
      </w:r>
      <w:r>
        <w:rPr>
          <w:rFonts w:hint="eastAsia" w:cs="华文仿宋"/>
          <w:b w:val="0"/>
          <w:bCs w:val="0"/>
          <w:color w:val="auto"/>
          <w:sz w:val="28"/>
          <w:szCs w:val="28"/>
          <w:highlight w:val="none"/>
          <w:lang w:val="en-US" w:eastAsia="zh-CN"/>
        </w:rPr>
        <w:t>电子谈判文件</w:t>
      </w:r>
      <w:r>
        <w:rPr>
          <w:rFonts w:hint="eastAsia" w:ascii="华文仿宋" w:hAnsi="华文仿宋" w:cs="华文仿宋"/>
          <w:color w:val="auto"/>
          <w:kern w:val="0"/>
          <w:highlight w:val="none"/>
        </w:rPr>
        <w:t>中明确的所属行业）；制造商为</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color w:val="auto"/>
          <w:highlight w:val="none"/>
          <w:u w:val="single"/>
        </w:rPr>
        <w:t xml:space="preserve">      </w:t>
      </w:r>
      <w:r>
        <w:rPr>
          <w:rFonts w:hint="eastAsia" w:ascii="华文仿宋" w:hAnsi="华文仿宋" w:cs="华文仿宋"/>
          <w:color w:val="auto"/>
          <w:kern w:val="0"/>
          <w:highlight w:val="none"/>
        </w:rPr>
        <w:t>（</w:t>
      </w:r>
      <w:r>
        <w:rPr>
          <w:rFonts w:hint="eastAsia" w:ascii="华文仿宋" w:hAnsi="华文仿宋" w:cs="华文仿宋"/>
          <w:color w:val="auto"/>
          <w:kern w:val="0"/>
          <w:highlight w:val="none"/>
          <w:lang w:val="en-US" w:eastAsia="zh-CN"/>
        </w:rPr>
        <w:t>中型企业、</w:t>
      </w:r>
      <w:r>
        <w:rPr>
          <w:rFonts w:hint="eastAsia" w:ascii="华文仿宋" w:hAnsi="华文仿宋" w:cs="华文仿宋"/>
          <w:color w:val="auto"/>
          <w:kern w:val="0"/>
          <w:highlight w:val="none"/>
        </w:rPr>
        <w:t>小型企业、微型企业）。</w:t>
      </w:r>
    </w:p>
    <w:p w14:paraId="39BB9E7A">
      <w:pPr>
        <w:spacing w:line="44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2</w:t>
      </w:r>
      <w:r>
        <w:rPr>
          <w:rFonts w:hint="eastAsia" w:ascii="华文仿宋" w:hAnsi="华文仿宋" w:cs="华文仿宋"/>
          <w:color w:val="auto"/>
          <w:kern w:val="0"/>
          <w:highlight w:val="none"/>
          <w:lang w:val="en-US" w:eastAsia="zh-CN"/>
        </w:rPr>
        <w:t>.</w:t>
      </w:r>
      <w:r>
        <w:rPr>
          <w:rFonts w:hint="eastAsia" w:ascii="华文仿宋" w:hAnsi="华文仿宋" w:cs="华文仿宋"/>
          <w:color w:val="auto"/>
          <w:kern w:val="0"/>
          <w:highlight w:val="none"/>
          <w:u w:val="single"/>
        </w:rPr>
        <w:t>（标的名称）</w:t>
      </w:r>
      <w:r>
        <w:rPr>
          <w:rFonts w:hint="eastAsia" w:ascii="华文仿宋" w:hAnsi="华文仿宋" w:cs="华文仿宋"/>
          <w:color w:val="auto"/>
          <w:kern w:val="0"/>
          <w:highlight w:val="none"/>
        </w:rPr>
        <w:t>，属于</w:t>
      </w:r>
      <w:r>
        <w:rPr>
          <w:rFonts w:hint="eastAsia" w:ascii="华文仿宋" w:hAnsi="华文仿宋" w:cs="华文仿宋"/>
          <w:color w:val="auto"/>
          <w:kern w:val="0"/>
          <w:highlight w:val="none"/>
          <w:u w:val="single"/>
        </w:rPr>
        <w:t xml:space="preserve">           （</w:t>
      </w:r>
      <w:r>
        <w:rPr>
          <w:rFonts w:hint="eastAsia" w:cs="华文仿宋"/>
          <w:b w:val="0"/>
          <w:bCs w:val="0"/>
          <w:color w:val="auto"/>
          <w:sz w:val="28"/>
          <w:szCs w:val="28"/>
          <w:highlight w:val="none"/>
          <w:lang w:val="en-US" w:eastAsia="zh-CN"/>
        </w:rPr>
        <w:t>电子谈判文件</w:t>
      </w:r>
      <w:r>
        <w:rPr>
          <w:rFonts w:hint="eastAsia" w:ascii="华文仿宋" w:hAnsi="华文仿宋" w:cs="华文仿宋"/>
          <w:color w:val="auto"/>
          <w:kern w:val="0"/>
          <w:highlight w:val="none"/>
        </w:rPr>
        <w:t>中明确的所属行业）；制造商为</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color w:val="auto"/>
          <w:kern w:val="0"/>
          <w:highlight w:val="none"/>
          <w:u w:val="single"/>
        </w:rPr>
        <w:t xml:space="preserve">       </w:t>
      </w:r>
      <w:r>
        <w:rPr>
          <w:rFonts w:hint="eastAsia" w:ascii="华文仿宋" w:hAnsi="华文仿宋" w:cs="华文仿宋"/>
          <w:color w:val="auto"/>
          <w:kern w:val="0"/>
          <w:highlight w:val="none"/>
        </w:rPr>
        <w:t>（</w:t>
      </w:r>
      <w:r>
        <w:rPr>
          <w:rFonts w:hint="eastAsia" w:ascii="华文仿宋" w:hAnsi="华文仿宋" w:cs="华文仿宋"/>
          <w:color w:val="auto"/>
          <w:kern w:val="0"/>
          <w:highlight w:val="none"/>
          <w:lang w:val="en-US" w:eastAsia="zh-CN"/>
        </w:rPr>
        <w:t>中型企业、</w:t>
      </w:r>
      <w:r>
        <w:rPr>
          <w:rFonts w:hint="eastAsia" w:ascii="华文仿宋" w:hAnsi="华文仿宋" w:cs="华文仿宋"/>
          <w:color w:val="auto"/>
          <w:kern w:val="0"/>
          <w:highlight w:val="none"/>
        </w:rPr>
        <w:t>小型企业、微型企业）。</w:t>
      </w:r>
    </w:p>
    <w:p w14:paraId="2DA26E71">
      <w:pPr>
        <w:pStyle w:val="13"/>
        <w:spacing w:line="440" w:lineRule="exact"/>
        <w:ind w:firstLine="566" w:firstLineChars="200"/>
        <w:rPr>
          <w:color w:val="auto"/>
          <w:highlight w:val="none"/>
        </w:rPr>
      </w:pPr>
      <w:r>
        <w:rPr>
          <w:rFonts w:hint="eastAsia" w:ascii="华文仿宋" w:hAnsi="华文仿宋" w:cs="华文仿宋"/>
          <w:color w:val="auto"/>
          <w:sz w:val="28"/>
          <w:szCs w:val="28"/>
          <w:highlight w:val="none"/>
        </w:rPr>
        <w:t>3</w:t>
      </w:r>
      <w:r>
        <w:rPr>
          <w:rFonts w:hint="eastAsia" w:ascii="华文仿宋" w:hAnsi="华文仿宋" w:cs="华文仿宋"/>
          <w:color w:val="auto"/>
          <w:sz w:val="28"/>
          <w:szCs w:val="28"/>
          <w:highlight w:val="none"/>
          <w:lang w:val="en-US" w:eastAsia="zh-CN"/>
        </w:rPr>
        <w:t>.</w:t>
      </w:r>
      <w:r>
        <w:rPr>
          <w:rFonts w:hint="eastAsia" w:ascii="华文仿宋" w:hAnsi="华文仿宋" w:cs="华文仿宋"/>
          <w:color w:val="auto"/>
          <w:sz w:val="28"/>
          <w:szCs w:val="28"/>
          <w:highlight w:val="none"/>
        </w:rPr>
        <w:t>....</w:t>
      </w:r>
    </w:p>
    <w:p w14:paraId="4F6F016D">
      <w:pPr>
        <w:spacing w:line="44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6C771C62">
      <w:pPr>
        <w:spacing w:line="440" w:lineRule="exact"/>
        <w:ind w:firstLine="566" w:firstLineChars="200"/>
        <w:jc w:val="left"/>
        <w:rPr>
          <w:rFonts w:ascii="华文仿宋" w:hAnsi="华文仿宋" w:cs="华文仿宋"/>
          <w:color w:val="auto"/>
          <w:highlight w:val="none"/>
        </w:rPr>
      </w:pPr>
      <w:r>
        <w:rPr>
          <w:rFonts w:hint="eastAsia" w:ascii="华文仿宋" w:hAnsi="华文仿宋" w:cs="华文仿宋"/>
          <w:color w:val="auto"/>
          <w:kern w:val="0"/>
          <w:highlight w:val="none"/>
        </w:rPr>
        <w:t>本企业对上述声明内容的真实性负责。如有虚假，将依法承担相应责任。</w:t>
      </w:r>
    </w:p>
    <w:p w14:paraId="2BFEDA96">
      <w:pPr>
        <w:pStyle w:val="10"/>
        <w:spacing w:after="190" w:line="400" w:lineRule="exact"/>
        <w:ind w:firstLine="4811" w:firstLineChars="1700"/>
        <w:rPr>
          <w:rFonts w:ascii="仿宋" w:hAnsi="仿宋" w:eastAsia="仿宋" w:cs="Times New Roman"/>
          <w:color w:val="auto"/>
          <w:highlight w:val="none"/>
        </w:rPr>
      </w:pPr>
      <w:r>
        <w:rPr>
          <w:rFonts w:hint="eastAsia" w:cs="华文仿宋"/>
          <w:color w:val="auto"/>
          <w:highlight w:val="none"/>
          <w:lang w:val="en-US" w:eastAsia="zh-CN"/>
        </w:rPr>
        <w:t>供应商</w:t>
      </w:r>
      <w:r>
        <w:rPr>
          <w:rFonts w:hint="eastAsia" w:ascii="华文仿宋" w:hAnsi="华文仿宋" w:cs="华文仿宋"/>
          <w:color w:val="auto"/>
          <w:sz w:val="28"/>
          <w:szCs w:val="28"/>
          <w:highlight w:val="none"/>
        </w:rPr>
        <w:t>：</w:t>
      </w:r>
      <w:r>
        <w:rPr>
          <w:rFonts w:hint="eastAsia" w:ascii="华文仿宋" w:hAnsi="华文仿宋" w:cs="华文仿宋"/>
          <w:color w:val="auto"/>
          <w:sz w:val="28"/>
          <w:szCs w:val="28"/>
          <w:highlight w:val="none"/>
          <w:u w:val="single"/>
        </w:rPr>
        <w:t>名称</w:t>
      </w:r>
      <w:r>
        <w:rPr>
          <w:rFonts w:hint="eastAsia" w:ascii="华文仿宋" w:hAnsi="华文仿宋" w:cs="华文仿宋"/>
          <w:color w:val="auto"/>
          <w:sz w:val="28"/>
          <w:szCs w:val="28"/>
          <w:highlight w:val="none"/>
        </w:rPr>
        <w:t>（加盖公章）</w:t>
      </w:r>
      <w:r>
        <w:rPr>
          <w:rFonts w:ascii="仿宋" w:hAnsi="仿宋" w:eastAsia="仿宋" w:cs="Times New Roman"/>
          <w:color w:val="auto"/>
          <w:highlight w:val="none"/>
        </w:rPr>
        <w:tab/>
      </w:r>
    </w:p>
    <w:p w14:paraId="50383E68">
      <w:pPr>
        <w:ind w:firstLine="5094" w:firstLineChars="1800"/>
        <w:jc w:val="left"/>
        <w:rPr>
          <w:color w:val="auto"/>
          <w:highlight w:val="none"/>
        </w:rPr>
      </w:pPr>
      <w:r>
        <w:rPr>
          <w:rFonts w:hint="eastAsia" w:ascii="华文仿宋" w:hAnsi="华文仿宋" w:cs="华文仿宋"/>
          <w:color w:val="auto"/>
          <w:highlight w:val="none"/>
        </w:rPr>
        <w:t>日期：　年　月　日</w:t>
      </w:r>
    </w:p>
    <w:p w14:paraId="37196FBF">
      <w:pPr>
        <w:spacing w:line="500" w:lineRule="exact"/>
        <w:ind w:firstLine="5660" w:firstLineChars="2000"/>
        <w:jc w:val="left"/>
        <w:rPr>
          <w:rFonts w:ascii="华文仿宋" w:hAnsi="华文仿宋" w:cs="华文仿宋"/>
          <w:color w:val="auto"/>
          <w:highlight w:val="none"/>
        </w:rPr>
      </w:pPr>
    </w:p>
    <w:p w14:paraId="678B88CA">
      <w:pPr>
        <w:tabs>
          <w:tab w:val="left" w:pos="5670"/>
        </w:tabs>
        <w:spacing w:line="360" w:lineRule="exact"/>
        <w:ind w:firstLine="426" w:firstLineChars="200"/>
        <w:jc w:val="left"/>
        <w:rPr>
          <w:rFonts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备注：</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填写前请认真阅读《工业和信息化部、国家统计局、国家发展和改革委员会、财政部关于印发中小企业划型标准规定的通知》（工信部联企业﹝20</w:t>
      </w: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﹞300号）和财政部、工业和信息化部关于印发《政府采购促进中小企业发展管理办法》的通知</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财库﹝2020﹞46号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相关规定。</w:t>
      </w:r>
    </w:p>
    <w:p w14:paraId="099FB1B6">
      <w:pPr>
        <w:spacing w:afterLines="0" w:line="360" w:lineRule="exact"/>
        <w:ind w:firstLine="426" w:firstLineChars="2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从业人员、营业收入、资产总额填报上一年度数据，无上一年度数据的新成立企业可不填报。</w:t>
      </w:r>
    </w:p>
    <w:p w14:paraId="1368B2B4">
      <w:pPr>
        <w:numPr>
          <w:ilvl w:val="0"/>
          <w:numId w:val="0"/>
        </w:numPr>
        <w:tabs>
          <w:tab w:val="left" w:pos="1755"/>
        </w:tabs>
        <w:spacing w:line="360" w:lineRule="auto"/>
        <w:ind w:firstLine="426" w:firstLineChars="200"/>
        <w:jc w:val="both"/>
        <w:outlineLvl w:val="2"/>
        <w:rPr>
          <w:rFonts w:hint="default" w:ascii="宋体" w:hAnsi="宋体" w:eastAsia="宋体" w:cs="宋体"/>
          <w:color w:val="auto"/>
          <w:sz w:val="21"/>
          <w:szCs w:val="21"/>
          <w:lang w:val="en-US" w:eastAsia="zh-CN"/>
        </w:rPr>
      </w:pPr>
      <w:r>
        <w:rPr>
          <w:rFonts w:ascii="宋体" w:hAnsi="宋体" w:eastAsia="宋体" w:cs="宋体"/>
          <w:color w:val="auto"/>
          <w:sz w:val="21"/>
          <w:szCs w:val="21"/>
        </w:rPr>
        <w:t>3</w:t>
      </w:r>
      <w:r>
        <w:rPr>
          <w:rFonts w:hint="eastAsia" w:ascii="宋体" w:hAnsi="宋体" w:eastAsia="宋体"/>
          <w:sz w:val="21"/>
          <w:szCs w:val="21"/>
        </w:rPr>
        <w:t>．</w:t>
      </w:r>
      <w:r>
        <w:rPr>
          <w:rFonts w:ascii="宋体" w:hAnsi="宋体" w:eastAsia="宋体" w:cs="宋体"/>
          <w:color w:val="auto"/>
          <w:sz w:val="21"/>
          <w:szCs w:val="21"/>
        </w:rPr>
        <w:t>投标供应商</w:t>
      </w:r>
      <w:r>
        <w:rPr>
          <w:rFonts w:hint="eastAsia" w:ascii="宋体" w:hAnsi="宋体" w:eastAsia="宋体" w:cs="宋体"/>
          <w:color w:val="auto"/>
          <w:sz w:val="21"/>
          <w:szCs w:val="21"/>
          <w:lang w:val="en-US" w:eastAsia="zh-CN"/>
        </w:rPr>
        <w:t>所投产品中不是由中小企业制造，无需填写此表。</w:t>
      </w:r>
    </w:p>
    <w:p w14:paraId="4A935B09">
      <w:pPr>
        <w:tabs>
          <w:tab w:val="left" w:pos="5670"/>
        </w:tabs>
        <w:spacing w:after="190" w:afterLines="50" w:line="500" w:lineRule="exact"/>
        <w:jc w:val="left"/>
        <w:rPr>
          <w:rFonts w:cs="Times New Roman"/>
          <w:b/>
          <w:bCs/>
          <w:color w:val="auto"/>
          <w:sz w:val="30"/>
          <w:szCs w:val="30"/>
          <w:highlight w:val="none"/>
        </w:rPr>
      </w:pPr>
      <w:r>
        <w:rPr>
          <w:rFonts w:hint="eastAsia" w:cs="华文仿宋"/>
          <w:b/>
          <w:bCs/>
          <w:color w:val="auto"/>
          <w:sz w:val="30"/>
          <w:szCs w:val="30"/>
          <w:highlight w:val="none"/>
        </w:rPr>
        <w:br w:type="page"/>
      </w:r>
      <w:r>
        <w:rPr>
          <w:rFonts w:hint="eastAsia" w:cs="华文仿宋"/>
          <w:b/>
          <w:bCs/>
          <w:color w:val="auto"/>
          <w:sz w:val="30"/>
          <w:szCs w:val="30"/>
          <w:highlight w:val="none"/>
          <w:lang w:val="en-US" w:eastAsia="zh-CN"/>
        </w:rPr>
        <w:t xml:space="preserve">                     </w:t>
      </w:r>
      <w:r>
        <w:rPr>
          <w:rFonts w:hint="eastAsia" w:cs="华文仿宋"/>
          <w:b/>
          <w:bCs/>
          <w:color w:val="auto"/>
          <w:sz w:val="30"/>
          <w:szCs w:val="30"/>
          <w:highlight w:val="none"/>
        </w:rPr>
        <w:t>监狱企业证明函</w:t>
      </w:r>
    </w:p>
    <w:p w14:paraId="01330527">
      <w:pPr>
        <w:spacing w:line="500" w:lineRule="exact"/>
        <w:ind w:firstLine="566" w:firstLineChars="200"/>
        <w:jc w:val="left"/>
        <w:rPr>
          <w:rFonts w:cs="Times New Roman"/>
          <w:color w:val="auto"/>
          <w:highlight w:val="none"/>
        </w:rPr>
      </w:pPr>
      <w:r>
        <w:rPr>
          <w:rFonts w:hint="eastAsia" w:cs="华文仿宋"/>
          <w:color w:val="auto"/>
          <w:highlight w:val="none"/>
        </w:rPr>
        <w:t>根据财政部、司法部《关于政府采购支持监狱企业发展有关问题的通知》（财库</w:t>
      </w:r>
      <w:r>
        <w:rPr>
          <w:rFonts w:hint="eastAsia" w:ascii="仿宋" w:hAnsi="仿宋" w:eastAsia="仿宋" w:cs="仿宋"/>
          <w:color w:val="auto"/>
          <w:highlight w:val="none"/>
        </w:rPr>
        <w:t>〔</w:t>
      </w:r>
      <w:r>
        <w:rPr>
          <w:rFonts w:ascii="仿宋" w:hAnsi="仿宋" w:eastAsia="仿宋" w:cs="仿宋"/>
          <w:color w:val="auto"/>
          <w:highlight w:val="none"/>
        </w:rPr>
        <w:t>2014</w:t>
      </w:r>
      <w:r>
        <w:rPr>
          <w:rFonts w:hint="eastAsia" w:ascii="仿宋" w:hAnsi="仿宋" w:eastAsia="仿宋" w:cs="仿宋"/>
          <w:color w:val="auto"/>
          <w:highlight w:val="none"/>
        </w:rPr>
        <w:t>〕</w:t>
      </w:r>
      <w:r>
        <w:rPr>
          <w:rFonts w:ascii="仿宋" w:hAnsi="仿宋" w:eastAsia="仿宋" w:cs="仿宋"/>
          <w:color w:val="auto"/>
          <w:highlight w:val="none"/>
        </w:rPr>
        <w:t>68</w:t>
      </w:r>
      <w:r>
        <w:rPr>
          <w:rFonts w:hint="eastAsia" w:cs="华文仿宋"/>
          <w:color w:val="auto"/>
          <w:highlight w:val="none"/>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0B78FCF">
      <w:pPr>
        <w:spacing w:line="500" w:lineRule="exact"/>
        <w:ind w:firstLine="566" w:firstLineChars="200"/>
        <w:jc w:val="left"/>
        <w:rPr>
          <w:rFonts w:hint="eastAsia" w:cs="华文仿宋"/>
          <w:color w:val="auto"/>
          <w:highlight w:val="none"/>
        </w:rPr>
      </w:pPr>
      <w:r>
        <w:rPr>
          <w:rFonts w:hint="eastAsia" w:cs="华文仿宋"/>
          <w:color w:val="auto"/>
          <w:highlight w:val="none"/>
        </w:rPr>
        <w:t>监狱企业参加政府采购活动时，应当提供由省级以上监狱管理局、戒毒管理局（含新疆生产建设兵团）出具的属于监狱企业的证明文件。</w:t>
      </w:r>
    </w:p>
    <w:p w14:paraId="28505FC7">
      <w:pPr>
        <w:tabs>
          <w:tab w:val="left" w:pos="5670"/>
        </w:tabs>
        <w:spacing w:after="190" w:afterLines="50" w:line="500" w:lineRule="exact"/>
        <w:jc w:val="center"/>
        <w:rPr>
          <w:rFonts w:hint="eastAsia" w:cs="华文仿宋"/>
          <w:b/>
          <w:bCs/>
          <w:color w:val="auto"/>
          <w:sz w:val="30"/>
          <w:szCs w:val="30"/>
          <w:highlight w:val="none"/>
        </w:rPr>
      </w:pPr>
      <w:r>
        <w:rPr>
          <w:rFonts w:hint="eastAsia" w:cs="华文仿宋"/>
          <w:color w:val="auto"/>
          <w:highlight w:val="none"/>
        </w:rPr>
        <w:br w:type="page"/>
      </w:r>
      <w:r>
        <w:rPr>
          <w:rFonts w:hint="eastAsia" w:cs="华文仿宋"/>
          <w:b/>
          <w:bCs/>
          <w:color w:val="auto"/>
          <w:sz w:val="30"/>
          <w:szCs w:val="30"/>
          <w:highlight w:val="none"/>
        </w:rPr>
        <w:t>残疾人福利性单位声明函（格式）</w:t>
      </w:r>
    </w:p>
    <w:p w14:paraId="5AF63352">
      <w:pPr>
        <w:tabs>
          <w:tab w:val="left" w:pos="5670"/>
        </w:tabs>
        <w:spacing w:after="190" w:afterLines="50" w:line="500" w:lineRule="exact"/>
        <w:jc w:val="both"/>
        <w:rPr>
          <w:rFonts w:cs="Times New Roman"/>
          <w:color w:val="auto"/>
          <w:highlight w:val="none"/>
        </w:rPr>
      </w:pPr>
      <w:r>
        <w:rPr>
          <w:rFonts w:hint="eastAsia" w:cs="华文仿宋"/>
          <w:b w:val="0"/>
          <w:bCs w:val="0"/>
          <w:color w:val="auto"/>
          <w:sz w:val="30"/>
          <w:szCs w:val="30"/>
          <w:highlight w:val="none"/>
        </w:rPr>
        <w:t>本单位郑重声明，根据《财政部民政部中国残疾人联合会关</w:t>
      </w:r>
      <w:r>
        <w:rPr>
          <w:rFonts w:hint="eastAsia" w:cs="华文仿宋"/>
          <w:b w:val="0"/>
          <w:bCs w:val="0"/>
          <w:color w:val="auto"/>
          <w:highlight w:val="none"/>
        </w:rPr>
        <w:t>于</w:t>
      </w:r>
      <w:r>
        <w:rPr>
          <w:rFonts w:hint="eastAsia" w:cs="华文仿宋"/>
          <w:color w:val="auto"/>
          <w:highlight w:val="none"/>
        </w:rPr>
        <w:t>促进残疾人就业政府采购政策的通知》（财库</w:t>
      </w:r>
      <w:r>
        <w:rPr>
          <w:rFonts w:hint="eastAsia" w:ascii="仿宋" w:hAnsi="仿宋" w:eastAsia="仿宋" w:cs="仿宋"/>
          <w:color w:val="auto"/>
          <w:highlight w:val="none"/>
        </w:rPr>
        <w:t>〔</w:t>
      </w:r>
      <w:r>
        <w:rPr>
          <w:rFonts w:ascii="仿宋" w:hAnsi="仿宋" w:eastAsia="仿宋" w:cs="仿宋"/>
          <w:color w:val="auto"/>
          <w:highlight w:val="none"/>
        </w:rPr>
        <w:t>2017</w:t>
      </w:r>
      <w:r>
        <w:rPr>
          <w:rFonts w:hint="eastAsia" w:ascii="仿宋" w:hAnsi="仿宋" w:eastAsia="仿宋" w:cs="仿宋"/>
          <w:color w:val="auto"/>
          <w:highlight w:val="none"/>
        </w:rPr>
        <w:t>〕</w:t>
      </w:r>
      <w:r>
        <w:rPr>
          <w:rFonts w:ascii="仿宋" w:hAnsi="仿宋" w:eastAsia="仿宋" w:cs="仿宋"/>
          <w:color w:val="auto"/>
          <w:highlight w:val="none"/>
        </w:rPr>
        <w:t>141</w:t>
      </w:r>
      <w:r>
        <w:rPr>
          <w:rFonts w:hint="eastAsia" w:cs="华文仿宋"/>
          <w:color w:val="auto"/>
          <w:highlight w:val="none"/>
        </w:rPr>
        <w:t>号）的规定，本单位为符合条件的残疾人福利性单位，且本单位参加</w:t>
      </w:r>
      <w:r>
        <w:rPr>
          <w:rFonts w:hint="eastAsia" w:cs="华文仿宋"/>
          <w:color w:val="auto"/>
          <w:highlight w:val="none"/>
          <w:u w:val="single"/>
        </w:rPr>
        <w:t>项目名称</w:t>
      </w:r>
      <w:r>
        <w:rPr>
          <w:rFonts w:hint="eastAsia" w:cs="华文仿宋"/>
          <w:color w:val="auto"/>
          <w:highlight w:val="none"/>
        </w:rPr>
        <w:t>（项目编号：</w:t>
      </w:r>
      <w:r>
        <w:rPr>
          <w:rFonts w:hint="eastAsia" w:ascii="华文仿宋" w:hAnsi="华文仿宋" w:cs="华文仿宋"/>
          <w:color w:val="auto"/>
          <w:highlight w:val="none"/>
          <w:u w:val="single"/>
        </w:rPr>
        <w:t xml:space="preserve">    </w:t>
      </w:r>
      <w:r>
        <w:rPr>
          <w:rFonts w:hint="eastAsia" w:cs="华文仿宋"/>
          <w:color w:val="auto"/>
          <w:highlight w:val="none"/>
        </w:rPr>
        <w:t>）</w:t>
      </w:r>
      <w:r>
        <w:rPr>
          <w:rFonts w:hint="eastAsia" w:ascii="华文仿宋" w:hAnsi="华文仿宋" w:cs="华文仿宋"/>
          <w:color w:val="auto"/>
          <w:highlight w:val="none"/>
        </w:rPr>
        <w:t>第</w:t>
      </w:r>
      <w:r>
        <w:rPr>
          <w:rFonts w:hint="eastAsia" w:ascii="华文仿宋" w:hAnsi="华文仿宋" w:cs="华文仿宋"/>
          <w:color w:val="auto"/>
          <w:highlight w:val="none"/>
          <w:u w:val="single"/>
        </w:rPr>
        <w:t xml:space="preserve">    </w:t>
      </w:r>
      <w:r>
        <w:rPr>
          <w:rFonts w:hint="eastAsia" w:ascii="华文仿宋" w:hAnsi="华文仿宋" w:cs="华文仿宋"/>
          <w:color w:val="auto"/>
          <w:highlight w:val="none"/>
        </w:rPr>
        <w:t>标段</w:t>
      </w:r>
      <w:r>
        <w:rPr>
          <w:rFonts w:hint="eastAsia" w:cs="华文仿宋"/>
          <w:color w:val="auto"/>
          <w:highlight w:val="none"/>
        </w:rPr>
        <w:t>采购活动提供本单位制造的货物（由本单位承担工程</w:t>
      </w:r>
      <w:r>
        <w:rPr>
          <w:color w:val="auto"/>
          <w:highlight w:val="none"/>
        </w:rPr>
        <w:t>/</w:t>
      </w:r>
      <w:r>
        <w:rPr>
          <w:rFonts w:hint="eastAsia" w:cs="华文仿宋"/>
          <w:color w:val="auto"/>
          <w:highlight w:val="none"/>
        </w:rPr>
        <w:t>提供服务），或者提供其他残疾人福利性单位制造的货物（不包括使用非残疾人福利性单位注册商标的货物）。</w:t>
      </w:r>
    </w:p>
    <w:p w14:paraId="1309DE69">
      <w:pPr>
        <w:spacing w:line="500" w:lineRule="exact"/>
        <w:ind w:firstLine="566" w:firstLineChars="200"/>
        <w:jc w:val="left"/>
        <w:rPr>
          <w:rFonts w:cs="Times New Roman"/>
          <w:color w:val="auto"/>
          <w:highlight w:val="none"/>
        </w:rPr>
      </w:pPr>
      <w:r>
        <w:rPr>
          <w:rFonts w:hint="eastAsia" w:cs="华文仿宋"/>
          <w:color w:val="auto"/>
          <w:highlight w:val="none"/>
        </w:rPr>
        <w:t>本单位对上述声明的真实性负责。如有虚假，将依法承担相应责任。</w:t>
      </w:r>
    </w:p>
    <w:p w14:paraId="707F95EB">
      <w:pPr>
        <w:spacing w:line="500" w:lineRule="exact"/>
        <w:ind w:firstLine="566" w:firstLineChars="200"/>
        <w:jc w:val="left"/>
        <w:rPr>
          <w:rFonts w:cs="Times New Roman"/>
          <w:color w:val="auto"/>
          <w:highlight w:val="none"/>
        </w:rPr>
      </w:pPr>
    </w:p>
    <w:p w14:paraId="5F2E4C50">
      <w:pPr>
        <w:tabs>
          <w:tab w:val="left" w:pos="5670"/>
        </w:tabs>
        <w:spacing w:line="500" w:lineRule="exact"/>
        <w:ind w:firstLine="5094" w:firstLineChars="1800"/>
        <w:jc w:val="left"/>
        <w:rPr>
          <w:rFonts w:cs="Times New Roman"/>
          <w:color w:val="auto"/>
          <w:highlight w:val="none"/>
        </w:rPr>
      </w:pPr>
      <w:r>
        <w:rPr>
          <w:rFonts w:hint="eastAsia" w:cs="华文仿宋"/>
          <w:color w:val="auto"/>
          <w:highlight w:val="none"/>
          <w:lang w:val="en-US" w:eastAsia="zh-CN"/>
        </w:rPr>
        <w:t>供应商</w:t>
      </w:r>
      <w:r>
        <w:rPr>
          <w:rFonts w:hint="eastAsia" w:cs="华文仿宋"/>
          <w:color w:val="auto"/>
          <w:highlight w:val="none"/>
        </w:rPr>
        <w:t>：</w:t>
      </w:r>
      <w:r>
        <w:rPr>
          <w:rFonts w:hint="eastAsia" w:cs="华文仿宋"/>
          <w:color w:val="auto"/>
          <w:highlight w:val="none"/>
          <w:u w:val="single"/>
        </w:rPr>
        <w:t>名称</w:t>
      </w:r>
      <w:r>
        <w:rPr>
          <w:rFonts w:hint="eastAsia" w:cs="华文仿宋"/>
          <w:color w:val="auto"/>
          <w:highlight w:val="none"/>
        </w:rPr>
        <w:t>（加盖公章）</w:t>
      </w:r>
    </w:p>
    <w:p w14:paraId="4F6A9CFF">
      <w:pPr>
        <w:tabs>
          <w:tab w:val="left" w:pos="5670"/>
        </w:tabs>
        <w:spacing w:line="500" w:lineRule="exact"/>
        <w:ind w:firstLine="5377" w:firstLineChars="1900"/>
        <w:jc w:val="left"/>
        <w:rPr>
          <w:rFonts w:cs="Times New Roman"/>
          <w:color w:val="auto"/>
          <w:highlight w:val="none"/>
        </w:rPr>
      </w:pPr>
      <w:r>
        <w:rPr>
          <w:rFonts w:hint="eastAsia" w:cs="华文仿宋"/>
          <w:color w:val="auto"/>
          <w:highlight w:val="none"/>
        </w:rPr>
        <w:t>日期：　　年　月　日</w:t>
      </w:r>
    </w:p>
    <w:p w14:paraId="5749824D">
      <w:pPr>
        <w:tabs>
          <w:tab w:val="left" w:pos="5670"/>
        </w:tabs>
        <w:spacing w:line="240" w:lineRule="auto"/>
        <w:ind w:firstLine="566"/>
        <w:jc w:val="left"/>
        <w:rPr>
          <w:rFonts w:ascii="宋体" w:hAnsi="宋体" w:eastAsia="宋体" w:cs="宋体"/>
          <w:b/>
          <w:bCs/>
          <w:color w:val="auto"/>
          <w:sz w:val="21"/>
          <w:szCs w:val="21"/>
          <w:highlight w:val="none"/>
        </w:rPr>
      </w:pPr>
    </w:p>
    <w:p w14:paraId="4D864773">
      <w:pPr>
        <w:tabs>
          <w:tab w:val="left" w:pos="5670"/>
        </w:tabs>
        <w:spacing w:line="240" w:lineRule="auto"/>
        <w:ind w:firstLine="566"/>
        <w:jc w:val="left"/>
        <w:rPr>
          <w:rFonts w:ascii="宋体" w:hAnsi="宋体" w:eastAsia="宋体" w:cs="宋体"/>
          <w:b/>
          <w:bCs/>
          <w:color w:val="auto"/>
          <w:sz w:val="21"/>
          <w:szCs w:val="21"/>
          <w:highlight w:val="none"/>
        </w:rPr>
      </w:pPr>
    </w:p>
    <w:p w14:paraId="08970076">
      <w:pPr>
        <w:ind w:firstLine="426"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rPr>
        <w:t>备注：</w:t>
      </w:r>
      <w:r>
        <w:rPr>
          <w:rFonts w:hint="eastAsia" w:ascii="宋体" w:hAnsi="宋体" w:eastAsia="宋体" w:cs="宋体"/>
          <w:b/>
          <w:bCs/>
          <w:color w:val="auto"/>
          <w:sz w:val="21"/>
          <w:szCs w:val="21"/>
          <w:highlight w:val="none"/>
          <w:lang w:val="en-US" w:eastAsia="zh-CN"/>
        </w:rPr>
        <w:t>非残疾人福利性单位不用填写此声明函。</w:t>
      </w:r>
    </w:p>
    <w:p w14:paraId="1E1165CD">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项目不分标段的，第</w:t>
      </w:r>
      <w:r>
        <w:rPr>
          <w:rFonts w:ascii="宋体" w:hAnsi="宋体" w:eastAsia="宋体" w:cs="宋体"/>
          <w:color w:val="auto"/>
          <w:sz w:val="21"/>
          <w:szCs w:val="21"/>
          <w:highlight w:val="none"/>
        </w:rPr>
        <w:t>___</w:t>
      </w:r>
      <w:r>
        <w:rPr>
          <w:rFonts w:hint="eastAsia" w:ascii="宋体" w:hAnsi="宋体" w:eastAsia="宋体" w:cs="宋体"/>
          <w:color w:val="auto"/>
          <w:sz w:val="21"/>
          <w:szCs w:val="21"/>
          <w:highlight w:val="none"/>
        </w:rPr>
        <w:t>标段空白处填写“</w:t>
      </w:r>
      <w:r>
        <w:rPr>
          <w:rFonts w:ascii="宋体" w:hAnsi="宋体" w:eastAsia="宋体" w:cs="宋体"/>
          <w:color w:val="auto"/>
          <w:sz w:val="21"/>
          <w:szCs w:val="21"/>
          <w:highlight w:val="none"/>
        </w:rPr>
        <w:t>/</w:t>
      </w:r>
      <w:r>
        <w:rPr>
          <w:rFonts w:hint="eastAsia" w:ascii="宋体" w:hAnsi="宋体" w:eastAsia="宋体" w:cs="宋体"/>
          <w:color w:val="auto"/>
          <w:sz w:val="21"/>
          <w:szCs w:val="21"/>
          <w:highlight w:val="none"/>
        </w:rPr>
        <w:t>”。</w:t>
      </w:r>
    </w:p>
    <w:p w14:paraId="635804A4">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根据《财政部民政部中国残疾人联合会关于促进残疾人就业政府采购政策的通知》（财库〔</w:t>
      </w:r>
      <w:r>
        <w:rPr>
          <w:rFonts w:ascii="宋体" w:hAnsi="宋体" w:eastAsia="宋体" w:cs="宋体"/>
          <w:color w:val="auto"/>
          <w:sz w:val="21"/>
          <w:szCs w:val="21"/>
          <w:highlight w:val="none"/>
        </w:rPr>
        <w:t>2017</w:t>
      </w:r>
      <w:r>
        <w:rPr>
          <w:rFonts w:hint="eastAsia" w:ascii="宋体" w:hAnsi="宋体" w:eastAsia="宋体" w:cs="宋体"/>
          <w:color w:val="auto"/>
          <w:sz w:val="21"/>
          <w:szCs w:val="21"/>
          <w:highlight w:val="none"/>
        </w:rPr>
        <w:t>〕</w:t>
      </w:r>
      <w:r>
        <w:rPr>
          <w:rFonts w:ascii="宋体" w:hAnsi="宋体" w:eastAsia="宋体" w:cs="宋体"/>
          <w:color w:val="auto"/>
          <w:sz w:val="21"/>
          <w:szCs w:val="21"/>
          <w:highlight w:val="none"/>
        </w:rPr>
        <w:t>141</w:t>
      </w:r>
      <w:r>
        <w:rPr>
          <w:rFonts w:hint="eastAsia" w:ascii="宋体" w:hAnsi="宋体" w:eastAsia="宋体" w:cs="宋体"/>
          <w:color w:val="auto"/>
          <w:sz w:val="21"/>
          <w:szCs w:val="21"/>
          <w:highlight w:val="none"/>
        </w:rPr>
        <w:t>号）的规定：</w:t>
      </w:r>
    </w:p>
    <w:p w14:paraId="3E3C07C6">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一、享受政府采购支持政策的残疾人福利性单位应当同时满足以下条件：</w:t>
      </w:r>
    </w:p>
    <w:p w14:paraId="005368C3">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（一）安置的残疾人占本单位在职职工人数的比例不低于</w:t>
      </w:r>
      <w:r>
        <w:rPr>
          <w:rFonts w:ascii="宋体" w:hAnsi="宋体" w:eastAsia="宋体" w:cs="宋体"/>
          <w:color w:val="auto"/>
          <w:sz w:val="21"/>
          <w:szCs w:val="21"/>
          <w:highlight w:val="none"/>
        </w:rPr>
        <w:t>25%</w:t>
      </w:r>
      <w:r>
        <w:rPr>
          <w:rFonts w:hint="eastAsia" w:ascii="宋体" w:hAnsi="宋体" w:eastAsia="宋体" w:cs="宋体"/>
          <w:color w:val="auto"/>
          <w:sz w:val="21"/>
          <w:szCs w:val="21"/>
          <w:highlight w:val="none"/>
        </w:rPr>
        <w:t>（含</w:t>
      </w:r>
      <w:r>
        <w:rPr>
          <w:rFonts w:ascii="宋体" w:hAnsi="宋体" w:eastAsia="宋体" w:cs="宋体"/>
          <w:color w:val="auto"/>
          <w:sz w:val="21"/>
          <w:szCs w:val="21"/>
          <w:highlight w:val="none"/>
        </w:rPr>
        <w:t>25%</w:t>
      </w:r>
      <w:r>
        <w:rPr>
          <w:rFonts w:hint="eastAsia" w:ascii="宋体" w:hAnsi="宋体" w:eastAsia="宋体" w:cs="宋体"/>
          <w:color w:val="auto"/>
          <w:sz w:val="21"/>
          <w:szCs w:val="21"/>
          <w:highlight w:val="none"/>
        </w:rPr>
        <w:t>），并且安置的残疾人人数不少于</w:t>
      </w:r>
      <w:r>
        <w:rPr>
          <w:rFonts w:ascii="宋体" w:hAnsi="宋体" w:eastAsia="宋体" w:cs="宋体"/>
          <w:color w:val="auto"/>
          <w:sz w:val="21"/>
          <w:szCs w:val="21"/>
          <w:highlight w:val="none"/>
        </w:rPr>
        <w:t>10</w:t>
      </w:r>
      <w:r>
        <w:rPr>
          <w:rFonts w:hint="eastAsia" w:ascii="宋体" w:hAnsi="宋体" w:eastAsia="宋体" w:cs="宋体"/>
          <w:color w:val="auto"/>
          <w:sz w:val="21"/>
          <w:szCs w:val="21"/>
          <w:highlight w:val="none"/>
        </w:rPr>
        <w:t>人（含</w:t>
      </w:r>
      <w:r>
        <w:rPr>
          <w:rFonts w:ascii="宋体" w:hAnsi="宋体" w:eastAsia="宋体" w:cs="宋体"/>
          <w:color w:val="auto"/>
          <w:sz w:val="21"/>
          <w:szCs w:val="21"/>
          <w:highlight w:val="none"/>
        </w:rPr>
        <w:t>10</w:t>
      </w:r>
      <w:r>
        <w:rPr>
          <w:rFonts w:hint="eastAsia" w:ascii="宋体" w:hAnsi="宋体" w:eastAsia="宋体" w:cs="宋体"/>
          <w:color w:val="auto"/>
          <w:sz w:val="21"/>
          <w:szCs w:val="21"/>
          <w:highlight w:val="none"/>
        </w:rPr>
        <w:t>人）；</w:t>
      </w:r>
    </w:p>
    <w:p w14:paraId="47DC4B28">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（二）依法与安置的每位残疾人签订了一年以上（含一年）的劳动合同或服务协议；</w:t>
      </w:r>
    </w:p>
    <w:p w14:paraId="1AF8032B">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（三）为安置的每位残疾人按月足额缴纳了基本养老保险、基本医疗保险、失业保险、工伤保险和生育保险等社会保险费；</w:t>
      </w:r>
    </w:p>
    <w:p w14:paraId="185678BD">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（四）通过银行等金融机构向安置的每位残疾人，按月支付了不低于单位所在区县适用的经省级人民政府批准的月最低工资标准的工资；</w:t>
      </w:r>
    </w:p>
    <w:p w14:paraId="659A1907">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（五）提供本单位制造的货物、承担的工程或者服务（以下简称产品），或者提供其他残疾人福利性单位制造的货物（不包括使用非残疾人福利性单位注册商标的货物）。</w:t>
      </w:r>
    </w:p>
    <w:p w14:paraId="469787F4">
      <w:pPr>
        <w:tabs>
          <w:tab w:val="left" w:pos="5670"/>
        </w:tabs>
        <w:spacing w:line="240" w:lineRule="auto"/>
        <w:ind w:firstLine="566"/>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前款所称残疾人是指法定劳动年龄内，持有《中华人民共和国残疾人证》或者《中华人民共和国残疾军人证（</w:t>
      </w:r>
      <w:r>
        <w:rPr>
          <w:rFonts w:ascii="宋体" w:hAnsi="宋体" w:eastAsia="宋体" w:cs="宋体"/>
          <w:color w:val="auto"/>
          <w:sz w:val="21"/>
          <w:szCs w:val="21"/>
          <w:highlight w:val="none"/>
        </w:rPr>
        <w:t>1</w:t>
      </w:r>
      <w:r>
        <w:rPr>
          <w:rFonts w:hint="eastAsia" w:ascii="宋体" w:hAnsi="宋体" w:eastAsia="宋体" w:cs="宋体"/>
          <w:color w:val="auto"/>
          <w:sz w:val="21"/>
          <w:szCs w:val="21"/>
          <w:highlight w:val="none"/>
        </w:rPr>
        <w:t>至</w:t>
      </w:r>
      <w:r>
        <w:rPr>
          <w:rFonts w:ascii="宋体" w:hAnsi="宋体" w:eastAsia="宋体" w:cs="宋体"/>
          <w:color w:val="auto"/>
          <w:sz w:val="21"/>
          <w:szCs w:val="21"/>
          <w:highlight w:val="none"/>
        </w:rPr>
        <w:t>8</w:t>
      </w:r>
      <w:r>
        <w:rPr>
          <w:rFonts w:hint="eastAsia" w:ascii="宋体" w:hAnsi="宋体" w:eastAsia="宋体" w:cs="宋体"/>
          <w:color w:val="auto"/>
          <w:sz w:val="21"/>
          <w:szCs w:val="21"/>
          <w:highlight w:val="none"/>
        </w:rPr>
        <w:t>级）》的自然人，包括具有劳动条件和劳动意愿的精神残疾人。在职职工人数是指与残疾人福利性单位建立劳动关系并依法签订劳动合同或者服务协议的雇员人数。</w:t>
      </w:r>
    </w:p>
    <w:p w14:paraId="3D888FC0">
      <w:pPr>
        <w:tabs>
          <w:tab w:val="left" w:pos="5670"/>
        </w:tabs>
        <w:spacing w:line="240" w:lineRule="auto"/>
        <w:ind w:firstLine="426" w:firstLineChars="200"/>
        <w:jc w:val="left"/>
        <w:rPr>
          <w:rFonts w:ascii="宋体" w:hAnsi="宋体" w:eastAsia="宋体" w:cs="Times New Roman"/>
          <w:color w:val="auto"/>
          <w:sz w:val="21"/>
          <w:szCs w:val="21"/>
          <w:highlight w:val="none"/>
        </w:rPr>
      </w:pPr>
      <w:r>
        <w:rPr>
          <w:rFonts w:hint="eastAsia" w:ascii="宋体" w:hAnsi="宋体" w:eastAsia="宋体" w:cs="宋体"/>
          <w:color w:val="auto"/>
          <w:sz w:val="21"/>
          <w:szCs w:val="21"/>
          <w:highlight w:val="none"/>
        </w:rPr>
        <w:t>二、</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、成交供应商为残疾人福利性单位的，采购人或者其委托的采购代理机构应当随</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、成交结果同时公告其《残疾人福利性单位声明函》，接受社会监督。</w:t>
      </w:r>
    </w:p>
    <w:p w14:paraId="710F1139">
      <w:pPr>
        <w:pStyle w:val="33"/>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4"/>
    </w:p>
    <w:p w14:paraId="1971D598">
      <w:pPr>
        <w:rPr>
          <w:rFonts w:hint="eastAsia" w:ascii="华文仿宋" w:hAnsi="华文仿宋" w:cs="华文仿宋"/>
          <w:color w:val="000000"/>
          <w:shd w:val="clear" w:color="auto" w:fill="FFFFFF"/>
        </w:rPr>
      </w:pPr>
    </w:p>
    <w:p w14:paraId="08E110FC">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7259577C">
      <w:pPr>
        <w:pStyle w:val="19"/>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1"/>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37272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32FBEF6">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6B453BBC">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438A0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7E1EF5C7">
            <w:pPr>
              <w:pStyle w:val="7"/>
              <w:spacing w:line="360" w:lineRule="auto"/>
              <w:ind w:firstLine="0"/>
              <w:jc w:val="center"/>
              <w:rPr>
                <w:rFonts w:ascii="仿宋" w:hAnsi="仿宋" w:eastAsia="仿宋" w:cs="仿宋"/>
                <w:color w:val="000000"/>
                <w:szCs w:val="24"/>
              </w:rPr>
            </w:pPr>
          </w:p>
        </w:tc>
        <w:tc>
          <w:tcPr>
            <w:tcW w:w="5752" w:type="dxa"/>
            <w:vAlign w:val="center"/>
          </w:tcPr>
          <w:p w14:paraId="6D6284B9">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7FED7BB6">
            <w:pPr>
              <w:ind w:firstLine="0" w:firstLineChars="0"/>
              <w:rPr>
                <w:rFonts w:ascii="仿宋" w:hAnsi="仿宋" w:eastAsia="仿宋" w:cs="仿宋"/>
                <w:color w:val="000000"/>
                <w:kern w:val="0"/>
                <w:sz w:val="28"/>
                <w:szCs w:val="24"/>
                <w:lang w:val="zh-CN"/>
              </w:rPr>
            </w:pPr>
          </w:p>
          <w:p w14:paraId="1B0EBC21">
            <w:pPr>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29729A4C">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28FB3D3B">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E0AED73">
      <w:pPr>
        <w:spacing w:line="500" w:lineRule="exact"/>
        <w:rPr>
          <w:rFonts w:ascii="仿宋" w:hAnsi="仿宋" w:eastAsia="仿宋" w:cs="仿宋"/>
          <w:color w:val="000000"/>
        </w:rPr>
      </w:pPr>
    </w:p>
    <w:p w14:paraId="3853DF24">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1367126D">
      <w:pPr>
        <w:pStyle w:val="10"/>
        <w:ind w:firstLine="5377" w:firstLineChars="1900"/>
        <w:rPr>
          <w:color w:val="000000"/>
        </w:rPr>
        <w:sectPr>
          <w:pgSz w:w="11906" w:h="16838"/>
          <w:pgMar w:top="1417" w:right="1417" w:bottom="1417" w:left="1417" w:header="850" w:footer="992" w:gutter="0"/>
          <w:pgBorders>
            <w:top w:val="none" w:sz="0" w:space="0"/>
            <w:left w:val="none" w:sz="0" w:space="0"/>
            <w:bottom w:val="none" w:sz="0" w:space="0"/>
            <w:right w:val="none" w:sz="0" w:space="0"/>
          </w:pgBorders>
          <w:pgNumType w:fmt="decimal"/>
          <w:cols w:space="720" w:num="1"/>
          <w:docGrid w:type="linesAndChars" w:linePitch="381" w:charSpace="704"/>
        </w:sectPr>
      </w:pPr>
      <w:r>
        <w:rPr>
          <w:rFonts w:hint="eastAsia" w:ascii="仿宋" w:hAnsi="仿宋" w:eastAsia="仿宋" w:cs="仿宋"/>
          <w:color w:val="000000"/>
        </w:rPr>
        <w:t>日期：　　年　月　日</w:t>
      </w:r>
    </w:p>
    <w:p w14:paraId="2C9BC264">
      <w:pPr>
        <w:spacing w:beforeLines="50" w:afterLines="50" w:line="500" w:lineRule="exact"/>
        <w:jc w:val="center"/>
        <w:rPr>
          <w:rFonts w:ascii="华文仿宋" w:hAnsi="华文仿宋" w:cs="华文仿宋"/>
          <w:b/>
          <w:color w:val="000000"/>
        </w:rPr>
      </w:pPr>
    </w:p>
    <w:p w14:paraId="70FB55B7">
      <w:pPr>
        <w:spacing w:beforeLines="50" w:afterLines="50" w:line="500" w:lineRule="exact"/>
        <w:jc w:val="center"/>
        <w:rPr>
          <w:rFonts w:ascii="华文仿宋" w:hAnsi="华文仿宋" w:cs="华文仿宋"/>
          <w:b/>
          <w:color w:val="000000"/>
        </w:rPr>
      </w:pPr>
    </w:p>
    <w:p w14:paraId="2A821F4C">
      <w:pPr>
        <w:spacing w:beforeLines="50" w:afterLines="50" w:line="500" w:lineRule="exact"/>
        <w:jc w:val="center"/>
        <w:rPr>
          <w:rFonts w:ascii="华文仿宋" w:hAnsi="华文仿宋" w:cs="华文仿宋"/>
          <w:b/>
          <w:color w:val="000000"/>
        </w:rPr>
      </w:pPr>
    </w:p>
    <w:p w14:paraId="6DB69284">
      <w:pPr>
        <w:spacing w:beforeLines="50" w:afterLines="50" w:line="500" w:lineRule="exact"/>
        <w:jc w:val="center"/>
        <w:rPr>
          <w:rFonts w:ascii="华文仿宋" w:hAnsi="华文仿宋" w:cs="华文仿宋"/>
          <w:b/>
          <w:color w:val="000000"/>
        </w:rPr>
      </w:pPr>
    </w:p>
    <w:p w14:paraId="2358785D">
      <w:pPr>
        <w:spacing w:beforeLines="50" w:afterLines="50" w:line="500" w:lineRule="exact"/>
        <w:jc w:val="center"/>
        <w:rPr>
          <w:rFonts w:ascii="华文仿宋" w:hAnsi="华文仿宋" w:cs="华文仿宋"/>
          <w:b/>
          <w:color w:val="000000"/>
        </w:rPr>
      </w:pPr>
    </w:p>
    <w:p w14:paraId="0F4575F1">
      <w:pPr>
        <w:spacing w:beforeLines="50" w:afterLines="50" w:line="500" w:lineRule="exact"/>
        <w:jc w:val="center"/>
        <w:rPr>
          <w:rFonts w:ascii="华文仿宋" w:hAnsi="华文仿宋" w:cs="华文仿宋"/>
          <w:b/>
          <w:color w:val="000000"/>
        </w:rPr>
      </w:pPr>
    </w:p>
    <w:p w14:paraId="4502AF2F">
      <w:pPr>
        <w:spacing w:beforeLines="50" w:afterLines="50" w:line="500" w:lineRule="exact"/>
        <w:jc w:val="center"/>
        <w:rPr>
          <w:rFonts w:ascii="华文仿宋" w:hAnsi="华文仿宋" w:cs="华文仿宋"/>
          <w:b/>
          <w:color w:val="000000"/>
        </w:rPr>
      </w:pPr>
    </w:p>
    <w:p w14:paraId="746CB252">
      <w:pPr>
        <w:spacing w:beforeLines="50" w:afterLines="50" w:line="500" w:lineRule="exact"/>
        <w:jc w:val="center"/>
        <w:rPr>
          <w:rFonts w:ascii="华文仿宋" w:hAnsi="华文仿宋" w:cs="华文仿宋"/>
          <w:b/>
          <w:color w:val="000000"/>
        </w:rPr>
      </w:pPr>
    </w:p>
    <w:p w14:paraId="0C82DF2A">
      <w:pPr>
        <w:spacing w:beforeLines="50" w:afterLines="50" w:line="500" w:lineRule="exact"/>
        <w:jc w:val="center"/>
        <w:rPr>
          <w:rFonts w:ascii="华文仿宋" w:hAnsi="华文仿宋" w:cs="华文仿宋"/>
          <w:b/>
          <w:color w:val="000000"/>
        </w:rPr>
      </w:pPr>
    </w:p>
    <w:p w14:paraId="5103E285">
      <w:pPr>
        <w:spacing w:beforeLines="50" w:afterLines="50" w:line="500" w:lineRule="exact"/>
        <w:jc w:val="center"/>
        <w:rPr>
          <w:rFonts w:ascii="华文仿宋" w:hAnsi="华文仿宋" w:cs="华文仿宋"/>
          <w:b/>
          <w:color w:val="000000"/>
        </w:rPr>
        <w:sectPr>
          <w:footerReference r:id="rId11" w:type="default"/>
          <w:type w:val="continuous"/>
          <w:pgSz w:w="11906" w:h="16838"/>
          <w:pgMar w:top="1417" w:right="1417" w:bottom="1417" w:left="1417" w:header="850" w:footer="992" w:gutter="0"/>
          <w:pgBorders>
            <w:top w:val="none" w:sz="0" w:space="0"/>
            <w:left w:val="none" w:sz="0" w:space="0"/>
            <w:bottom w:val="none" w:sz="0" w:space="0"/>
            <w:right w:val="none" w:sz="0" w:space="0"/>
          </w:pgBorders>
          <w:pgNumType w:fmt="decimal"/>
          <w:cols w:space="720" w:num="1"/>
          <w:docGrid w:type="linesAndChars" w:linePitch="381" w:charSpace="704"/>
        </w:sectPr>
      </w:pPr>
    </w:p>
    <w:p w14:paraId="1739FBAC">
      <w:pPr>
        <w:spacing w:before="190" w:beforeLines="50" w:after="19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bookmarkStart w:id="288" w:name="_Toc31382"/>
      <w:bookmarkStart w:id="289" w:name="_Toc27738"/>
      <w:bookmarkStart w:id="290" w:name="_Toc19377"/>
      <w:r>
        <w:rPr>
          <w:rFonts w:hint="eastAsia" w:ascii="仿宋" w:hAnsi="仿宋" w:eastAsia="仿宋"/>
          <w:b/>
          <w:bCs/>
          <w:color w:val="000000"/>
          <w:sz w:val="32"/>
          <w:szCs w:val="32"/>
        </w:rPr>
        <w:t>分项报价表</w:t>
      </w:r>
    </w:p>
    <w:tbl>
      <w:tblPr>
        <w:tblStyle w:val="21"/>
        <w:tblW w:w="9009" w:type="dxa"/>
        <w:jc w:val="center"/>
        <w:tblLayout w:type="fixed"/>
        <w:tblCellMar>
          <w:top w:w="0" w:type="dxa"/>
          <w:left w:w="28" w:type="dxa"/>
          <w:bottom w:w="0" w:type="dxa"/>
          <w:right w:w="28" w:type="dxa"/>
        </w:tblCellMar>
      </w:tblPr>
      <w:tblGrid>
        <w:gridCol w:w="713"/>
        <w:gridCol w:w="1250"/>
        <w:gridCol w:w="1162"/>
        <w:gridCol w:w="1646"/>
        <w:gridCol w:w="1070"/>
        <w:gridCol w:w="880"/>
        <w:gridCol w:w="1367"/>
        <w:gridCol w:w="921"/>
      </w:tblGrid>
      <w:tr w14:paraId="0C43A19E">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noWrap w:val="0"/>
            <w:vAlign w:val="center"/>
          </w:tcPr>
          <w:p w14:paraId="40B179D1">
            <w:pPr>
              <w:autoSpaceDE w:val="0"/>
              <w:autoSpaceDN w:val="0"/>
              <w:spacing w:line="400" w:lineRule="exact"/>
              <w:jc w:val="center"/>
              <w:rPr>
                <w:rFonts w:ascii="仿宋" w:hAnsi="仿宋" w:eastAsia="仿宋" w:cs="Calibri Light"/>
                <w:b/>
                <w:bCs/>
                <w:color w:val="000000"/>
                <w:kern w:val="0"/>
                <w:sz w:val="24"/>
                <w:szCs w:val="24"/>
              </w:rPr>
            </w:pPr>
            <w:r>
              <w:rPr>
                <w:rFonts w:hint="eastAsia" w:ascii="仿宋" w:hAnsi="仿宋" w:eastAsia="仿宋"/>
                <w:b/>
                <w:bCs/>
                <w:color w:val="000000"/>
                <w:kern w:val="0"/>
                <w:sz w:val="24"/>
                <w:szCs w:val="24"/>
              </w:rPr>
              <w:t>序号</w:t>
            </w:r>
          </w:p>
        </w:tc>
        <w:tc>
          <w:tcPr>
            <w:tcW w:w="1250" w:type="dxa"/>
            <w:tcBorders>
              <w:top w:val="single" w:color="000000" w:sz="8" w:space="0"/>
              <w:left w:val="nil"/>
              <w:bottom w:val="single" w:color="000000" w:sz="6" w:space="0"/>
              <w:right w:val="single" w:color="000000" w:sz="6" w:space="0"/>
            </w:tcBorders>
            <w:noWrap w:val="0"/>
            <w:vAlign w:val="center"/>
          </w:tcPr>
          <w:p w14:paraId="550ECA73">
            <w:pPr>
              <w:autoSpaceDE w:val="0"/>
              <w:autoSpaceDN w:val="0"/>
              <w:spacing w:line="400" w:lineRule="exact"/>
              <w:jc w:val="center"/>
              <w:rPr>
                <w:rFonts w:ascii="仿宋" w:hAnsi="仿宋" w:eastAsia="仿宋" w:cs="Calibri Light"/>
                <w:b/>
                <w:bCs/>
                <w:color w:val="000000"/>
                <w:kern w:val="0"/>
                <w:sz w:val="24"/>
                <w:szCs w:val="24"/>
              </w:rPr>
            </w:pPr>
            <w:r>
              <w:rPr>
                <w:rFonts w:hint="eastAsia" w:ascii="仿宋" w:hAnsi="仿宋" w:eastAsia="仿宋"/>
                <w:b/>
                <w:bCs/>
                <w:color w:val="000000"/>
                <w:kern w:val="0"/>
                <w:sz w:val="24"/>
                <w:szCs w:val="24"/>
              </w:rPr>
              <w:t>服务名称</w:t>
            </w:r>
          </w:p>
        </w:tc>
        <w:tc>
          <w:tcPr>
            <w:tcW w:w="1162" w:type="dxa"/>
            <w:tcBorders>
              <w:top w:val="single" w:color="000000" w:sz="8" w:space="0"/>
              <w:left w:val="nil"/>
              <w:bottom w:val="single" w:color="000000" w:sz="6" w:space="0"/>
              <w:right w:val="single" w:color="000000" w:sz="6" w:space="0"/>
            </w:tcBorders>
            <w:noWrap w:val="0"/>
            <w:vAlign w:val="center"/>
          </w:tcPr>
          <w:p w14:paraId="51A2D61A">
            <w:pPr>
              <w:pStyle w:val="33"/>
              <w:keepLines w:val="0"/>
              <w:ind w:firstLine="0" w:firstLineChars="0"/>
              <w:rPr>
                <w:rFonts w:ascii="仿宋" w:hAnsi="仿宋" w:eastAsia="仿宋"/>
                <w:b w:val="0"/>
                <w:bCs w:val="0"/>
                <w:color w:val="000000"/>
                <w:kern w:val="0"/>
                <w:sz w:val="24"/>
                <w:szCs w:val="24"/>
              </w:rPr>
            </w:pPr>
            <w:bookmarkStart w:id="291" w:name="_Toc32559"/>
            <w:r>
              <w:rPr>
                <w:rFonts w:hint="eastAsia" w:ascii="仿宋" w:hAnsi="仿宋" w:eastAsia="仿宋"/>
                <w:bCs w:val="0"/>
                <w:color w:val="000000"/>
                <w:sz w:val="24"/>
                <w:szCs w:val="24"/>
              </w:rPr>
              <w:t>计量单位</w:t>
            </w:r>
            <w:bookmarkEnd w:id="291"/>
          </w:p>
        </w:tc>
        <w:tc>
          <w:tcPr>
            <w:tcW w:w="1646" w:type="dxa"/>
            <w:tcBorders>
              <w:top w:val="single" w:color="000000" w:sz="8" w:space="0"/>
              <w:left w:val="nil"/>
              <w:bottom w:val="single" w:color="000000" w:sz="6" w:space="0"/>
              <w:right w:val="single" w:color="000000" w:sz="6" w:space="0"/>
            </w:tcBorders>
            <w:noWrap w:val="0"/>
            <w:vAlign w:val="center"/>
          </w:tcPr>
          <w:p w14:paraId="7AEDAA4E">
            <w:pPr>
              <w:pStyle w:val="33"/>
              <w:keepLines w:val="0"/>
              <w:ind w:firstLine="0" w:firstLineChars="0"/>
              <w:rPr>
                <w:rFonts w:ascii="仿宋" w:hAnsi="仿宋" w:eastAsia="仿宋"/>
                <w:b w:val="0"/>
                <w:bCs w:val="0"/>
                <w:color w:val="000000"/>
                <w:kern w:val="0"/>
                <w:sz w:val="24"/>
                <w:szCs w:val="24"/>
              </w:rPr>
            </w:pPr>
            <w:bookmarkStart w:id="292" w:name="_Toc4371"/>
            <w:r>
              <w:rPr>
                <w:rFonts w:hint="eastAsia" w:ascii="仿宋" w:hAnsi="仿宋" w:eastAsia="仿宋"/>
                <w:bCs w:val="0"/>
                <w:color w:val="000000"/>
                <w:sz w:val="24"/>
                <w:szCs w:val="24"/>
              </w:rPr>
              <w:t>具体要求说明</w:t>
            </w:r>
            <w:bookmarkEnd w:id="292"/>
          </w:p>
        </w:tc>
        <w:tc>
          <w:tcPr>
            <w:tcW w:w="1070" w:type="dxa"/>
            <w:tcBorders>
              <w:top w:val="single" w:color="000000" w:sz="8" w:space="0"/>
              <w:left w:val="nil"/>
              <w:bottom w:val="single" w:color="000000" w:sz="6" w:space="0"/>
              <w:right w:val="single" w:color="auto" w:sz="4" w:space="0"/>
            </w:tcBorders>
            <w:noWrap w:val="0"/>
            <w:vAlign w:val="center"/>
          </w:tcPr>
          <w:p w14:paraId="63ACED86">
            <w:pPr>
              <w:pStyle w:val="33"/>
              <w:keepLines w:val="0"/>
              <w:ind w:firstLine="0" w:firstLineChars="0"/>
              <w:rPr>
                <w:rFonts w:ascii="仿宋" w:hAnsi="仿宋" w:eastAsia="仿宋"/>
                <w:b w:val="0"/>
                <w:bCs w:val="0"/>
                <w:color w:val="000000"/>
                <w:kern w:val="0"/>
                <w:sz w:val="24"/>
                <w:szCs w:val="24"/>
              </w:rPr>
            </w:pPr>
            <w:r>
              <w:rPr>
                <w:rFonts w:hint="eastAsia" w:ascii="仿宋" w:hAnsi="仿宋" w:eastAsia="仿宋"/>
                <w:bCs w:val="0"/>
                <w:sz w:val="24"/>
                <w:szCs w:val="24"/>
              </w:rPr>
              <w:t>单价（元）</w:t>
            </w:r>
          </w:p>
        </w:tc>
        <w:tc>
          <w:tcPr>
            <w:tcW w:w="880" w:type="dxa"/>
            <w:tcBorders>
              <w:top w:val="single" w:color="000000" w:sz="8" w:space="0"/>
              <w:left w:val="nil"/>
              <w:bottom w:val="single" w:color="000000" w:sz="6" w:space="0"/>
              <w:right w:val="single" w:color="auto" w:sz="4" w:space="0"/>
            </w:tcBorders>
            <w:noWrap w:val="0"/>
            <w:vAlign w:val="center"/>
          </w:tcPr>
          <w:p w14:paraId="194BB029">
            <w:pPr>
              <w:pStyle w:val="33"/>
              <w:keepLines w:val="0"/>
              <w:ind w:firstLine="0" w:firstLineChars="0"/>
              <w:rPr>
                <w:rFonts w:ascii="仿宋" w:hAnsi="仿宋" w:eastAsia="仿宋"/>
                <w:bCs w:val="0"/>
                <w:color w:val="000000"/>
                <w:sz w:val="24"/>
                <w:szCs w:val="24"/>
              </w:rPr>
            </w:pPr>
            <w:bookmarkStart w:id="293" w:name="_Toc24317"/>
            <w:r>
              <w:rPr>
                <w:rFonts w:hint="eastAsia" w:ascii="仿宋" w:hAnsi="仿宋" w:eastAsia="仿宋"/>
                <w:bCs w:val="0"/>
                <w:color w:val="000000"/>
                <w:sz w:val="24"/>
                <w:szCs w:val="24"/>
              </w:rPr>
              <w:t>数量</w:t>
            </w:r>
            <w:bookmarkEnd w:id="293"/>
          </w:p>
        </w:tc>
        <w:tc>
          <w:tcPr>
            <w:tcW w:w="1367" w:type="dxa"/>
            <w:tcBorders>
              <w:top w:val="single" w:color="000000" w:sz="8" w:space="0"/>
              <w:left w:val="nil"/>
              <w:bottom w:val="single" w:color="000000" w:sz="6" w:space="0"/>
              <w:right w:val="single" w:color="000000" w:sz="6" w:space="0"/>
            </w:tcBorders>
            <w:noWrap w:val="0"/>
            <w:vAlign w:val="center"/>
          </w:tcPr>
          <w:p w14:paraId="472BC38A">
            <w:pPr>
              <w:pStyle w:val="33"/>
              <w:keepLines w:val="0"/>
              <w:ind w:firstLine="0" w:firstLineChars="0"/>
              <w:rPr>
                <w:rFonts w:ascii="仿宋" w:hAnsi="仿宋" w:eastAsia="仿宋"/>
                <w:bCs w:val="0"/>
                <w:color w:val="000000"/>
                <w:sz w:val="24"/>
                <w:szCs w:val="24"/>
              </w:rPr>
            </w:pPr>
            <w:r>
              <w:rPr>
                <w:rFonts w:hint="eastAsia" w:ascii="仿宋" w:hAnsi="仿宋" w:eastAsia="仿宋"/>
                <w:bCs w:val="0"/>
                <w:color w:val="000000"/>
                <w:sz w:val="24"/>
                <w:szCs w:val="24"/>
              </w:rPr>
              <w:t>金额（元）</w:t>
            </w:r>
          </w:p>
        </w:tc>
        <w:tc>
          <w:tcPr>
            <w:tcW w:w="921" w:type="dxa"/>
            <w:tcBorders>
              <w:top w:val="single" w:color="000000" w:sz="8" w:space="0"/>
              <w:left w:val="nil"/>
              <w:bottom w:val="single" w:color="000000" w:sz="6" w:space="0"/>
              <w:right w:val="single" w:color="000000" w:sz="8" w:space="0"/>
            </w:tcBorders>
            <w:noWrap w:val="0"/>
            <w:vAlign w:val="center"/>
          </w:tcPr>
          <w:p w14:paraId="514D013A">
            <w:pPr>
              <w:pStyle w:val="33"/>
              <w:keepLines w:val="0"/>
              <w:ind w:firstLine="0" w:firstLineChars="0"/>
              <w:rPr>
                <w:rFonts w:ascii="仿宋" w:hAnsi="仿宋" w:eastAsia="仿宋"/>
                <w:b w:val="0"/>
                <w:bCs w:val="0"/>
                <w:color w:val="000000"/>
                <w:sz w:val="24"/>
                <w:szCs w:val="24"/>
              </w:rPr>
            </w:pPr>
            <w:r>
              <w:rPr>
                <w:rFonts w:hint="eastAsia" w:ascii="仿宋" w:hAnsi="仿宋" w:eastAsia="仿宋"/>
                <w:bCs w:val="0"/>
                <w:color w:val="000000"/>
                <w:sz w:val="24"/>
                <w:szCs w:val="24"/>
              </w:rPr>
              <w:t>备注</w:t>
            </w:r>
          </w:p>
        </w:tc>
      </w:tr>
      <w:tr w14:paraId="7D553610">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noWrap w:val="0"/>
            <w:vAlign w:val="center"/>
          </w:tcPr>
          <w:p w14:paraId="5C8B42F4">
            <w:pPr>
              <w:autoSpaceDE w:val="0"/>
              <w:autoSpaceDN w:val="0"/>
              <w:spacing w:line="400" w:lineRule="exact"/>
              <w:jc w:val="center"/>
              <w:rPr>
                <w:rFonts w:ascii="仿宋" w:hAnsi="仿宋" w:eastAsia="仿宋" w:cs="Calibri Light"/>
                <w:color w:val="000000"/>
                <w:kern w:val="0"/>
                <w:sz w:val="24"/>
                <w:szCs w:val="24"/>
              </w:rPr>
            </w:pPr>
            <w:r>
              <w:rPr>
                <w:rFonts w:hint="eastAsia" w:ascii="仿宋" w:hAnsi="仿宋" w:eastAsia="仿宋"/>
                <w:color w:val="000000"/>
                <w:kern w:val="0"/>
                <w:sz w:val="24"/>
                <w:szCs w:val="24"/>
              </w:rPr>
              <w:t>1</w:t>
            </w:r>
          </w:p>
        </w:tc>
        <w:tc>
          <w:tcPr>
            <w:tcW w:w="1250" w:type="dxa"/>
            <w:tcBorders>
              <w:top w:val="single" w:color="000000" w:sz="6" w:space="0"/>
              <w:left w:val="nil"/>
              <w:bottom w:val="single" w:color="000000" w:sz="6" w:space="0"/>
              <w:right w:val="single" w:color="000000" w:sz="6" w:space="0"/>
            </w:tcBorders>
            <w:noWrap w:val="0"/>
            <w:vAlign w:val="center"/>
          </w:tcPr>
          <w:p w14:paraId="47F589C3">
            <w:pPr>
              <w:autoSpaceDE w:val="0"/>
              <w:autoSpaceDN w:val="0"/>
              <w:spacing w:line="400" w:lineRule="exact"/>
              <w:jc w:val="center"/>
              <w:rPr>
                <w:rFonts w:ascii="仿宋" w:hAnsi="仿宋" w:eastAsia="仿宋" w:cs="Calibri Light"/>
                <w:color w:val="000000"/>
                <w:kern w:val="0"/>
                <w:sz w:val="24"/>
                <w:szCs w:val="24"/>
              </w:rPr>
            </w:pPr>
          </w:p>
        </w:tc>
        <w:tc>
          <w:tcPr>
            <w:tcW w:w="1162" w:type="dxa"/>
            <w:tcBorders>
              <w:top w:val="single" w:color="000000" w:sz="6" w:space="0"/>
              <w:left w:val="nil"/>
              <w:bottom w:val="single" w:color="000000" w:sz="6" w:space="0"/>
              <w:right w:val="single" w:color="000000" w:sz="6" w:space="0"/>
            </w:tcBorders>
            <w:noWrap w:val="0"/>
            <w:vAlign w:val="center"/>
          </w:tcPr>
          <w:p w14:paraId="59BD978F">
            <w:pPr>
              <w:autoSpaceDE w:val="0"/>
              <w:autoSpaceDN w:val="0"/>
              <w:spacing w:line="400" w:lineRule="exact"/>
              <w:jc w:val="center"/>
              <w:rPr>
                <w:rFonts w:ascii="仿宋" w:hAnsi="仿宋" w:eastAsia="仿宋" w:cs="Calibri Light"/>
                <w:color w:val="000000"/>
                <w:kern w:val="0"/>
                <w:sz w:val="24"/>
                <w:szCs w:val="24"/>
              </w:rPr>
            </w:pPr>
          </w:p>
        </w:tc>
        <w:tc>
          <w:tcPr>
            <w:tcW w:w="1646" w:type="dxa"/>
            <w:tcBorders>
              <w:top w:val="single" w:color="000000" w:sz="6" w:space="0"/>
              <w:left w:val="nil"/>
              <w:bottom w:val="single" w:color="000000" w:sz="6" w:space="0"/>
              <w:right w:val="single" w:color="000000" w:sz="6" w:space="0"/>
            </w:tcBorders>
            <w:noWrap w:val="0"/>
            <w:vAlign w:val="center"/>
          </w:tcPr>
          <w:p w14:paraId="0EB9D0DF">
            <w:pPr>
              <w:autoSpaceDE w:val="0"/>
              <w:autoSpaceDN w:val="0"/>
              <w:spacing w:line="400" w:lineRule="exact"/>
              <w:jc w:val="center"/>
              <w:rPr>
                <w:rFonts w:ascii="仿宋" w:hAnsi="仿宋" w:eastAsia="仿宋" w:cs="Calibri Light"/>
                <w:color w:val="000000"/>
                <w:kern w:val="0"/>
                <w:sz w:val="24"/>
                <w:szCs w:val="24"/>
              </w:rPr>
            </w:pPr>
          </w:p>
        </w:tc>
        <w:tc>
          <w:tcPr>
            <w:tcW w:w="1070" w:type="dxa"/>
            <w:tcBorders>
              <w:top w:val="single" w:color="000000" w:sz="6" w:space="0"/>
              <w:left w:val="nil"/>
              <w:bottom w:val="single" w:color="000000" w:sz="6" w:space="0"/>
              <w:right w:val="single" w:color="auto" w:sz="4" w:space="0"/>
            </w:tcBorders>
            <w:noWrap w:val="0"/>
            <w:vAlign w:val="center"/>
          </w:tcPr>
          <w:p w14:paraId="00B27040">
            <w:pPr>
              <w:autoSpaceDE w:val="0"/>
              <w:autoSpaceDN w:val="0"/>
              <w:spacing w:line="400" w:lineRule="exact"/>
              <w:jc w:val="center"/>
              <w:rPr>
                <w:rFonts w:ascii="仿宋" w:hAnsi="仿宋" w:eastAsia="仿宋" w:cs="Calibri Light"/>
                <w:color w:val="000000"/>
                <w:kern w:val="0"/>
                <w:sz w:val="24"/>
                <w:szCs w:val="24"/>
              </w:rPr>
            </w:pPr>
          </w:p>
        </w:tc>
        <w:tc>
          <w:tcPr>
            <w:tcW w:w="880" w:type="dxa"/>
            <w:tcBorders>
              <w:top w:val="single" w:color="000000" w:sz="6" w:space="0"/>
              <w:left w:val="nil"/>
              <w:bottom w:val="single" w:color="000000" w:sz="6" w:space="0"/>
              <w:right w:val="single" w:color="auto" w:sz="4" w:space="0"/>
            </w:tcBorders>
            <w:noWrap w:val="0"/>
            <w:vAlign w:val="center"/>
          </w:tcPr>
          <w:p w14:paraId="02A47876">
            <w:pPr>
              <w:autoSpaceDE w:val="0"/>
              <w:autoSpaceDN w:val="0"/>
              <w:spacing w:line="400" w:lineRule="exact"/>
              <w:jc w:val="center"/>
              <w:rPr>
                <w:rFonts w:ascii="仿宋" w:hAnsi="仿宋" w:eastAsia="仿宋" w:cs="Calibri Light"/>
                <w:color w:val="000000"/>
                <w:kern w:val="0"/>
                <w:sz w:val="24"/>
                <w:szCs w:val="24"/>
              </w:rPr>
            </w:pPr>
          </w:p>
        </w:tc>
        <w:tc>
          <w:tcPr>
            <w:tcW w:w="1367" w:type="dxa"/>
            <w:tcBorders>
              <w:top w:val="single" w:color="000000" w:sz="6" w:space="0"/>
              <w:left w:val="nil"/>
              <w:bottom w:val="single" w:color="000000" w:sz="6" w:space="0"/>
              <w:right w:val="single" w:color="000000" w:sz="6" w:space="0"/>
            </w:tcBorders>
            <w:noWrap w:val="0"/>
            <w:vAlign w:val="center"/>
          </w:tcPr>
          <w:p w14:paraId="66DD7CB6">
            <w:pPr>
              <w:autoSpaceDE w:val="0"/>
              <w:autoSpaceDN w:val="0"/>
              <w:spacing w:line="400" w:lineRule="exact"/>
              <w:jc w:val="center"/>
              <w:rPr>
                <w:rFonts w:ascii="仿宋" w:hAnsi="仿宋" w:eastAsia="仿宋" w:cs="Calibri Light"/>
                <w:color w:val="000000"/>
                <w:kern w:val="0"/>
                <w:sz w:val="24"/>
                <w:szCs w:val="24"/>
              </w:rPr>
            </w:pPr>
          </w:p>
        </w:tc>
        <w:tc>
          <w:tcPr>
            <w:tcW w:w="921" w:type="dxa"/>
            <w:tcBorders>
              <w:top w:val="single" w:color="000000" w:sz="6" w:space="0"/>
              <w:left w:val="nil"/>
              <w:bottom w:val="single" w:color="000000" w:sz="6" w:space="0"/>
              <w:right w:val="single" w:color="000000" w:sz="8" w:space="0"/>
            </w:tcBorders>
            <w:noWrap w:val="0"/>
            <w:vAlign w:val="center"/>
          </w:tcPr>
          <w:p w14:paraId="77D06118">
            <w:pPr>
              <w:autoSpaceDE w:val="0"/>
              <w:autoSpaceDN w:val="0"/>
              <w:spacing w:line="400" w:lineRule="exact"/>
              <w:jc w:val="center"/>
              <w:rPr>
                <w:rFonts w:ascii="仿宋" w:hAnsi="仿宋" w:eastAsia="仿宋" w:cs="Calibri Light"/>
                <w:color w:val="000000"/>
                <w:kern w:val="0"/>
                <w:sz w:val="24"/>
                <w:szCs w:val="24"/>
              </w:rPr>
            </w:pPr>
          </w:p>
        </w:tc>
      </w:tr>
      <w:tr w14:paraId="2C6DBDA8">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noWrap w:val="0"/>
            <w:vAlign w:val="center"/>
          </w:tcPr>
          <w:p w14:paraId="2A7AD023">
            <w:pPr>
              <w:autoSpaceDE w:val="0"/>
              <w:autoSpaceDN w:val="0"/>
              <w:spacing w:line="400" w:lineRule="exact"/>
              <w:jc w:val="center"/>
              <w:rPr>
                <w:rFonts w:ascii="仿宋" w:hAnsi="仿宋" w:eastAsia="仿宋" w:cs="Calibri Light"/>
                <w:color w:val="000000"/>
                <w:kern w:val="0"/>
                <w:sz w:val="24"/>
                <w:szCs w:val="24"/>
              </w:rPr>
            </w:pPr>
            <w:r>
              <w:rPr>
                <w:rFonts w:hint="eastAsia" w:ascii="仿宋" w:hAnsi="仿宋" w:eastAsia="仿宋"/>
                <w:color w:val="000000"/>
                <w:kern w:val="0"/>
                <w:sz w:val="24"/>
                <w:szCs w:val="24"/>
              </w:rPr>
              <w:t>2</w:t>
            </w:r>
          </w:p>
        </w:tc>
        <w:tc>
          <w:tcPr>
            <w:tcW w:w="1250" w:type="dxa"/>
            <w:tcBorders>
              <w:top w:val="single" w:color="000000" w:sz="6" w:space="0"/>
              <w:left w:val="nil"/>
              <w:bottom w:val="single" w:color="000000" w:sz="6" w:space="0"/>
              <w:right w:val="single" w:color="000000" w:sz="6" w:space="0"/>
            </w:tcBorders>
            <w:noWrap w:val="0"/>
            <w:vAlign w:val="center"/>
          </w:tcPr>
          <w:p w14:paraId="0CBC801F">
            <w:pPr>
              <w:autoSpaceDE w:val="0"/>
              <w:autoSpaceDN w:val="0"/>
              <w:spacing w:line="400" w:lineRule="exact"/>
              <w:jc w:val="center"/>
              <w:rPr>
                <w:rFonts w:ascii="仿宋" w:hAnsi="仿宋" w:eastAsia="仿宋" w:cs="Calibri Light"/>
                <w:color w:val="000000"/>
                <w:kern w:val="0"/>
                <w:sz w:val="24"/>
                <w:szCs w:val="24"/>
              </w:rPr>
            </w:pPr>
          </w:p>
        </w:tc>
        <w:tc>
          <w:tcPr>
            <w:tcW w:w="1162" w:type="dxa"/>
            <w:tcBorders>
              <w:top w:val="single" w:color="000000" w:sz="6" w:space="0"/>
              <w:left w:val="nil"/>
              <w:bottom w:val="single" w:color="000000" w:sz="6" w:space="0"/>
              <w:right w:val="single" w:color="000000" w:sz="6" w:space="0"/>
            </w:tcBorders>
            <w:noWrap w:val="0"/>
            <w:vAlign w:val="center"/>
          </w:tcPr>
          <w:p w14:paraId="79CF777A">
            <w:pPr>
              <w:autoSpaceDE w:val="0"/>
              <w:autoSpaceDN w:val="0"/>
              <w:spacing w:line="400" w:lineRule="exact"/>
              <w:jc w:val="center"/>
              <w:rPr>
                <w:rFonts w:ascii="仿宋" w:hAnsi="仿宋" w:eastAsia="仿宋" w:cs="Calibri Light"/>
                <w:color w:val="000000"/>
                <w:kern w:val="0"/>
                <w:sz w:val="24"/>
                <w:szCs w:val="24"/>
              </w:rPr>
            </w:pPr>
          </w:p>
        </w:tc>
        <w:tc>
          <w:tcPr>
            <w:tcW w:w="1646" w:type="dxa"/>
            <w:tcBorders>
              <w:top w:val="single" w:color="000000" w:sz="6" w:space="0"/>
              <w:left w:val="nil"/>
              <w:bottom w:val="single" w:color="000000" w:sz="6" w:space="0"/>
              <w:right w:val="single" w:color="000000" w:sz="6" w:space="0"/>
            </w:tcBorders>
            <w:noWrap w:val="0"/>
            <w:vAlign w:val="center"/>
          </w:tcPr>
          <w:p w14:paraId="63B64A0B">
            <w:pPr>
              <w:autoSpaceDE w:val="0"/>
              <w:autoSpaceDN w:val="0"/>
              <w:spacing w:line="400" w:lineRule="exact"/>
              <w:jc w:val="center"/>
              <w:rPr>
                <w:rFonts w:ascii="仿宋" w:hAnsi="仿宋" w:eastAsia="仿宋" w:cs="Calibri Light"/>
                <w:color w:val="000000"/>
                <w:kern w:val="0"/>
                <w:sz w:val="24"/>
                <w:szCs w:val="24"/>
              </w:rPr>
            </w:pPr>
          </w:p>
        </w:tc>
        <w:tc>
          <w:tcPr>
            <w:tcW w:w="1070" w:type="dxa"/>
            <w:tcBorders>
              <w:top w:val="single" w:color="000000" w:sz="6" w:space="0"/>
              <w:left w:val="nil"/>
              <w:bottom w:val="single" w:color="000000" w:sz="6" w:space="0"/>
              <w:right w:val="single" w:color="auto" w:sz="4" w:space="0"/>
            </w:tcBorders>
            <w:noWrap w:val="0"/>
            <w:vAlign w:val="center"/>
          </w:tcPr>
          <w:p w14:paraId="25524968">
            <w:pPr>
              <w:autoSpaceDE w:val="0"/>
              <w:autoSpaceDN w:val="0"/>
              <w:spacing w:line="400" w:lineRule="exact"/>
              <w:jc w:val="center"/>
              <w:rPr>
                <w:rFonts w:ascii="仿宋" w:hAnsi="仿宋" w:eastAsia="仿宋" w:cs="Calibri Light"/>
                <w:color w:val="000000"/>
                <w:kern w:val="0"/>
                <w:sz w:val="24"/>
                <w:szCs w:val="24"/>
              </w:rPr>
            </w:pPr>
          </w:p>
        </w:tc>
        <w:tc>
          <w:tcPr>
            <w:tcW w:w="880" w:type="dxa"/>
            <w:tcBorders>
              <w:top w:val="single" w:color="000000" w:sz="6" w:space="0"/>
              <w:left w:val="nil"/>
              <w:bottom w:val="single" w:color="000000" w:sz="6" w:space="0"/>
              <w:right w:val="single" w:color="auto" w:sz="4" w:space="0"/>
            </w:tcBorders>
            <w:noWrap w:val="0"/>
            <w:vAlign w:val="center"/>
          </w:tcPr>
          <w:p w14:paraId="2E3C09CD">
            <w:pPr>
              <w:autoSpaceDE w:val="0"/>
              <w:autoSpaceDN w:val="0"/>
              <w:spacing w:line="400" w:lineRule="exact"/>
              <w:jc w:val="center"/>
              <w:rPr>
                <w:rFonts w:ascii="仿宋" w:hAnsi="仿宋" w:eastAsia="仿宋" w:cs="Calibri Light"/>
                <w:color w:val="000000"/>
                <w:kern w:val="0"/>
                <w:sz w:val="24"/>
                <w:szCs w:val="24"/>
              </w:rPr>
            </w:pPr>
          </w:p>
        </w:tc>
        <w:tc>
          <w:tcPr>
            <w:tcW w:w="1367" w:type="dxa"/>
            <w:tcBorders>
              <w:top w:val="single" w:color="000000" w:sz="6" w:space="0"/>
              <w:left w:val="nil"/>
              <w:bottom w:val="single" w:color="000000" w:sz="6" w:space="0"/>
              <w:right w:val="single" w:color="000000" w:sz="6" w:space="0"/>
            </w:tcBorders>
            <w:noWrap w:val="0"/>
            <w:vAlign w:val="center"/>
          </w:tcPr>
          <w:p w14:paraId="72736FF4">
            <w:pPr>
              <w:autoSpaceDE w:val="0"/>
              <w:autoSpaceDN w:val="0"/>
              <w:spacing w:line="400" w:lineRule="exact"/>
              <w:jc w:val="center"/>
              <w:rPr>
                <w:rFonts w:ascii="仿宋" w:hAnsi="仿宋" w:eastAsia="仿宋" w:cs="Calibri Light"/>
                <w:color w:val="000000"/>
                <w:kern w:val="0"/>
                <w:sz w:val="24"/>
                <w:szCs w:val="24"/>
              </w:rPr>
            </w:pPr>
          </w:p>
        </w:tc>
        <w:tc>
          <w:tcPr>
            <w:tcW w:w="921" w:type="dxa"/>
            <w:tcBorders>
              <w:top w:val="single" w:color="000000" w:sz="6" w:space="0"/>
              <w:left w:val="nil"/>
              <w:bottom w:val="single" w:color="000000" w:sz="6" w:space="0"/>
              <w:right w:val="single" w:color="000000" w:sz="8" w:space="0"/>
            </w:tcBorders>
            <w:noWrap w:val="0"/>
            <w:vAlign w:val="center"/>
          </w:tcPr>
          <w:p w14:paraId="64DEF32C">
            <w:pPr>
              <w:autoSpaceDE w:val="0"/>
              <w:autoSpaceDN w:val="0"/>
              <w:spacing w:line="400" w:lineRule="exact"/>
              <w:jc w:val="center"/>
              <w:rPr>
                <w:rFonts w:ascii="仿宋" w:hAnsi="仿宋" w:eastAsia="仿宋" w:cs="Calibri Light"/>
                <w:color w:val="000000"/>
                <w:kern w:val="0"/>
                <w:sz w:val="24"/>
                <w:szCs w:val="24"/>
              </w:rPr>
            </w:pPr>
          </w:p>
        </w:tc>
      </w:tr>
      <w:tr w14:paraId="74D30D4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noWrap w:val="0"/>
            <w:vAlign w:val="center"/>
          </w:tcPr>
          <w:p w14:paraId="31021170">
            <w:pPr>
              <w:autoSpaceDE w:val="0"/>
              <w:autoSpaceDN w:val="0"/>
              <w:spacing w:line="400" w:lineRule="exact"/>
              <w:jc w:val="center"/>
              <w:rPr>
                <w:rFonts w:ascii="仿宋" w:hAnsi="仿宋" w:eastAsia="仿宋" w:cs="Calibri Light"/>
                <w:color w:val="000000"/>
                <w:kern w:val="0"/>
                <w:sz w:val="24"/>
                <w:szCs w:val="24"/>
              </w:rPr>
            </w:pPr>
            <w:r>
              <w:rPr>
                <w:rFonts w:hint="eastAsia" w:ascii="仿宋" w:hAnsi="仿宋" w:eastAsia="仿宋"/>
                <w:color w:val="000000"/>
                <w:kern w:val="0"/>
                <w:szCs w:val="21"/>
              </w:rPr>
              <w:t>…</w:t>
            </w:r>
          </w:p>
        </w:tc>
        <w:tc>
          <w:tcPr>
            <w:tcW w:w="1250" w:type="dxa"/>
            <w:tcBorders>
              <w:top w:val="single" w:color="000000" w:sz="6" w:space="0"/>
              <w:left w:val="nil"/>
              <w:bottom w:val="single" w:color="000000" w:sz="6" w:space="0"/>
              <w:right w:val="single" w:color="000000" w:sz="6" w:space="0"/>
            </w:tcBorders>
            <w:noWrap w:val="0"/>
            <w:vAlign w:val="center"/>
          </w:tcPr>
          <w:p w14:paraId="5B2F8F8E">
            <w:pPr>
              <w:autoSpaceDE w:val="0"/>
              <w:autoSpaceDN w:val="0"/>
              <w:spacing w:line="400" w:lineRule="exact"/>
              <w:jc w:val="center"/>
              <w:rPr>
                <w:rFonts w:ascii="仿宋" w:hAnsi="仿宋" w:eastAsia="仿宋" w:cs="Calibri Light"/>
                <w:color w:val="000000"/>
                <w:kern w:val="0"/>
                <w:sz w:val="24"/>
                <w:szCs w:val="24"/>
              </w:rPr>
            </w:pPr>
          </w:p>
        </w:tc>
        <w:tc>
          <w:tcPr>
            <w:tcW w:w="1162" w:type="dxa"/>
            <w:tcBorders>
              <w:top w:val="single" w:color="000000" w:sz="6" w:space="0"/>
              <w:left w:val="nil"/>
              <w:bottom w:val="single" w:color="000000" w:sz="6" w:space="0"/>
              <w:right w:val="single" w:color="000000" w:sz="6" w:space="0"/>
            </w:tcBorders>
            <w:noWrap w:val="0"/>
            <w:vAlign w:val="center"/>
          </w:tcPr>
          <w:p w14:paraId="1FFD1598">
            <w:pPr>
              <w:autoSpaceDE w:val="0"/>
              <w:autoSpaceDN w:val="0"/>
              <w:spacing w:line="400" w:lineRule="exact"/>
              <w:jc w:val="center"/>
              <w:rPr>
                <w:rFonts w:ascii="仿宋" w:hAnsi="仿宋" w:eastAsia="仿宋" w:cs="Calibri Light"/>
                <w:color w:val="000000"/>
                <w:kern w:val="0"/>
                <w:sz w:val="24"/>
                <w:szCs w:val="24"/>
              </w:rPr>
            </w:pPr>
          </w:p>
        </w:tc>
        <w:tc>
          <w:tcPr>
            <w:tcW w:w="1646" w:type="dxa"/>
            <w:tcBorders>
              <w:top w:val="single" w:color="000000" w:sz="6" w:space="0"/>
              <w:left w:val="nil"/>
              <w:bottom w:val="single" w:color="000000" w:sz="6" w:space="0"/>
              <w:right w:val="single" w:color="000000" w:sz="6" w:space="0"/>
            </w:tcBorders>
            <w:noWrap w:val="0"/>
            <w:vAlign w:val="center"/>
          </w:tcPr>
          <w:p w14:paraId="79095A1E">
            <w:pPr>
              <w:autoSpaceDE w:val="0"/>
              <w:autoSpaceDN w:val="0"/>
              <w:spacing w:line="400" w:lineRule="exact"/>
              <w:jc w:val="center"/>
              <w:rPr>
                <w:rFonts w:ascii="仿宋" w:hAnsi="仿宋" w:eastAsia="仿宋" w:cs="Calibri Light"/>
                <w:color w:val="000000"/>
                <w:kern w:val="0"/>
                <w:sz w:val="24"/>
                <w:szCs w:val="24"/>
              </w:rPr>
            </w:pPr>
          </w:p>
        </w:tc>
        <w:tc>
          <w:tcPr>
            <w:tcW w:w="1070" w:type="dxa"/>
            <w:tcBorders>
              <w:top w:val="single" w:color="000000" w:sz="6" w:space="0"/>
              <w:left w:val="nil"/>
              <w:bottom w:val="single" w:color="000000" w:sz="6" w:space="0"/>
              <w:right w:val="single" w:color="auto" w:sz="4" w:space="0"/>
            </w:tcBorders>
            <w:noWrap w:val="0"/>
            <w:vAlign w:val="center"/>
          </w:tcPr>
          <w:p w14:paraId="1A666A5E">
            <w:pPr>
              <w:autoSpaceDE w:val="0"/>
              <w:autoSpaceDN w:val="0"/>
              <w:spacing w:line="400" w:lineRule="exact"/>
              <w:jc w:val="center"/>
              <w:rPr>
                <w:rFonts w:ascii="仿宋" w:hAnsi="仿宋" w:eastAsia="仿宋" w:cs="Calibri Light"/>
                <w:color w:val="000000"/>
                <w:kern w:val="0"/>
                <w:sz w:val="24"/>
                <w:szCs w:val="24"/>
              </w:rPr>
            </w:pPr>
          </w:p>
        </w:tc>
        <w:tc>
          <w:tcPr>
            <w:tcW w:w="880" w:type="dxa"/>
            <w:tcBorders>
              <w:top w:val="single" w:color="000000" w:sz="6" w:space="0"/>
              <w:left w:val="nil"/>
              <w:bottom w:val="single" w:color="000000" w:sz="6" w:space="0"/>
              <w:right w:val="single" w:color="auto" w:sz="4" w:space="0"/>
            </w:tcBorders>
            <w:noWrap w:val="0"/>
            <w:vAlign w:val="center"/>
          </w:tcPr>
          <w:p w14:paraId="0EFDA84D">
            <w:pPr>
              <w:autoSpaceDE w:val="0"/>
              <w:autoSpaceDN w:val="0"/>
              <w:spacing w:line="400" w:lineRule="exact"/>
              <w:jc w:val="center"/>
              <w:rPr>
                <w:rFonts w:ascii="仿宋" w:hAnsi="仿宋" w:eastAsia="仿宋" w:cs="Calibri Light"/>
                <w:color w:val="000000"/>
                <w:kern w:val="0"/>
                <w:sz w:val="24"/>
                <w:szCs w:val="24"/>
              </w:rPr>
            </w:pPr>
          </w:p>
        </w:tc>
        <w:tc>
          <w:tcPr>
            <w:tcW w:w="1367" w:type="dxa"/>
            <w:tcBorders>
              <w:top w:val="single" w:color="000000" w:sz="6" w:space="0"/>
              <w:left w:val="nil"/>
              <w:bottom w:val="single" w:color="000000" w:sz="6" w:space="0"/>
              <w:right w:val="single" w:color="000000" w:sz="6" w:space="0"/>
            </w:tcBorders>
            <w:noWrap w:val="0"/>
            <w:vAlign w:val="center"/>
          </w:tcPr>
          <w:p w14:paraId="046C1E41">
            <w:pPr>
              <w:autoSpaceDE w:val="0"/>
              <w:autoSpaceDN w:val="0"/>
              <w:spacing w:line="400" w:lineRule="exact"/>
              <w:jc w:val="center"/>
              <w:rPr>
                <w:rFonts w:ascii="仿宋" w:hAnsi="仿宋" w:eastAsia="仿宋" w:cs="Calibri Light"/>
                <w:color w:val="000000"/>
                <w:kern w:val="0"/>
                <w:sz w:val="24"/>
                <w:szCs w:val="24"/>
              </w:rPr>
            </w:pPr>
          </w:p>
        </w:tc>
        <w:tc>
          <w:tcPr>
            <w:tcW w:w="921" w:type="dxa"/>
            <w:tcBorders>
              <w:top w:val="single" w:color="000000" w:sz="6" w:space="0"/>
              <w:left w:val="nil"/>
              <w:bottom w:val="single" w:color="000000" w:sz="6" w:space="0"/>
              <w:right w:val="single" w:color="000000" w:sz="8" w:space="0"/>
            </w:tcBorders>
            <w:noWrap w:val="0"/>
            <w:vAlign w:val="center"/>
          </w:tcPr>
          <w:p w14:paraId="022D2311">
            <w:pPr>
              <w:autoSpaceDE w:val="0"/>
              <w:autoSpaceDN w:val="0"/>
              <w:spacing w:line="400" w:lineRule="exact"/>
              <w:jc w:val="center"/>
              <w:rPr>
                <w:rFonts w:ascii="仿宋" w:hAnsi="仿宋" w:eastAsia="仿宋" w:cs="Calibri Light"/>
                <w:color w:val="000000"/>
                <w:kern w:val="0"/>
                <w:sz w:val="24"/>
                <w:szCs w:val="24"/>
              </w:rPr>
            </w:pPr>
          </w:p>
        </w:tc>
      </w:tr>
      <w:tr w14:paraId="6DF9B792">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noWrap w:val="0"/>
            <w:vAlign w:val="center"/>
          </w:tcPr>
          <w:p w14:paraId="7F60C67B">
            <w:pPr>
              <w:autoSpaceDE w:val="0"/>
              <w:autoSpaceDN w:val="0"/>
              <w:spacing w:line="400" w:lineRule="exact"/>
              <w:jc w:val="left"/>
              <w:rPr>
                <w:rFonts w:ascii="仿宋" w:hAnsi="仿宋" w:eastAsia="仿宋" w:cs="Calibri Light"/>
                <w:color w:val="000000"/>
                <w:kern w:val="0"/>
                <w:sz w:val="24"/>
                <w:szCs w:val="24"/>
              </w:rPr>
            </w:pPr>
            <w:r>
              <w:rPr>
                <w:rFonts w:hint="eastAsia" w:ascii="仿宋" w:hAnsi="仿宋" w:eastAsia="仿宋"/>
                <w:b/>
                <w:bCs/>
                <w:color w:val="000000"/>
                <w:kern w:val="0"/>
                <w:sz w:val="24"/>
                <w:szCs w:val="24"/>
              </w:rPr>
              <w:t>合计（元）：</w:t>
            </w:r>
          </w:p>
        </w:tc>
      </w:tr>
      <w:tr w14:paraId="58C1872E">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noWrap w:val="0"/>
            <w:vAlign w:val="center"/>
          </w:tcPr>
          <w:p w14:paraId="3A05D106">
            <w:pPr>
              <w:autoSpaceDE w:val="0"/>
              <w:autoSpaceDN w:val="0"/>
              <w:spacing w:line="400" w:lineRule="exact"/>
              <w:jc w:val="center"/>
              <w:rPr>
                <w:rFonts w:ascii="仿宋" w:hAnsi="仿宋" w:eastAsia="仿宋" w:cs="Calibri Light"/>
                <w:color w:val="000000"/>
                <w:kern w:val="0"/>
                <w:sz w:val="24"/>
                <w:szCs w:val="24"/>
              </w:rPr>
            </w:pPr>
            <w:r>
              <w:rPr>
                <w:rFonts w:hint="eastAsia" w:ascii="仿宋" w:hAnsi="仿宋" w:eastAsia="仿宋"/>
                <w:kern w:val="0"/>
                <w:sz w:val="24"/>
                <w:szCs w:val="24"/>
              </w:rPr>
              <w:t>磋商报价</w:t>
            </w:r>
          </w:p>
        </w:tc>
        <w:tc>
          <w:tcPr>
            <w:tcW w:w="7046" w:type="dxa"/>
            <w:gridSpan w:val="6"/>
            <w:tcBorders>
              <w:top w:val="single" w:color="000000" w:sz="6" w:space="0"/>
              <w:left w:val="nil"/>
              <w:bottom w:val="single" w:color="000000" w:sz="6" w:space="0"/>
              <w:right w:val="single" w:color="000000" w:sz="8" w:space="0"/>
            </w:tcBorders>
            <w:noWrap w:val="0"/>
            <w:vAlign w:val="center"/>
          </w:tcPr>
          <w:p w14:paraId="3559E7C0">
            <w:pPr>
              <w:autoSpaceDE w:val="0"/>
              <w:autoSpaceDN w:val="0"/>
              <w:spacing w:before="190" w:beforeLines="50"/>
              <w:rPr>
                <w:rFonts w:hint="eastAsia" w:ascii="仿宋" w:hAnsi="仿宋" w:eastAsia="仿宋"/>
                <w:color w:val="000000"/>
                <w:kern w:val="0"/>
                <w:sz w:val="24"/>
                <w:szCs w:val="24"/>
              </w:rPr>
            </w:pPr>
            <w:r>
              <w:rPr>
                <w:rFonts w:hint="eastAsia" w:ascii="仿宋" w:hAnsi="仿宋" w:eastAsia="仿宋"/>
                <w:color w:val="000000"/>
                <w:kern w:val="0"/>
                <w:sz w:val="24"/>
                <w:szCs w:val="24"/>
              </w:rPr>
              <w:t>小写：</w:t>
            </w:r>
          </w:p>
          <w:p w14:paraId="568187BB">
            <w:pPr>
              <w:pStyle w:val="12"/>
              <w:rPr>
                <w:rFonts w:hint="eastAsia" w:eastAsia="仿宋"/>
                <w:lang w:val="en-US" w:eastAsia="zh-CN"/>
              </w:rPr>
            </w:pPr>
            <w:r>
              <w:rPr>
                <w:rFonts w:hint="eastAsia" w:ascii="仿宋" w:hAnsi="仿宋" w:eastAsia="仿宋"/>
                <w:color w:val="000000"/>
                <w:kern w:val="0"/>
                <w:sz w:val="24"/>
                <w:szCs w:val="24"/>
                <w:lang w:val="en-US" w:eastAsia="zh-CN"/>
              </w:rPr>
              <w:t>大写：</w:t>
            </w:r>
          </w:p>
          <w:p w14:paraId="1847A32D">
            <w:pPr>
              <w:autoSpaceDE w:val="0"/>
              <w:autoSpaceDN w:val="0"/>
              <w:spacing w:line="400" w:lineRule="exact"/>
              <w:jc w:val="right"/>
              <w:rPr>
                <w:rFonts w:ascii="仿宋" w:hAnsi="仿宋" w:eastAsia="仿宋" w:cs="Calibri Light"/>
                <w:color w:val="000000"/>
                <w:kern w:val="0"/>
                <w:sz w:val="24"/>
                <w:szCs w:val="24"/>
              </w:rPr>
            </w:pPr>
            <w:r>
              <w:rPr>
                <w:rFonts w:hint="eastAsia" w:ascii="仿宋" w:hAnsi="仿宋" w:eastAsia="仿宋"/>
                <w:color w:val="000000"/>
                <w:sz w:val="24"/>
                <w:szCs w:val="24"/>
              </w:rPr>
              <w:t>单位：元</w:t>
            </w:r>
          </w:p>
        </w:tc>
      </w:tr>
    </w:tbl>
    <w:p w14:paraId="6D77A924">
      <w:pPr>
        <w:autoSpaceDE w:val="0"/>
        <w:autoSpaceDN w:val="0"/>
        <w:spacing w:line="400" w:lineRule="exact"/>
        <w:jc w:val="center"/>
        <w:rPr>
          <w:rFonts w:hint="eastAsia" w:ascii="仿宋" w:hAnsi="仿宋" w:eastAsia="仿宋"/>
          <w:kern w:val="0"/>
          <w:sz w:val="24"/>
          <w:szCs w:val="24"/>
        </w:rPr>
      </w:pPr>
      <w:r>
        <w:rPr>
          <w:rFonts w:hint="eastAsia" w:ascii="仿宋" w:hAnsi="仿宋" w:eastAsia="仿宋"/>
          <w:kern w:val="0"/>
          <w:sz w:val="24"/>
          <w:szCs w:val="24"/>
        </w:rPr>
        <w:t>备注：1.本表“磋商报价”金额应与“第一次磋商报价表”中的“磋商报价”一致；</w:t>
      </w:r>
    </w:p>
    <w:p w14:paraId="2E01DC48">
      <w:pPr>
        <w:autoSpaceDE w:val="0"/>
        <w:autoSpaceDN w:val="0"/>
        <w:spacing w:line="400" w:lineRule="exact"/>
        <w:ind w:left="0" w:leftChars="0" w:firstLine="840" w:firstLineChars="350"/>
        <w:jc w:val="both"/>
        <w:rPr>
          <w:rFonts w:hint="eastAsia" w:ascii="仿宋" w:hAnsi="仿宋" w:eastAsia="仿宋"/>
          <w:kern w:val="0"/>
          <w:sz w:val="24"/>
          <w:szCs w:val="24"/>
        </w:rPr>
      </w:pPr>
      <w:r>
        <w:rPr>
          <w:rFonts w:hint="eastAsia" w:ascii="仿宋" w:hAnsi="仿宋" w:eastAsia="仿宋"/>
          <w:kern w:val="0"/>
          <w:sz w:val="24"/>
          <w:szCs w:val="24"/>
        </w:rPr>
        <w:t>2.本表为样表，仅供参考，供应商根据项目实际需求进行填写。</w:t>
      </w:r>
    </w:p>
    <w:p w14:paraId="1205899A">
      <w:pPr>
        <w:pStyle w:val="10"/>
        <w:spacing w:after="190"/>
        <w:rPr>
          <w:rFonts w:ascii="Calibri Light" w:cs="Calibri Light"/>
          <w:color w:val="000000"/>
          <w:sz w:val="28"/>
          <w:szCs w:val="28"/>
        </w:rPr>
      </w:pPr>
      <w:r>
        <w:rPr>
          <w:color w:val="000000"/>
        </w:rPr>
        <w:t xml:space="preserve"> </w:t>
      </w:r>
    </w:p>
    <w:p w14:paraId="35DD64F9">
      <w:pPr>
        <w:autoSpaceDE w:val="0"/>
        <w:autoSpaceDN w:val="0"/>
        <w:ind w:firstLine="1400" w:firstLineChars="500"/>
        <w:rPr>
          <w:rFonts w:ascii="宋体" w:hAnsi="宋体"/>
          <w:color w:val="000000"/>
          <w:kern w:val="0"/>
          <w:szCs w:val="21"/>
        </w:rPr>
      </w:pPr>
      <w:r>
        <w:rPr>
          <w:rFonts w:hint="eastAsia" w:ascii="宋体" w:hAnsi="宋体"/>
          <w:color w:val="000000"/>
          <w:kern w:val="0"/>
          <w:szCs w:val="21"/>
        </w:rPr>
        <w:t xml:space="preserve"> </w:t>
      </w:r>
    </w:p>
    <w:p w14:paraId="11637AEB">
      <w:pPr>
        <w:spacing w:line="500" w:lineRule="exact"/>
        <w:ind w:firstLine="562" w:firstLineChars="200"/>
        <w:rPr>
          <w:rFonts w:hint="eastAsia" w:ascii="仿宋" w:hAnsi="仿宋" w:eastAsia="仿宋" w:cs="Calibri"/>
          <w:b/>
          <w:bCs/>
          <w:color w:val="000000"/>
          <w:sz w:val="28"/>
          <w:szCs w:val="28"/>
        </w:rPr>
      </w:pPr>
      <w:r>
        <w:rPr>
          <w:rFonts w:hint="eastAsia" w:ascii="仿宋" w:hAnsi="仿宋" w:eastAsia="仿宋" w:cs="Calibri"/>
          <w:b/>
          <w:bCs/>
          <w:color w:val="000000"/>
        </w:rPr>
        <w:t xml:space="preserve"> </w:t>
      </w:r>
    </w:p>
    <w:p w14:paraId="42BE5F99">
      <w:pPr>
        <w:pStyle w:val="10"/>
        <w:rPr>
          <w:rFonts w:hint="eastAsia" w:ascii="Calibri Light" w:hAnsi="Calibri Light" w:eastAsia="华文仿宋" w:cs="Calibri Light"/>
          <w:color w:val="000000"/>
        </w:rPr>
      </w:pPr>
      <w:r>
        <w:rPr>
          <w:color w:val="000000"/>
        </w:rPr>
        <w:t xml:space="preserve"> </w:t>
      </w:r>
    </w:p>
    <w:p w14:paraId="2A0A63A8">
      <w:pPr>
        <w:pStyle w:val="10"/>
        <w:spacing w:line="500" w:lineRule="exact"/>
        <w:ind w:firstLine="5040" w:firstLineChars="1800"/>
        <w:jc w:val="right"/>
        <w:rPr>
          <w:rFonts w:ascii="仿宋" w:hAnsi="仿宋" w:eastAsia="仿宋"/>
          <w:bCs/>
          <w:color w:val="000000"/>
        </w:rPr>
      </w:pPr>
      <w:r>
        <w:rPr>
          <w:rFonts w:ascii="华文仿宋" w:hAnsi="华文仿宋"/>
          <w:bCs/>
          <w:color w:val="000000"/>
        </w:rPr>
        <w:t>供应商：</w:t>
      </w:r>
      <w:r>
        <w:rPr>
          <w:rFonts w:ascii="华文仿宋" w:hAnsi="华文仿宋"/>
          <w:color w:val="000000"/>
          <w:u w:val="single"/>
        </w:rPr>
        <w:t>名称</w:t>
      </w:r>
      <w:r>
        <w:rPr>
          <w:rFonts w:ascii="华文仿宋" w:hAnsi="华文仿宋"/>
          <w:bCs/>
          <w:color w:val="000000"/>
        </w:rPr>
        <w:t>（加盖公章）</w:t>
      </w:r>
      <w:r>
        <w:rPr>
          <w:rFonts w:hint="eastAsia" w:ascii="仿宋" w:hAnsi="仿宋" w:eastAsia="仿宋"/>
          <w:bCs/>
          <w:color w:val="000000"/>
        </w:rPr>
        <w:tab/>
      </w:r>
    </w:p>
    <w:p w14:paraId="3B16AF27">
      <w:pPr>
        <w:spacing w:line="500" w:lineRule="exact"/>
        <w:ind w:firstLine="5320" w:firstLineChars="1900"/>
        <w:jc w:val="both"/>
        <w:rPr>
          <w:rFonts w:hint="eastAsia" w:ascii="Calibri Light" w:hAnsi="Calibri Light" w:eastAsia="华文仿宋"/>
        </w:rPr>
      </w:pPr>
      <w:r>
        <w:rPr>
          <w:rFonts w:ascii="华文仿宋" w:hAnsi="华文仿宋"/>
          <w:color w:val="000000"/>
        </w:rPr>
        <w:t>日</w:t>
      </w:r>
      <w:r>
        <w:rPr>
          <w:rFonts w:hint="eastAsia" w:ascii="华文仿宋" w:hAnsi="华文仿宋"/>
          <w:color w:val="000000"/>
          <w:lang w:val="en-US" w:eastAsia="zh-CN"/>
        </w:rPr>
        <w:t xml:space="preserve">  </w:t>
      </w:r>
      <w:r>
        <w:rPr>
          <w:rFonts w:ascii="华文仿宋" w:hAnsi="华文仿宋"/>
          <w:color w:val="000000"/>
        </w:rPr>
        <w:t xml:space="preserve">期： 年 月 </w:t>
      </w:r>
      <w:r>
        <w:rPr>
          <w:color w:val="000000"/>
        </w:rPr>
        <w:t xml:space="preserve"> </w:t>
      </w:r>
      <w:r>
        <w:rPr>
          <w:rFonts w:ascii="华文仿宋" w:hAnsi="华文仿宋"/>
          <w:color w:val="000000"/>
        </w:rPr>
        <w:t>日</w:t>
      </w:r>
    </w:p>
    <w:p w14:paraId="1C9EFDD6">
      <w:pPr>
        <w:jc w:val="right"/>
        <w:rPr>
          <w:rFonts w:ascii="宋体" w:hAnsi="宋体"/>
          <w:b/>
          <w:bCs/>
          <w:color w:val="000000"/>
          <w:sz w:val="32"/>
          <w:szCs w:val="32"/>
        </w:rPr>
        <w:sectPr>
          <w:type w:val="continuous"/>
          <w:pgSz w:w="11906" w:h="16838"/>
          <w:pgMar w:top="1417" w:right="1417" w:bottom="1417" w:left="1417" w:header="850" w:footer="992" w:gutter="0"/>
          <w:cols w:space="720" w:num="1"/>
          <w:docGrid w:type="lines" w:linePitch="381" w:charSpace="0"/>
        </w:sectPr>
      </w:pPr>
    </w:p>
    <w:p w14:paraId="70D4C934">
      <w:pPr>
        <w:pStyle w:val="33"/>
        <w:ind w:firstLine="609"/>
        <w:jc w:val="both"/>
        <w:outlineLvl w:val="2"/>
        <w:rPr>
          <w:rFonts w:hint="eastAsia" w:ascii="仿宋" w:hAnsi="仿宋" w:eastAsia="仿宋" w:cs="仿宋"/>
          <w:color w:val="000000"/>
          <w:sz w:val="32"/>
          <w:lang w:val="en-US" w:eastAsia="zh-CN"/>
        </w:rPr>
      </w:pPr>
    </w:p>
    <w:p w14:paraId="184944DB">
      <w:pPr>
        <w:pStyle w:val="33"/>
        <w:ind w:firstLine="609"/>
        <w:jc w:val="both"/>
        <w:outlineLvl w:val="2"/>
        <w:rPr>
          <w:rFonts w:hint="eastAsia" w:ascii="仿宋" w:hAnsi="仿宋" w:eastAsia="仿宋" w:cs="仿宋"/>
          <w:color w:val="000000"/>
          <w:sz w:val="32"/>
          <w:lang w:val="en-US" w:eastAsia="zh-CN"/>
        </w:rPr>
      </w:pPr>
    </w:p>
    <w:p w14:paraId="1BFE1E01">
      <w:pPr>
        <w:pStyle w:val="33"/>
        <w:ind w:firstLine="609"/>
        <w:jc w:val="both"/>
        <w:outlineLvl w:val="2"/>
        <w:rPr>
          <w:rFonts w:hint="eastAsia" w:ascii="仿宋" w:hAnsi="仿宋" w:eastAsia="仿宋" w:cs="仿宋"/>
          <w:color w:val="000000"/>
          <w:sz w:val="32"/>
          <w:lang w:val="en-US" w:eastAsia="zh-CN"/>
        </w:rPr>
      </w:pPr>
    </w:p>
    <w:p w14:paraId="2BF390FD">
      <w:pPr>
        <w:pStyle w:val="33"/>
        <w:ind w:firstLine="609"/>
        <w:jc w:val="both"/>
        <w:outlineLvl w:val="2"/>
        <w:rPr>
          <w:rFonts w:hint="eastAsia" w:ascii="仿宋" w:hAnsi="仿宋" w:eastAsia="仿宋" w:cs="仿宋"/>
          <w:color w:val="000000"/>
          <w:sz w:val="32"/>
          <w:lang w:val="en-US" w:eastAsia="zh-CN"/>
        </w:rPr>
      </w:pPr>
    </w:p>
    <w:p w14:paraId="191CDE32">
      <w:pPr>
        <w:pStyle w:val="33"/>
        <w:ind w:firstLine="609"/>
        <w:jc w:val="both"/>
        <w:outlineLvl w:val="2"/>
        <w:rPr>
          <w:rFonts w:hint="eastAsia" w:ascii="仿宋" w:hAnsi="仿宋" w:eastAsia="仿宋" w:cs="仿宋"/>
          <w:color w:val="000000"/>
          <w:sz w:val="32"/>
          <w:lang w:val="en-US" w:eastAsia="zh-CN"/>
        </w:rPr>
      </w:pPr>
    </w:p>
    <w:p w14:paraId="5945CFB7">
      <w:pPr>
        <w:pStyle w:val="33"/>
        <w:ind w:firstLine="609"/>
        <w:jc w:val="both"/>
        <w:outlineLvl w:val="2"/>
        <w:rPr>
          <w:rFonts w:hint="eastAsia" w:ascii="仿宋" w:hAnsi="仿宋" w:eastAsia="仿宋" w:cs="仿宋"/>
          <w:color w:val="000000"/>
          <w:sz w:val="32"/>
          <w:lang w:val="en-US" w:eastAsia="zh-CN"/>
        </w:rPr>
      </w:pPr>
    </w:p>
    <w:p w14:paraId="07179068">
      <w:pPr>
        <w:pStyle w:val="33"/>
        <w:ind w:firstLine="609"/>
        <w:jc w:val="both"/>
        <w:outlineLvl w:val="2"/>
        <w:rPr>
          <w:rFonts w:hint="eastAsia" w:ascii="仿宋" w:hAnsi="仿宋" w:eastAsia="仿宋" w:cs="仿宋"/>
          <w:color w:val="000000"/>
          <w:sz w:val="32"/>
          <w:lang w:val="en-US" w:eastAsia="zh-CN"/>
        </w:rPr>
      </w:pPr>
    </w:p>
    <w:p w14:paraId="062C7F52">
      <w:pPr>
        <w:pStyle w:val="33"/>
        <w:ind w:firstLine="609"/>
        <w:jc w:val="both"/>
        <w:outlineLvl w:val="2"/>
        <w:rPr>
          <w:rFonts w:hint="eastAsia" w:ascii="仿宋" w:hAnsi="仿宋" w:eastAsia="仿宋" w:cs="仿宋"/>
          <w:color w:val="000000"/>
          <w:sz w:val="32"/>
          <w:lang w:val="en-US" w:eastAsia="zh-CN"/>
        </w:rPr>
      </w:pPr>
    </w:p>
    <w:p w14:paraId="0CA58B34">
      <w:pPr>
        <w:pStyle w:val="33"/>
        <w:ind w:firstLine="609"/>
        <w:jc w:val="both"/>
        <w:outlineLvl w:val="2"/>
        <w:rPr>
          <w:rFonts w:ascii="仿宋" w:hAnsi="仿宋" w:eastAsia="仿宋" w:cs="仿宋"/>
          <w:bCs w:val="0"/>
          <w:color w:val="000000"/>
        </w:rPr>
      </w:pPr>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4" w:name="_Toc20905"/>
      <w:r>
        <w:rPr>
          <w:rFonts w:hint="eastAsia" w:ascii="仿宋" w:hAnsi="仿宋" w:eastAsia="仿宋" w:cs="仿宋"/>
          <w:bCs w:val="0"/>
          <w:color w:val="000000"/>
        </w:rPr>
        <w:t>供应商</w:t>
      </w:r>
      <w:bookmarkEnd w:id="288"/>
      <w:bookmarkEnd w:id="289"/>
      <w:bookmarkEnd w:id="290"/>
      <w:r>
        <w:rPr>
          <w:rFonts w:hint="eastAsia" w:ascii="仿宋" w:hAnsi="仿宋" w:eastAsia="仿宋" w:cs="仿宋"/>
          <w:bCs w:val="0"/>
          <w:color w:val="000000"/>
        </w:rPr>
        <w:t>承诺书</w:t>
      </w:r>
      <w:bookmarkEnd w:id="294"/>
    </w:p>
    <w:p w14:paraId="5E18C68B">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58A2F6B1">
      <w:pPr>
        <w:spacing w:line="500" w:lineRule="exact"/>
        <w:ind w:firstLine="566" w:firstLineChars="200"/>
        <w:rPr>
          <w:b/>
          <w:color w:val="000000"/>
        </w:rPr>
      </w:pPr>
      <w:r>
        <w:rPr>
          <w:rFonts w:hint="eastAsia"/>
          <w:b/>
          <w:color w:val="000000"/>
        </w:rPr>
        <w:t>（</w:t>
      </w:r>
      <w:r>
        <w:rPr>
          <w:b/>
          <w:color w:val="000000"/>
        </w:rPr>
        <w:t>一</w:t>
      </w:r>
      <w:r>
        <w:rPr>
          <w:rFonts w:hint="eastAsia"/>
          <w:b/>
          <w:color w:val="000000"/>
        </w:rPr>
        <w:t>）</w:t>
      </w:r>
      <w:r>
        <w:rPr>
          <w:b/>
          <w:color w:val="000000"/>
        </w:rPr>
        <w:t>质量安全责任承诺书</w:t>
      </w:r>
    </w:p>
    <w:p w14:paraId="3545BD7A">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4F2757E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产品的生产（包括设计、制造、安装、改造、维修等）、投入使用的材料等均完全符合国家现行</w:t>
      </w:r>
      <w:r>
        <w:rPr>
          <w:rFonts w:hint="eastAsia"/>
          <w:color w:val="000000"/>
        </w:rPr>
        <w:t>质量、安全、环保标准和要求。</w:t>
      </w:r>
    </w:p>
    <w:p w14:paraId="3195AC11">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6172BA8D">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63C8B03C">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2073436D">
      <w:pPr>
        <w:spacing w:line="500" w:lineRule="exact"/>
        <w:ind w:firstLine="566" w:firstLineChars="200"/>
        <w:rPr>
          <w:color w:val="000000"/>
        </w:rPr>
      </w:pPr>
    </w:p>
    <w:p w14:paraId="2EB2714E">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color w:val="000000"/>
        </w:rPr>
        <w:t>（加盖公章）</w:t>
      </w:r>
    </w:p>
    <w:p w14:paraId="669C720B">
      <w:pPr>
        <w:spacing w:line="500" w:lineRule="exact"/>
        <w:ind w:firstLine="566" w:firstLineChars="200"/>
        <w:jc w:val="right"/>
        <w:rPr>
          <w:color w:val="000000"/>
        </w:rPr>
      </w:pPr>
      <w:r>
        <w:rPr>
          <w:color w:val="000000"/>
        </w:rPr>
        <w:t>日期：　　年　月　日</w:t>
      </w:r>
    </w:p>
    <w:p w14:paraId="5206008E">
      <w:pPr>
        <w:spacing w:line="500" w:lineRule="exact"/>
        <w:rPr>
          <w:color w:val="000000"/>
        </w:rPr>
      </w:pPr>
    </w:p>
    <w:p w14:paraId="2D75BABB">
      <w:pPr>
        <w:spacing w:line="500" w:lineRule="exact"/>
        <w:ind w:firstLine="566" w:firstLineChars="200"/>
        <w:rPr>
          <w:b/>
          <w:color w:val="000000"/>
        </w:rPr>
      </w:pPr>
      <w:r>
        <w:rPr>
          <w:rFonts w:hint="eastAsia"/>
          <w:b/>
          <w:color w:val="000000"/>
        </w:rPr>
        <w:br w:type="page"/>
      </w:r>
      <w:r>
        <w:rPr>
          <w:rFonts w:hint="eastAsia"/>
          <w:b/>
          <w:color w:val="000000"/>
        </w:rPr>
        <w:t>（</w:t>
      </w:r>
      <w:r>
        <w:rPr>
          <w:b/>
          <w:color w:val="000000"/>
        </w:rPr>
        <w:t>二</w:t>
      </w:r>
      <w:r>
        <w:rPr>
          <w:rFonts w:hint="eastAsia"/>
          <w:b/>
          <w:color w:val="000000"/>
        </w:rPr>
        <w:t>）拒绝政府采购领域商业贿赂承诺书</w:t>
      </w:r>
    </w:p>
    <w:p w14:paraId="19DA2877">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rPr>
        <w:t>（执行陕财办采管[2006]21号文件）</w:t>
      </w:r>
    </w:p>
    <w:p w14:paraId="3026C61F">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7B911997">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4C02235F">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25CA5655">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10653AD9">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4239BCFB">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3336929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052B0CFE">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03DF5983">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298F9FCD">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87C240C">
      <w:pPr>
        <w:spacing w:line="500" w:lineRule="exact"/>
        <w:rPr>
          <w:color w:val="000000"/>
        </w:rPr>
      </w:pPr>
    </w:p>
    <w:p w14:paraId="4DCF9DD4">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rPr>
        <w:t>（加盖公章）</w:t>
      </w:r>
    </w:p>
    <w:p w14:paraId="3D754D98">
      <w:pPr>
        <w:spacing w:line="500" w:lineRule="exact"/>
        <w:ind w:firstLine="566" w:firstLineChars="200"/>
        <w:rPr>
          <w:color w:val="000000"/>
        </w:rPr>
      </w:pPr>
      <w:r>
        <w:rPr>
          <w:rFonts w:hint="eastAsia"/>
          <w:color w:val="000000"/>
        </w:rPr>
        <w:t xml:space="preserve">                                    日期：　 年　月　日</w:t>
      </w:r>
    </w:p>
    <w:p w14:paraId="6759A622">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00F135A0">
      <w:pPr>
        <w:pStyle w:val="12"/>
        <w:rPr>
          <w:rFonts w:hint="eastAsia"/>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83D4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2046F3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0A940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FF1BFAD">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作为参加贵单位组织的磋商采购项目的投标人，本公司承诺：在参加本项目磋商之前不存在被依法禁止经营行为、财产被接管或冻结的情况，如有隐瞒实情，愿承担一切责任及后果。</w:t>
            </w:r>
          </w:p>
        </w:tc>
      </w:tr>
      <w:tr w14:paraId="0BD00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3711EF6">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40CABDCF">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336346EE">
            <w:pPr>
              <w:spacing w:line="360" w:lineRule="atLeast"/>
              <w:jc w:val="center"/>
              <w:rPr>
                <w:rFonts w:hint="eastAsia" w:ascii="宋体" w:hAnsi="宋体"/>
                <w:sz w:val="24"/>
              </w:rPr>
            </w:pPr>
            <w:r>
              <w:rPr>
                <w:rFonts w:hint="eastAsia" w:ascii="宋体" w:hAnsi="宋体"/>
                <w:sz w:val="24"/>
              </w:rPr>
              <w:t>日  期</w:t>
            </w:r>
          </w:p>
        </w:tc>
      </w:tr>
      <w:tr w14:paraId="16F63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5DBBB65">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4AA54A0F">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7A620FB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5F0A06FE">
      <w:pPr>
        <w:spacing w:line="360" w:lineRule="atLeast"/>
        <w:rPr>
          <w:rFonts w:hint="eastAsia" w:ascii="宋体" w:hAnsi="宋体"/>
          <w:b/>
          <w:sz w:val="42"/>
          <w:szCs w:val="42"/>
        </w:rPr>
      </w:pPr>
    </w:p>
    <w:p w14:paraId="337131E4">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8D9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53D8B79">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C7FE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FC28429">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tc>
      </w:tr>
      <w:tr w14:paraId="0EF4E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3A2163A">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3485650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662C178">
            <w:pPr>
              <w:spacing w:line="360" w:lineRule="atLeast"/>
              <w:jc w:val="center"/>
              <w:rPr>
                <w:rFonts w:hint="eastAsia" w:ascii="宋体" w:hAnsi="宋体"/>
                <w:sz w:val="24"/>
              </w:rPr>
            </w:pPr>
            <w:r>
              <w:rPr>
                <w:rFonts w:hint="eastAsia" w:ascii="宋体" w:hAnsi="宋体"/>
                <w:sz w:val="24"/>
              </w:rPr>
              <w:t>日  期</w:t>
            </w:r>
          </w:p>
        </w:tc>
      </w:tr>
      <w:tr w14:paraId="01D58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FDCA8FB">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6CA5EBAE">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62C614E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28A0BA09">
      <w:pPr>
        <w:spacing w:line="360" w:lineRule="atLeast"/>
        <w:rPr>
          <w:rFonts w:hint="eastAsia" w:ascii="宋体" w:hAnsi="宋体"/>
          <w:b/>
          <w:sz w:val="32"/>
          <w:szCs w:val="32"/>
        </w:rPr>
      </w:pPr>
    </w:p>
    <w:p w14:paraId="326E2191">
      <w:pPr>
        <w:spacing w:line="360" w:lineRule="atLeast"/>
        <w:jc w:val="both"/>
        <w:rPr>
          <w:rFonts w:hint="eastAsia" w:ascii="宋体" w:hAnsi="宋体"/>
          <w:b/>
          <w:sz w:val="32"/>
          <w:szCs w:val="32"/>
        </w:rPr>
      </w:pPr>
      <w:r>
        <w:rPr>
          <w:rFonts w:hint="eastAsia" w:ascii="宋体" w:hAnsi="宋体"/>
          <w:b/>
          <w:sz w:val="32"/>
          <w:szCs w:val="32"/>
        </w:rPr>
        <w:t>承诺书Ⅲ</w:t>
      </w:r>
    </w:p>
    <w:p w14:paraId="7A9720A2">
      <w:pPr>
        <w:pStyle w:val="12"/>
        <w:rPr>
          <w:rFonts w:hint="eastAsia"/>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4398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0F5FFA2">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73C3B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EDC6CB7">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作为参加贵单位组织的磋商采购项目的投标人，本公司郑重申告：近三年因服务问题的不法行为记录为</w:t>
            </w:r>
            <w:r>
              <w:rPr>
                <w:rFonts w:hint="eastAsia" w:ascii="宋体" w:hAnsi="宋体"/>
                <w:sz w:val="24"/>
                <w:u w:val="single"/>
              </w:rPr>
              <w:t xml:space="preserve">   </w:t>
            </w:r>
            <w:r>
              <w:rPr>
                <w:rFonts w:hint="eastAsia" w:ascii="宋体" w:hAnsi="宋体"/>
                <w:sz w:val="24"/>
              </w:rPr>
              <w:t>次（没有填零），如有隐瞒实情，愿承担一切责任及后果。</w:t>
            </w:r>
          </w:p>
          <w:p w14:paraId="605F615B">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62025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FFB732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43686E3A">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1CD48888">
            <w:pPr>
              <w:spacing w:line="360" w:lineRule="atLeast"/>
              <w:jc w:val="center"/>
              <w:rPr>
                <w:rFonts w:hint="eastAsia" w:ascii="宋体" w:hAnsi="宋体"/>
                <w:sz w:val="24"/>
              </w:rPr>
            </w:pPr>
            <w:r>
              <w:rPr>
                <w:rFonts w:hint="eastAsia" w:ascii="宋体" w:hAnsi="宋体"/>
                <w:sz w:val="24"/>
              </w:rPr>
              <w:t>日   期</w:t>
            </w:r>
          </w:p>
        </w:tc>
      </w:tr>
      <w:tr w14:paraId="7DA3C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7BCBA17">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2C1BC038">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20577C4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5EFE915D">
      <w:pPr>
        <w:spacing w:line="360" w:lineRule="auto"/>
        <w:ind w:right="480"/>
        <w:rPr>
          <w:rFonts w:hint="eastAsia" w:ascii="宋体" w:hAnsi="宋体"/>
          <w:sz w:val="24"/>
          <w:szCs w:val="28"/>
        </w:rPr>
      </w:pPr>
    </w:p>
    <w:p w14:paraId="4E36F26C">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A1C7B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22DCED5">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FDE6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5680E2A">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作为参加贵单位组织的磋商采购项目的投标人，本公司承诺：参加本次磋商提交的所有资质证明文件及业绩证明文件是真实的、有效的，如有隐瞒实情，愿承担一切责任及后果。</w:t>
            </w:r>
          </w:p>
        </w:tc>
      </w:tr>
      <w:tr w14:paraId="7CE9B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51DA122">
            <w:pPr>
              <w:spacing w:line="360" w:lineRule="atLeast"/>
              <w:jc w:val="center"/>
              <w:rPr>
                <w:rFonts w:hint="eastAsia" w:ascii="宋体" w:hAnsi="宋体"/>
                <w:sz w:val="24"/>
              </w:rPr>
            </w:pPr>
            <w:r>
              <w:rPr>
                <w:rFonts w:hint="eastAsia" w:ascii="宋体" w:hAnsi="宋体"/>
                <w:sz w:val="24"/>
              </w:rPr>
              <w:t>投标人</w:t>
            </w:r>
          </w:p>
        </w:tc>
        <w:tc>
          <w:tcPr>
            <w:tcW w:w="3420" w:type="dxa"/>
            <w:noWrap w:val="0"/>
            <w:vAlign w:val="center"/>
          </w:tcPr>
          <w:p w14:paraId="3A22CC48">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1F9BA25C">
            <w:pPr>
              <w:spacing w:line="360" w:lineRule="atLeast"/>
              <w:jc w:val="center"/>
              <w:rPr>
                <w:rFonts w:hint="eastAsia" w:ascii="宋体" w:hAnsi="宋体"/>
                <w:sz w:val="24"/>
              </w:rPr>
            </w:pPr>
            <w:r>
              <w:rPr>
                <w:rFonts w:hint="eastAsia" w:ascii="宋体" w:hAnsi="宋体"/>
                <w:sz w:val="24"/>
              </w:rPr>
              <w:t>日   期</w:t>
            </w:r>
          </w:p>
        </w:tc>
      </w:tr>
      <w:tr w14:paraId="01045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D33B6DB">
            <w:pPr>
              <w:spacing w:line="360" w:lineRule="atLeast"/>
              <w:jc w:val="center"/>
              <w:rPr>
                <w:rFonts w:hint="eastAsia" w:ascii="宋体" w:hAnsi="宋体"/>
                <w:sz w:val="24"/>
              </w:rPr>
            </w:pPr>
            <w:r>
              <w:rPr>
                <w:rFonts w:hint="eastAsia" w:ascii="宋体" w:hAnsi="宋体"/>
                <w:sz w:val="24"/>
              </w:rPr>
              <w:t>（公章）</w:t>
            </w:r>
          </w:p>
        </w:tc>
        <w:tc>
          <w:tcPr>
            <w:tcW w:w="3420" w:type="dxa"/>
            <w:noWrap w:val="0"/>
            <w:vAlign w:val="center"/>
          </w:tcPr>
          <w:p w14:paraId="1E6FC932">
            <w:pPr>
              <w:spacing w:line="360" w:lineRule="atLeast"/>
              <w:jc w:val="center"/>
              <w:rPr>
                <w:rFonts w:hint="eastAsia" w:ascii="宋体" w:hAnsi="宋体"/>
                <w:sz w:val="24"/>
              </w:rPr>
            </w:pPr>
            <w:r>
              <w:rPr>
                <w:rFonts w:hint="eastAsia" w:ascii="宋体" w:hAnsi="宋体"/>
                <w:sz w:val="24"/>
              </w:rPr>
              <w:t>（签字或盖章）</w:t>
            </w:r>
          </w:p>
        </w:tc>
        <w:tc>
          <w:tcPr>
            <w:tcW w:w="2340" w:type="dxa"/>
            <w:noWrap w:val="0"/>
            <w:vAlign w:val="center"/>
          </w:tcPr>
          <w:p w14:paraId="19AB049A">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4332594D">
      <w:pPr>
        <w:wordWrap w:val="0"/>
        <w:spacing w:line="360" w:lineRule="auto"/>
        <w:ind w:right="456" w:firstLine="2584" w:firstLineChars="800"/>
        <w:rPr>
          <w:rFonts w:hint="eastAsia" w:ascii="宋体" w:hAnsi="宋体"/>
          <w:b/>
          <w:bCs/>
          <w:color w:val="000000"/>
          <w:sz w:val="32"/>
        </w:rPr>
      </w:pPr>
    </w:p>
    <w:p w14:paraId="0D85A68B">
      <w:pPr>
        <w:spacing w:line="360" w:lineRule="auto"/>
        <w:ind w:firstLine="364" w:firstLineChars="150"/>
        <w:rPr>
          <w:rFonts w:hint="eastAsia" w:ascii="宋体" w:hAnsi="宋体" w:eastAsia="宋体" w:cs="Times New Roman"/>
          <w:sz w:val="24"/>
          <w:szCs w:val="28"/>
        </w:rPr>
      </w:pPr>
    </w:p>
    <w:p w14:paraId="50853E7C">
      <w:pPr>
        <w:spacing w:line="240" w:lineRule="auto"/>
        <w:ind w:firstLine="646" w:firstLineChars="200"/>
        <w:outlineLvl w:val="2"/>
        <w:rPr>
          <w:rFonts w:ascii="仿宋" w:hAnsi="仿宋" w:eastAsia="仿宋"/>
          <w:bCs/>
          <w:color w:val="000000"/>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2B68D299">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772D598A">
      <w:pPr>
        <w:ind w:firstLine="183"/>
        <w:rPr>
          <w:color w:val="000000"/>
        </w:rPr>
      </w:pPr>
    </w:p>
    <w:p w14:paraId="4063B875">
      <w:pPr>
        <w:spacing w:line="500" w:lineRule="exact"/>
        <w:ind w:firstLine="5094" w:firstLineChars="1800"/>
        <w:rPr>
          <w:rFonts w:ascii="仿宋" w:hAnsi="仿宋" w:eastAsia="仿宋" w:cs="仿宋"/>
          <w:color w:val="000000"/>
        </w:rPr>
      </w:pPr>
    </w:p>
    <w:p w14:paraId="19145704">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rPr>
        <w:t>（加盖公章）</w:t>
      </w:r>
    </w:p>
    <w:p w14:paraId="2A4502C5">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409E743E">
      <w:pPr>
        <w:ind w:firstLine="183"/>
        <w:rPr>
          <w:color w:val="000000"/>
        </w:rPr>
      </w:pPr>
    </w:p>
    <w:p w14:paraId="18D5BC1B">
      <w:pPr>
        <w:pStyle w:val="33"/>
        <w:ind w:firstLine="0" w:firstLineChars="0"/>
        <w:rPr>
          <w:rFonts w:ascii="黑体" w:hAnsi="黑体" w:eastAsia="黑体"/>
          <w:b w:val="0"/>
          <w:color w:val="000000"/>
        </w:rPr>
      </w:pPr>
      <w:r>
        <w:rPr>
          <w:rFonts w:ascii="黑体" w:hAnsi="黑体" w:eastAsia="黑体"/>
          <w:b w:val="0"/>
          <w:color w:val="000000"/>
        </w:rPr>
        <w:br w:type="page"/>
      </w:r>
      <w:bookmarkStart w:id="295" w:name="_Toc18795"/>
      <w:bookmarkStart w:id="296" w:name="_Toc12899"/>
      <w:bookmarkStart w:id="297" w:name="_Toc525"/>
      <w:bookmarkStart w:id="298" w:name="_Toc15586"/>
      <w:bookmarkStart w:id="299" w:name="_Toc11295"/>
      <w:r>
        <w:rPr>
          <w:rFonts w:hint="eastAsia" w:ascii="黑体" w:hAnsi="黑体" w:eastAsia="黑体"/>
          <w:b w:val="0"/>
          <w:color w:val="000000"/>
          <w:sz w:val="32"/>
          <w:szCs w:val="36"/>
        </w:rPr>
        <w:t>第三部分  响应方案</w:t>
      </w:r>
      <w:bookmarkEnd w:id="295"/>
      <w:bookmarkEnd w:id="296"/>
      <w:bookmarkEnd w:id="297"/>
      <w:bookmarkEnd w:id="298"/>
      <w:bookmarkEnd w:id="299"/>
    </w:p>
    <w:p w14:paraId="01EB8D78">
      <w:pPr>
        <w:pStyle w:val="33"/>
        <w:ind w:firstLine="609"/>
        <w:jc w:val="both"/>
        <w:outlineLvl w:val="2"/>
        <w:rPr>
          <w:rFonts w:ascii="仿宋" w:hAnsi="仿宋" w:eastAsia="仿宋" w:cs="仿宋"/>
          <w:bCs w:val="0"/>
          <w:color w:val="000000"/>
        </w:rPr>
      </w:pPr>
      <w:bookmarkStart w:id="300" w:name="_Toc9079"/>
      <w:bookmarkStart w:id="301" w:name="_Toc11555"/>
      <w:bookmarkStart w:id="302" w:name="_Toc29975_WPSOffice_Level2"/>
      <w:bookmarkStart w:id="303" w:name="_Toc24887"/>
      <w:bookmarkStart w:id="304" w:name="_Toc15660_WPSOffice_Level2"/>
      <w:bookmarkStart w:id="305" w:name="_Toc9337_WPSOffice_Level2"/>
      <w:bookmarkStart w:id="306" w:name="_Toc7732"/>
      <w:bookmarkStart w:id="307" w:name="_Toc17062_WPSOffice_Level2"/>
      <w:bookmarkStart w:id="308" w:name="_Toc17621"/>
      <w:bookmarkStart w:id="309" w:name="_Toc28702"/>
      <w:bookmarkStart w:id="310" w:name="_Toc7989"/>
      <w:r>
        <w:rPr>
          <w:rFonts w:hint="eastAsia" w:ascii="仿宋" w:hAnsi="仿宋" w:eastAsia="仿宋" w:cs="仿宋"/>
          <w:bCs w:val="0"/>
          <w:color w:val="000000"/>
        </w:rPr>
        <w:t>一、供应商概况</w:t>
      </w:r>
      <w:bookmarkEnd w:id="300"/>
      <w:bookmarkEnd w:id="301"/>
      <w:bookmarkEnd w:id="302"/>
      <w:bookmarkEnd w:id="303"/>
      <w:bookmarkEnd w:id="304"/>
      <w:bookmarkEnd w:id="305"/>
      <w:bookmarkEnd w:id="306"/>
      <w:bookmarkEnd w:id="307"/>
      <w:bookmarkEnd w:id="308"/>
      <w:bookmarkEnd w:id="309"/>
      <w:bookmarkEnd w:id="310"/>
    </w:p>
    <w:p w14:paraId="48FE163A">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7CA276AE">
      <w:pPr>
        <w:spacing w:line="240" w:lineRule="auto"/>
        <w:rPr>
          <w:bCs/>
          <w:color w:val="000000"/>
        </w:rPr>
      </w:pPr>
      <w:r>
        <w:rPr>
          <w:bCs/>
          <w:color w:val="000000"/>
        </w:rPr>
        <w:br w:type="page"/>
      </w:r>
    </w:p>
    <w:p w14:paraId="3FFCF045">
      <w:pPr>
        <w:pStyle w:val="33"/>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48B53712">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2974B6E4">
      <w:pPr>
        <w:tabs>
          <w:tab w:val="right" w:pos="9070"/>
        </w:tabs>
        <w:spacing w:line="500" w:lineRule="exact"/>
        <w:ind w:firstLine="646" w:firstLineChars="200"/>
        <w:rPr>
          <w:rFonts w:ascii="仿宋" w:hAnsi="仿宋" w:eastAsia="仿宋"/>
          <w:b/>
          <w:color w:val="000000"/>
          <w:sz w:val="32"/>
          <w:szCs w:val="32"/>
        </w:rPr>
      </w:pPr>
    </w:p>
    <w:p w14:paraId="1090D0BA">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326E7D6D">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（一）业绩合同样表（仅供参考）</w:t>
      </w:r>
    </w:p>
    <w:tbl>
      <w:tblPr>
        <w:tblStyle w:val="21"/>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43EE9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4F620CB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46E0143A">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6264B0C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4979CE0E">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40FA9D8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合同金额（万元）</w:t>
            </w:r>
          </w:p>
        </w:tc>
      </w:tr>
      <w:tr w14:paraId="46481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BED2444">
            <w:pPr>
              <w:widowControl w:val="0"/>
              <w:spacing w:line="440" w:lineRule="exact"/>
              <w:jc w:val="center"/>
              <w:rPr>
                <w:rFonts w:ascii="仿宋" w:hAnsi="仿宋" w:eastAsia="仿宋" w:cs="仿宋"/>
                <w:color w:val="000000"/>
                <w:sz w:val="24"/>
                <w:szCs w:val="24"/>
              </w:rPr>
            </w:pPr>
          </w:p>
        </w:tc>
        <w:tc>
          <w:tcPr>
            <w:tcW w:w="1736" w:type="dxa"/>
            <w:vAlign w:val="center"/>
          </w:tcPr>
          <w:p w14:paraId="097B785F">
            <w:pPr>
              <w:widowControl w:val="0"/>
              <w:spacing w:line="440" w:lineRule="exact"/>
              <w:jc w:val="center"/>
              <w:rPr>
                <w:rFonts w:ascii="仿宋" w:hAnsi="仿宋" w:eastAsia="仿宋" w:cs="仿宋"/>
                <w:color w:val="000000"/>
                <w:sz w:val="24"/>
                <w:szCs w:val="24"/>
              </w:rPr>
            </w:pPr>
          </w:p>
        </w:tc>
        <w:tc>
          <w:tcPr>
            <w:tcW w:w="1701" w:type="dxa"/>
            <w:vAlign w:val="center"/>
          </w:tcPr>
          <w:p w14:paraId="1E537864">
            <w:pPr>
              <w:widowControl w:val="0"/>
              <w:spacing w:line="440" w:lineRule="exact"/>
              <w:jc w:val="center"/>
              <w:rPr>
                <w:rFonts w:ascii="仿宋" w:hAnsi="仿宋" w:eastAsia="仿宋" w:cs="仿宋"/>
                <w:color w:val="000000"/>
                <w:sz w:val="24"/>
                <w:szCs w:val="24"/>
              </w:rPr>
            </w:pPr>
          </w:p>
        </w:tc>
        <w:tc>
          <w:tcPr>
            <w:tcW w:w="2557" w:type="dxa"/>
            <w:vAlign w:val="center"/>
          </w:tcPr>
          <w:p w14:paraId="676EF3BD">
            <w:pPr>
              <w:widowControl w:val="0"/>
              <w:spacing w:line="440" w:lineRule="exact"/>
              <w:jc w:val="center"/>
              <w:rPr>
                <w:rFonts w:ascii="仿宋" w:hAnsi="仿宋" w:eastAsia="仿宋" w:cs="仿宋"/>
                <w:color w:val="000000"/>
                <w:sz w:val="24"/>
                <w:szCs w:val="24"/>
              </w:rPr>
            </w:pPr>
          </w:p>
        </w:tc>
        <w:tc>
          <w:tcPr>
            <w:tcW w:w="1984" w:type="dxa"/>
            <w:vAlign w:val="center"/>
          </w:tcPr>
          <w:p w14:paraId="6EF444B8">
            <w:pPr>
              <w:widowControl w:val="0"/>
              <w:spacing w:line="440" w:lineRule="exact"/>
              <w:jc w:val="center"/>
              <w:rPr>
                <w:rFonts w:ascii="仿宋" w:hAnsi="仿宋" w:eastAsia="仿宋" w:cs="仿宋"/>
                <w:color w:val="000000"/>
                <w:sz w:val="24"/>
                <w:szCs w:val="24"/>
              </w:rPr>
            </w:pPr>
          </w:p>
        </w:tc>
      </w:tr>
      <w:tr w14:paraId="4163A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1AF0E3">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268FA63D">
            <w:pPr>
              <w:widowControl w:val="0"/>
              <w:spacing w:line="440" w:lineRule="exact"/>
              <w:jc w:val="center"/>
              <w:rPr>
                <w:rFonts w:ascii="仿宋" w:hAnsi="仿宋" w:eastAsia="仿宋" w:cs="仿宋"/>
                <w:color w:val="000000"/>
                <w:sz w:val="24"/>
                <w:szCs w:val="24"/>
              </w:rPr>
            </w:pPr>
          </w:p>
        </w:tc>
        <w:tc>
          <w:tcPr>
            <w:tcW w:w="1701" w:type="dxa"/>
            <w:vAlign w:val="center"/>
          </w:tcPr>
          <w:p w14:paraId="56D99475">
            <w:pPr>
              <w:widowControl w:val="0"/>
              <w:spacing w:line="440" w:lineRule="exact"/>
              <w:jc w:val="center"/>
              <w:rPr>
                <w:rFonts w:ascii="仿宋" w:hAnsi="仿宋" w:eastAsia="仿宋" w:cs="仿宋"/>
                <w:color w:val="000000"/>
                <w:sz w:val="24"/>
                <w:szCs w:val="24"/>
              </w:rPr>
            </w:pPr>
          </w:p>
        </w:tc>
        <w:tc>
          <w:tcPr>
            <w:tcW w:w="2557" w:type="dxa"/>
            <w:vAlign w:val="center"/>
          </w:tcPr>
          <w:p w14:paraId="48604E1C">
            <w:pPr>
              <w:widowControl w:val="0"/>
              <w:spacing w:line="440" w:lineRule="exact"/>
              <w:jc w:val="center"/>
              <w:rPr>
                <w:rFonts w:ascii="仿宋" w:hAnsi="仿宋" w:eastAsia="仿宋" w:cs="仿宋"/>
                <w:color w:val="000000"/>
                <w:sz w:val="24"/>
                <w:szCs w:val="24"/>
              </w:rPr>
            </w:pPr>
          </w:p>
        </w:tc>
        <w:tc>
          <w:tcPr>
            <w:tcW w:w="1984" w:type="dxa"/>
            <w:vAlign w:val="center"/>
          </w:tcPr>
          <w:p w14:paraId="31E13EB0">
            <w:pPr>
              <w:widowControl w:val="0"/>
              <w:spacing w:line="440" w:lineRule="exact"/>
              <w:jc w:val="center"/>
              <w:rPr>
                <w:rFonts w:ascii="仿宋" w:hAnsi="仿宋" w:eastAsia="仿宋" w:cs="仿宋"/>
                <w:color w:val="000000"/>
                <w:sz w:val="24"/>
                <w:szCs w:val="24"/>
              </w:rPr>
            </w:pPr>
          </w:p>
        </w:tc>
      </w:tr>
      <w:tr w14:paraId="60876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2D296A9D">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数量合计（个）</w:t>
            </w:r>
            <w:r>
              <w:rPr>
                <w:rFonts w:hint="eastAsia" w:ascii="仿宋" w:hAnsi="仿宋" w:eastAsia="仿宋" w:cs="仿宋"/>
                <w:color w:val="000000"/>
                <w:sz w:val="24"/>
                <w:szCs w:val="24"/>
              </w:rPr>
              <w:t>：</w:t>
            </w:r>
          </w:p>
        </w:tc>
      </w:tr>
    </w:tbl>
    <w:p w14:paraId="550ACDAE">
      <w:pPr>
        <w:tabs>
          <w:tab w:val="right" w:pos="9070"/>
        </w:tabs>
        <w:snapToGrid w:val="0"/>
        <w:spacing w:line="500" w:lineRule="exact"/>
        <w:ind w:firstLine="486" w:firstLineChars="200"/>
        <w:rPr>
          <w:rFonts w:hint="eastAsia"/>
          <w:color w:val="000000"/>
          <w:sz w:val="24"/>
          <w:szCs w:val="24"/>
        </w:rPr>
      </w:pPr>
      <w:r>
        <w:rPr>
          <w:rFonts w:hint="eastAsia"/>
          <w:color w:val="000000"/>
          <w:sz w:val="24"/>
          <w:szCs w:val="24"/>
          <w:lang w:val="en-US" w:eastAsia="zh-CN"/>
        </w:rPr>
        <w:t>备注：</w:t>
      </w:r>
      <w:r>
        <w:rPr>
          <w:rFonts w:hint="eastAsia"/>
          <w:color w:val="000000"/>
          <w:sz w:val="24"/>
          <w:szCs w:val="24"/>
        </w:rPr>
        <w:t>提供2023年1月1日以来类似项目业绩(以合同签订日期为准)，需提供完整合同业绩及对应发票复印件（发票可提供服务期内任意一张），并加盖供应商公章，以上两种证明材料同时提供方可得分，否则不得分。</w:t>
      </w:r>
    </w:p>
    <w:p w14:paraId="73BDCDA6">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rPr>
        <w:t>（二）</w:t>
      </w:r>
      <w:r>
        <w:rPr>
          <w:rFonts w:hint="eastAsia" w:ascii="Calibri" w:hAnsi="Calibri" w:cs="Calibri"/>
          <w:b/>
          <w:bCs/>
          <w:color w:val="000000"/>
          <w:szCs w:val="21"/>
        </w:rPr>
        <w:t>项目团队样表（仅供参考）</w:t>
      </w:r>
    </w:p>
    <w:p w14:paraId="35901A78">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0F7DE064">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4AC599CF">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1"/>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2FE4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4A1B24F8">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7D91D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F19A00">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6816F14">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4637A4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61D6148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08878168">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66BA8ADA">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0CCB167">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2CE5D93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0B7CD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6651887">
            <w:pPr>
              <w:rPr>
                <w:rFonts w:ascii="仿宋" w:hAnsi="仿宋" w:eastAsia="仿宋" w:cs="仿宋"/>
                <w:color w:val="000000"/>
                <w:sz w:val="24"/>
                <w:szCs w:val="24"/>
              </w:rPr>
            </w:pPr>
          </w:p>
        </w:tc>
        <w:tc>
          <w:tcPr>
            <w:tcW w:w="969" w:type="dxa"/>
            <w:tcBorders>
              <w:left w:val="single" w:color="auto" w:sz="6" w:space="0"/>
            </w:tcBorders>
            <w:vAlign w:val="center"/>
          </w:tcPr>
          <w:p w14:paraId="0BF60741">
            <w:pPr>
              <w:rPr>
                <w:rFonts w:ascii="仿宋" w:hAnsi="仿宋" w:eastAsia="仿宋" w:cs="仿宋"/>
                <w:color w:val="000000"/>
                <w:sz w:val="24"/>
                <w:szCs w:val="24"/>
              </w:rPr>
            </w:pPr>
          </w:p>
        </w:tc>
        <w:tc>
          <w:tcPr>
            <w:tcW w:w="1260" w:type="dxa"/>
            <w:vAlign w:val="center"/>
          </w:tcPr>
          <w:p w14:paraId="32B0646F">
            <w:pPr>
              <w:rPr>
                <w:rFonts w:ascii="仿宋" w:hAnsi="仿宋" w:eastAsia="仿宋" w:cs="仿宋"/>
                <w:color w:val="000000"/>
                <w:sz w:val="24"/>
                <w:szCs w:val="24"/>
              </w:rPr>
            </w:pPr>
          </w:p>
        </w:tc>
        <w:tc>
          <w:tcPr>
            <w:tcW w:w="1387" w:type="dxa"/>
            <w:gridSpan w:val="2"/>
            <w:vAlign w:val="center"/>
          </w:tcPr>
          <w:p w14:paraId="476E3A0E">
            <w:pPr>
              <w:rPr>
                <w:rFonts w:ascii="仿宋" w:hAnsi="仿宋" w:eastAsia="仿宋" w:cs="仿宋"/>
                <w:color w:val="000000"/>
                <w:sz w:val="24"/>
                <w:szCs w:val="24"/>
              </w:rPr>
            </w:pPr>
          </w:p>
        </w:tc>
        <w:tc>
          <w:tcPr>
            <w:tcW w:w="1604" w:type="dxa"/>
            <w:gridSpan w:val="3"/>
            <w:vAlign w:val="center"/>
          </w:tcPr>
          <w:p w14:paraId="49215328">
            <w:pPr>
              <w:rPr>
                <w:rFonts w:ascii="仿宋" w:hAnsi="仿宋" w:eastAsia="仿宋" w:cs="仿宋"/>
                <w:color w:val="000000"/>
                <w:sz w:val="24"/>
                <w:szCs w:val="24"/>
              </w:rPr>
            </w:pPr>
          </w:p>
        </w:tc>
        <w:tc>
          <w:tcPr>
            <w:tcW w:w="1740" w:type="dxa"/>
            <w:tcBorders>
              <w:right w:val="single" w:color="auto" w:sz="2" w:space="0"/>
            </w:tcBorders>
            <w:vAlign w:val="center"/>
          </w:tcPr>
          <w:p w14:paraId="18CB2330">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490E731">
            <w:pPr>
              <w:rPr>
                <w:rFonts w:ascii="仿宋" w:hAnsi="仿宋" w:eastAsia="仿宋" w:cs="仿宋"/>
                <w:color w:val="000000"/>
                <w:sz w:val="24"/>
                <w:szCs w:val="24"/>
              </w:rPr>
            </w:pPr>
          </w:p>
        </w:tc>
      </w:tr>
      <w:tr w14:paraId="6A882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F7BCF16">
            <w:pPr>
              <w:rPr>
                <w:rFonts w:ascii="仿宋" w:hAnsi="仿宋" w:eastAsia="仿宋" w:cs="仿宋"/>
                <w:color w:val="000000"/>
                <w:sz w:val="24"/>
                <w:szCs w:val="24"/>
              </w:rPr>
            </w:pPr>
          </w:p>
        </w:tc>
        <w:tc>
          <w:tcPr>
            <w:tcW w:w="969" w:type="dxa"/>
            <w:tcBorders>
              <w:left w:val="single" w:color="auto" w:sz="6" w:space="0"/>
            </w:tcBorders>
            <w:vAlign w:val="center"/>
          </w:tcPr>
          <w:p w14:paraId="0352CD72">
            <w:pPr>
              <w:rPr>
                <w:rFonts w:ascii="仿宋" w:hAnsi="仿宋" w:eastAsia="仿宋" w:cs="仿宋"/>
                <w:color w:val="000000"/>
                <w:sz w:val="24"/>
                <w:szCs w:val="24"/>
              </w:rPr>
            </w:pPr>
          </w:p>
        </w:tc>
        <w:tc>
          <w:tcPr>
            <w:tcW w:w="1260" w:type="dxa"/>
            <w:vAlign w:val="center"/>
          </w:tcPr>
          <w:p w14:paraId="6650A8BB">
            <w:pPr>
              <w:rPr>
                <w:rFonts w:ascii="仿宋" w:hAnsi="仿宋" w:eastAsia="仿宋" w:cs="仿宋"/>
                <w:color w:val="000000"/>
                <w:sz w:val="24"/>
                <w:szCs w:val="24"/>
              </w:rPr>
            </w:pPr>
          </w:p>
        </w:tc>
        <w:tc>
          <w:tcPr>
            <w:tcW w:w="1387" w:type="dxa"/>
            <w:gridSpan w:val="2"/>
            <w:vAlign w:val="center"/>
          </w:tcPr>
          <w:p w14:paraId="62C15902">
            <w:pPr>
              <w:rPr>
                <w:rFonts w:ascii="仿宋" w:hAnsi="仿宋" w:eastAsia="仿宋" w:cs="仿宋"/>
                <w:color w:val="000000"/>
                <w:sz w:val="24"/>
                <w:szCs w:val="24"/>
              </w:rPr>
            </w:pPr>
          </w:p>
        </w:tc>
        <w:tc>
          <w:tcPr>
            <w:tcW w:w="1604" w:type="dxa"/>
            <w:gridSpan w:val="3"/>
            <w:vAlign w:val="center"/>
          </w:tcPr>
          <w:p w14:paraId="78C7DB6D">
            <w:pPr>
              <w:rPr>
                <w:rFonts w:ascii="仿宋" w:hAnsi="仿宋" w:eastAsia="仿宋" w:cs="仿宋"/>
                <w:color w:val="000000"/>
                <w:sz w:val="24"/>
                <w:szCs w:val="24"/>
              </w:rPr>
            </w:pPr>
          </w:p>
        </w:tc>
        <w:tc>
          <w:tcPr>
            <w:tcW w:w="1740" w:type="dxa"/>
            <w:tcBorders>
              <w:right w:val="single" w:color="auto" w:sz="2" w:space="0"/>
            </w:tcBorders>
            <w:vAlign w:val="center"/>
          </w:tcPr>
          <w:p w14:paraId="6D302316">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30850E4D">
            <w:pPr>
              <w:rPr>
                <w:rFonts w:ascii="仿宋" w:hAnsi="仿宋" w:eastAsia="仿宋" w:cs="仿宋"/>
                <w:color w:val="000000"/>
                <w:sz w:val="24"/>
                <w:szCs w:val="24"/>
              </w:rPr>
            </w:pPr>
          </w:p>
        </w:tc>
      </w:tr>
      <w:tr w14:paraId="254D7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70FB4D9">
            <w:pPr>
              <w:rPr>
                <w:rFonts w:ascii="仿宋" w:hAnsi="仿宋" w:eastAsia="仿宋" w:cs="仿宋"/>
                <w:color w:val="000000"/>
                <w:sz w:val="24"/>
                <w:szCs w:val="24"/>
              </w:rPr>
            </w:pPr>
          </w:p>
        </w:tc>
        <w:tc>
          <w:tcPr>
            <w:tcW w:w="969" w:type="dxa"/>
            <w:tcBorders>
              <w:left w:val="single" w:color="auto" w:sz="6" w:space="0"/>
            </w:tcBorders>
            <w:vAlign w:val="center"/>
          </w:tcPr>
          <w:p w14:paraId="42E47C77">
            <w:pPr>
              <w:rPr>
                <w:rFonts w:ascii="仿宋" w:hAnsi="仿宋" w:eastAsia="仿宋" w:cs="仿宋"/>
                <w:color w:val="000000"/>
                <w:sz w:val="24"/>
                <w:szCs w:val="24"/>
              </w:rPr>
            </w:pPr>
          </w:p>
        </w:tc>
        <w:tc>
          <w:tcPr>
            <w:tcW w:w="1260" w:type="dxa"/>
            <w:vAlign w:val="center"/>
          </w:tcPr>
          <w:p w14:paraId="5E069493">
            <w:pPr>
              <w:rPr>
                <w:rFonts w:ascii="仿宋" w:hAnsi="仿宋" w:eastAsia="仿宋" w:cs="仿宋"/>
                <w:color w:val="000000"/>
                <w:sz w:val="24"/>
                <w:szCs w:val="24"/>
              </w:rPr>
            </w:pPr>
          </w:p>
        </w:tc>
        <w:tc>
          <w:tcPr>
            <w:tcW w:w="1387" w:type="dxa"/>
            <w:gridSpan w:val="2"/>
            <w:vAlign w:val="center"/>
          </w:tcPr>
          <w:p w14:paraId="536033EA">
            <w:pPr>
              <w:rPr>
                <w:rFonts w:ascii="仿宋" w:hAnsi="仿宋" w:eastAsia="仿宋" w:cs="仿宋"/>
                <w:color w:val="000000"/>
                <w:sz w:val="24"/>
                <w:szCs w:val="24"/>
              </w:rPr>
            </w:pPr>
          </w:p>
        </w:tc>
        <w:tc>
          <w:tcPr>
            <w:tcW w:w="1604" w:type="dxa"/>
            <w:gridSpan w:val="3"/>
            <w:vAlign w:val="center"/>
          </w:tcPr>
          <w:p w14:paraId="2D1C1929">
            <w:pPr>
              <w:rPr>
                <w:rFonts w:ascii="仿宋" w:hAnsi="仿宋" w:eastAsia="仿宋" w:cs="仿宋"/>
                <w:color w:val="000000"/>
                <w:sz w:val="24"/>
                <w:szCs w:val="24"/>
              </w:rPr>
            </w:pPr>
          </w:p>
        </w:tc>
        <w:tc>
          <w:tcPr>
            <w:tcW w:w="1740" w:type="dxa"/>
            <w:tcBorders>
              <w:right w:val="single" w:color="auto" w:sz="2" w:space="0"/>
            </w:tcBorders>
            <w:vAlign w:val="center"/>
          </w:tcPr>
          <w:p w14:paraId="54447AD5">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10B9077">
            <w:pPr>
              <w:rPr>
                <w:rFonts w:ascii="仿宋" w:hAnsi="仿宋" w:eastAsia="仿宋" w:cs="仿宋"/>
                <w:color w:val="000000"/>
                <w:sz w:val="24"/>
                <w:szCs w:val="24"/>
              </w:rPr>
            </w:pPr>
          </w:p>
        </w:tc>
      </w:tr>
      <w:tr w14:paraId="0DB60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B88C21B">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20A74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096DF4E1">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1B3D213E">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00672B82">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1B5F9F1B">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2EAFFCBB">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6008F2E2">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6B606C1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63CE03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00A5C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D69A35">
            <w:pPr>
              <w:rPr>
                <w:rFonts w:ascii="仿宋" w:hAnsi="仿宋" w:eastAsia="仿宋" w:cs="仿宋"/>
                <w:color w:val="000000"/>
                <w:sz w:val="24"/>
                <w:szCs w:val="24"/>
              </w:rPr>
            </w:pPr>
          </w:p>
        </w:tc>
        <w:tc>
          <w:tcPr>
            <w:tcW w:w="969" w:type="dxa"/>
            <w:tcBorders>
              <w:left w:val="single" w:color="auto" w:sz="6" w:space="0"/>
            </w:tcBorders>
            <w:vAlign w:val="center"/>
          </w:tcPr>
          <w:p w14:paraId="4D229648">
            <w:pPr>
              <w:rPr>
                <w:rFonts w:ascii="仿宋" w:hAnsi="仿宋" w:eastAsia="仿宋" w:cs="仿宋"/>
                <w:color w:val="000000"/>
                <w:sz w:val="24"/>
                <w:szCs w:val="24"/>
              </w:rPr>
            </w:pPr>
          </w:p>
        </w:tc>
        <w:tc>
          <w:tcPr>
            <w:tcW w:w="1260" w:type="dxa"/>
            <w:vAlign w:val="center"/>
          </w:tcPr>
          <w:p w14:paraId="33CAC921">
            <w:pPr>
              <w:rPr>
                <w:rFonts w:ascii="仿宋" w:hAnsi="仿宋" w:eastAsia="仿宋" w:cs="仿宋"/>
                <w:color w:val="000000"/>
                <w:sz w:val="24"/>
                <w:szCs w:val="24"/>
              </w:rPr>
            </w:pPr>
          </w:p>
        </w:tc>
        <w:tc>
          <w:tcPr>
            <w:tcW w:w="1404" w:type="dxa"/>
            <w:gridSpan w:val="3"/>
            <w:vAlign w:val="center"/>
          </w:tcPr>
          <w:p w14:paraId="4D41ABE7">
            <w:pPr>
              <w:rPr>
                <w:rFonts w:ascii="仿宋" w:hAnsi="仿宋" w:eastAsia="仿宋" w:cs="仿宋"/>
                <w:color w:val="000000"/>
                <w:sz w:val="24"/>
                <w:szCs w:val="24"/>
              </w:rPr>
            </w:pPr>
          </w:p>
        </w:tc>
        <w:tc>
          <w:tcPr>
            <w:tcW w:w="1587" w:type="dxa"/>
            <w:gridSpan w:val="2"/>
            <w:vAlign w:val="center"/>
          </w:tcPr>
          <w:p w14:paraId="51E0A51B">
            <w:pPr>
              <w:rPr>
                <w:rFonts w:ascii="仿宋" w:hAnsi="仿宋" w:eastAsia="仿宋" w:cs="仿宋"/>
                <w:color w:val="000000"/>
                <w:sz w:val="24"/>
                <w:szCs w:val="24"/>
              </w:rPr>
            </w:pPr>
          </w:p>
        </w:tc>
        <w:tc>
          <w:tcPr>
            <w:tcW w:w="1782" w:type="dxa"/>
            <w:gridSpan w:val="2"/>
            <w:vAlign w:val="center"/>
          </w:tcPr>
          <w:p w14:paraId="2411123C">
            <w:pPr>
              <w:rPr>
                <w:rFonts w:ascii="仿宋" w:hAnsi="仿宋" w:eastAsia="仿宋" w:cs="仿宋"/>
                <w:color w:val="000000"/>
                <w:sz w:val="24"/>
                <w:szCs w:val="24"/>
              </w:rPr>
            </w:pPr>
          </w:p>
        </w:tc>
        <w:tc>
          <w:tcPr>
            <w:tcW w:w="1049" w:type="dxa"/>
            <w:tcBorders>
              <w:right w:val="single" w:color="auto" w:sz="12" w:space="0"/>
            </w:tcBorders>
            <w:vAlign w:val="center"/>
          </w:tcPr>
          <w:p w14:paraId="482671A2">
            <w:pPr>
              <w:rPr>
                <w:rFonts w:ascii="仿宋" w:hAnsi="仿宋" w:eastAsia="仿宋" w:cs="仿宋"/>
                <w:color w:val="000000"/>
                <w:sz w:val="24"/>
                <w:szCs w:val="24"/>
              </w:rPr>
            </w:pPr>
          </w:p>
        </w:tc>
      </w:tr>
      <w:tr w14:paraId="4175D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A6AD45">
            <w:pPr>
              <w:rPr>
                <w:rFonts w:ascii="仿宋" w:hAnsi="仿宋" w:eastAsia="仿宋" w:cs="仿宋"/>
                <w:color w:val="000000"/>
                <w:sz w:val="24"/>
                <w:szCs w:val="24"/>
              </w:rPr>
            </w:pPr>
          </w:p>
        </w:tc>
        <w:tc>
          <w:tcPr>
            <w:tcW w:w="969" w:type="dxa"/>
            <w:tcBorders>
              <w:left w:val="single" w:color="auto" w:sz="6" w:space="0"/>
            </w:tcBorders>
            <w:vAlign w:val="center"/>
          </w:tcPr>
          <w:p w14:paraId="2C0DBC06">
            <w:pPr>
              <w:rPr>
                <w:rFonts w:ascii="仿宋" w:hAnsi="仿宋" w:eastAsia="仿宋" w:cs="仿宋"/>
                <w:color w:val="000000"/>
                <w:sz w:val="24"/>
                <w:szCs w:val="24"/>
              </w:rPr>
            </w:pPr>
          </w:p>
        </w:tc>
        <w:tc>
          <w:tcPr>
            <w:tcW w:w="1260" w:type="dxa"/>
            <w:vAlign w:val="center"/>
          </w:tcPr>
          <w:p w14:paraId="5EA6802B">
            <w:pPr>
              <w:rPr>
                <w:rFonts w:ascii="仿宋" w:hAnsi="仿宋" w:eastAsia="仿宋" w:cs="仿宋"/>
                <w:color w:val="000000"/>
                <w:sz w:val="24"/>
                <w:szCs w:val="24"/>
              </w:rPr>
            </w:pPr>
          </w:p>
        </w:tc>
        <w:tc>
          <w:tcPr>
            <w:tcW w:w="1404" w:type="dxa"/>
            <w:gridSpan w:val="3"/>
            <w:vAlign w:val="center"/>
          </w:tcPr>
          <w:p w14:paraId="4BF9D360">
            <w:pPr>
              <w:rPr>
                <w:rFonts w:ascii="仿宋" w:hAnsi="仿宋" w:eastAsia="仿宋" w:cs="仿宋"/>
                <w:color w:val="000000"/>
                <w:sz w:val="24"/>
                <w:szCs w:val="24"/>
              </w:rPr>
            </w:pPr>
          </w:p>
        </w:tc>
        <w:tc>
          <w:tcPr>
            <w:tcW w:w="1587" w:type="dxa"/>
            <w:gridSpan w:val="2"/>
            <w:vAlign w:val="center"/>
          </w:tcPr>
          <w:p w14:paraId="05211345">
            <w:pPr>
              <w:rPr>
                <w:rFonts w:ascii="仿宋" w:hAnsi="仿宋" w:eastAsia="仿宋" w:cs="仿宋"/>
                <w:color w:val="000000"/>
                <w:sz w:val="24"/>
                <w:szCs w:val="24"/>
              </w:rPr>
            </w:pPr>
          </w:p>
        </w:tc>
        <w:tc>
          <w:tcPr>
            <w:tcW w:w="1782" w:type="dxa"/>
            <w:gridSpan w:val="2"/>
            <w:vAlign w:val="center"/>
          </w:tcPr>
          <w:p w14:paraId="379E1013">
            <w:pPr>
              <w:rPr>
                <w:rFonts w:ascii="仿宋" w:hAnsi="仿宋" w:eastAsia="仿宋" w:cs="仿宋"/>
                <w:color w:val="000000"/>
                <w:sz w:val="24"/>
                <w:szCs w:val="24"/>
              </w:rPr>
            </w:pPr>
          </w:p>
        </w:tc>
        <w:tc>
          <w:tcPr>
            <w:tcW w:w="1049" w:type="dxa"/>
            <w:tcBorders>
              <w:right w:val="single" w:color="auto" w:sz="12" w:space="0"/>
            </w:tcBorders>
            <w:vAlign w:val="center"/>
          </w:tcPr>
          <w:p w14:paraId="14719A3C">
            <w:pPr>
              <w:rPr>
                <w:rFonts w:ascii="仿宋" w:hAnsi="仿宋" w:eastAsia="仿宋" w:cs="仿宋"/>
                <w:color w:val="000000"/>
                <w:sz w:val="24"/>
                <w:szCs w:val="24"/>
              </w:rPr>
            </w:pPr>
          </w:p>
        </w:tc>
      </w:tr>
      <w:tr w14:paraId="6631E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3853442">
            <w:pPr>
              <w:rPr>
                <w:rFonts w:ascii="仿宋" w:hAnsi="仿宋" w:eastAsia="仿宋" w:cs="仿宋"/>
                <w:color w:val="000000"/>
                <w:sz w:val="24"/>
                <w:szCs w:val="24"/>
              </w:rPr>
            </w:pPr>
          </w:p>
        </w:tc>
        <w:tc>
          <w:tcPr>
            <w:tcW w:w="969" w:type="dxa"/>
            <w:tcBorders>
              <w:left w:val="single" w:color="auto" w:sz="6" w:space="0"/>
            </w:tcBorders>
            <w:vAlign w:val="center"/>
          </w:tcPr>
          <w:p w14:paraId="31D5BAC4">
            <w:pPr>
              <w:rPr>
                <w:rFonts w:ascii="仿宋" w:hAnsi="仿宋" w:eastAsia="仿宋" w:cs="仿宋"/>
                <w:color w:val="000000"/>
                <w:sz w:val="24"/>
                <w:szCs w:val="24"/>
              </w:rPr>
            </w:pPr>
          </w:p>
        </w:tc>
        <w:tc>
          <w:tcPr>
            <w:tcW w:w="1260" w:type="dxa"/>
            <w:vAlign w:val="center"/>
          </w:tcPr>
          <w:p w14:paraId="1340F941">
            <w:pPr>
              <w:rPr>
                <w:rFonts w:ascii="仿宋" w:hAnsi="仿宋" w:eastAsia="仿宋" w:cs="仿宋"/>
                <w:color w:val="000000"/>
                <w:sz w:val="24"/>
                <w:szCs w:val="24"/>
              </w:rPr>
            </w:pPr>
          </w:p>
        </w:tc>
        <w:tc>
          <w:tcPr>
            <w:tcW w:w="1404" w:type="dxa"/>
            <w:gridSpan w:val="3"/>
            <w:vAlign w:val="center"/>
          </w:tcPr>
          <w:p w14:paraId="2080E796">
            <w:pPr>
              <w:rPr>
                <w:rFonts w:ascii="仿宋" w:hAnsi="仿宋" w:eastAsia="仿宋" w:cs="仿宋"/>
                <w:color w:val="000000"/>
                <w:sz w:val="24"/>
                <w:szCs w:val="24"/>
              </w:rPr>
            </w:pPr>
          </w:p>
        </w:tc>
        <w:tc>
          <w:tcPr>
            <w:tcW w:w="1587" w:type="dxa"/>
            <w:gridSpan w:val="2"/>
            <w:vAlign w:val="center"/>
          </w:tcPr>
          <w:p w14:paraId="6833B1A4">
            <w:pPr>
              <w:rPr>
                <w:rFonts w:ascii="仿宋" w:hAnsi="仿宋" w:eastAsia="仿宋" w:cs="仿宋"/>
                <w:color w:val="000000"/>
                <w:sz w:val="24"/>
                <w:szCs w:val="24"/>
              </w:rPr>
            </w:pPr>
          </w:p>
        </w:tc>
        <w:tc>
          <w:tcPr>
            <w:tcW w:w="1782" w:type="dxa"/>
            <w:gridSpan w:val="2"/>
            <w:vAlign w:val="center"/>
          </w:tcPr>
          <w:p w14:paraId="4318287F">
            <w:pPr>
              <w:rPr>
                <w:rFonts w:ascii="仿宋" w:hAnsi="仿宋" w:eastAsia="仿宋" w:cs="仿宋"/>
                <w:color w:val="000000"/>
                <w:sz w:val="24"/>
                <w:szCs w:val="24"/>
              </w:rPr>
            </w:pPr>
          </w:p>
        </w:tc>
        <w:tc>
          <w:tcPr>
            <w:tcW w:w="1049" w:type="dxa"/>
            <w:tcBorders>
              <w:right w:val="single" w:color="auto" w:sz="12" w:space="0"/>
            </w:tcBorders>
            <w:vAlign w:val="center"/>
          </w:tcPr>
          <w:p w14:paraId="69201EF1">
            <w:pPr>
              <w:rPr>
                <w:rFonts w:ascii="仿宋" w:hAnsi="仿宋" w:eastAsia="仿宋" w:cs="仿宋"/>
                <w:color w:val="000000"/>
                <w:sz w:val="24"/>
                <w:szCs w:val="24"/>
              </w:rPr>
            </w:pPr>
          </w:p>
        </w:tc>
      </w:tr>
      <w:tr w14:paraId="5B682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0325DD2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6FE65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621D65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20F26AEF">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1EA33527">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2452537C">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1E5F2C1D">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3BEED45E">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A6AD7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308A2314">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3B97A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E8A4C0C">
            <w:pPr>
              <w:rPr>
                <w:rFonts w:ascii="仿宋" w:hAnsi="仿宋" w:eastAsia="仿宋" w:cs="仿宋"/>
                <w:color w:val="000000"/>
                <w:sz w:val="24"/>
                <w:szCs w:val="24"/>
              </w:rPr>
            </w:pPr>
          </w:p>
        </w:tc>
        <w:tc>
          <w:tcPr>
            <w:tcW w:w="969" w:type="dxa"/>
            <w:tcBorders>
              <w:left w:val="single" w:color="auto" w:sz="6" w:space="0"/>
            </w:tcBorders>
            <w:vAlign w:val="center"/>
          </w:tcPr>
          <w:p w14:paraId="31736438">
            <w:pPr>
              <w:rPr>
                <w:rFonts w:ascii="仿宋" w:hAnsi="仿宋" w:eastAsia="仿宋" w:cs="仿宋"/>
                <w:color w:val="000000"/>
                <w:sz w:val="24"/>
                <w:szCs w:val="24"/>
              </w:rPr>
            </w:pPr>
          </w:p>
        </w:tc>
        <w:tc>
          <w:tcPr>
            <w:tcW w:w="1284" w:type="dxa"/>
            <w:gridSpan w:val="2"/>
            <w:tcBorders>
              <w:right w:val="single" w:color="auto" w:sz="2" w:space="0"/>
            </w:tcBorders>
            <w:vAlign w:val="center"/>
          </w:tcPr>
          <w:p w14:paraId="7B78E2BC">
            <w:pPr>
              <w:rPr>
                <w:rFonts w:ascii="仿宋" w:hAnsi="仿宋" w:eastAsia="仿宋" w:cs="仿宋"/>
                <w:color w:val="000000"/>
                <w:sz w:val="24"/>
                <w:szCs w:val="24"/>
              </w:rPr>
            </w:pPr>
          </w:p>
        </w:tc>
        <w:tc>
          <w:tcPr>
            <w:tcW w:w="1386" w:type="dxa"/>
            <w:gridSpan w:val="3"/>
            <w:tcBorders>
              <w:left w:val="single" w:color="auto" w:sz="2" w:space="0"/>
            </w:tcBorders>
            <w:vAlign w:val="center"/>
          </w:tcPr>
          <w:p w14:paraId="399AFBDF">
            <w:pPr>
              <w:rPr>
                <w:rFonts w:ascii="仿宋" w:hAnsi="仿宋" w:eastAsia="仿宋" w:cs="仿宋"/>
                <w:color w:val="000000"/>
                <w:sz w:val="24"/>
                <w:szCs w:val="24"/>
              </w:rPr>
            </w:pPr>
          </w:p>
        </w:tc>
        <w:tc>
          <w:tcPr>
            <w:tcW w:w="1581" w:type="dxa"/>
            <w:vAlign w:val="center"/>
          </w:tcPr>
          <w:p w14:paraId="0E3E9956">
            <w:pPr>
              <w:rPr>
                <w:rFonts w:ascii="仿宋" w:hAnsi="仿宋" w:eastAsia="仿宋" w:cs="仿宋"/>
                <w:color w:val="000000"/>
                <w:sz w:val="24"/>
                <w:szCs w:val="24"/>
              </w:rPr>
            </w:pPr>
          </w:p>
        </w:tc>
        <w:tc>
          <w:tcPr>
            <w:tcW w:w="1782" w:type="dxa"/>
            <w:gridSpan w:val="2"/>
            <w:vAlign w:val="center"/>
          </w:tcPr>
          <w:p w14:paraId="5C335F0E">
            <w:pPr>
              <w:rPr>
                <w:rFonts w:ascii="仿宋" w:hAnsi="仿宋" w:eastAsia="仿宋" w:cs="仿宋"/>
                <w:color w:val="000000"/>
                <w:sz w:val="24"/>
                <w:szCs w:val="24"/>
              </w:rPr>
            </w:pPr>
          </w:p>
        </w:tc>
        <w:tc>
          <w:tcPr>
            <w:tcW w:w="1049" w:type="dxa"/>
            <w:tcBorders>
              <w:right w:val="single" w:color="auto" w:sz="12" w:space="0"/>
            </w:tcBorders>
            <w:vAlign w:val="center"/>
          </w:tcPr>
          <w:p w14:paraId="7EA30CA9">
            <w:pPr>
              <w:rPr>
                <w:rFonts w:ascii="仿宋" w:hAnsi="仿宋" w:eastAsia="仿宋" w:cs="仿宋"/>
                <w:color w:val="000000"/>
                <w:sz w:val="24"/>
                <w:szCs w:val="24"/>
              </w:rPr>
            </w:pPr>
          </w:p>
        </w:tc>
      </w:tr>
      <w:tr w14:paraId="64098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C168420">
            <w:pPr>
              <w:rPr>
                <w:rFonts w:ascii="仿宋" w:hAnsi="仿宋" w:eastAsia="仿宋" w:cs="仿宋"/>
                <w:color w:val="000000"/>
                <w:sz w:val="24"/>
                <w:szCs w:val="24"/>
              </w:rPr>
            </w:pPr>
          </w:p>
        </w:tc>
        <w:tc>
          <w:tcPr>
            <w:tcW w:w="969" w:type="dxa"/>
            <w:tcBorders>
              <w:left w:val="single" w:color="auto" w:sz="6" w:space="0"/>
            </w:tcBorders>
            <w:vAlign w:val="center"/>
          </w:tcPr>
          <w:p w14:paraId="4CFFD1E0">
            <w:pPr>
              <w:rPr>
                <w:rFonts w:ascii="仿宋" w:hAnsi="仿宋" w:eastAsia="仿宋" w:cs="仿宋"/>
                <w:color w:val="000000"/>
                <w:sz w:val="24"/>
                <w:szCs w:val="24"/>
              </w:rPr>
            </w:pPr>
          </w:p>
        </w:tc>
        <w:tc>
          <w:tcPr>
            <w:tcW w:w="1284" w:type="dxa"/>
            <w:gridSpan w:val="2"/>
            <w:tcBorders>
              <w:right w:val="single" w:color="auto" w:sz="2" w:space="0"/>
            </w:tcBorders>
            <w:vAlign w:val="center"/>
          </w:tcPr>
          <w:p w14:paraId="20AB9AC6">
            <w:pPr>
              <w:rPr>
                <w:rFonts w:ascii="仿宋" w:hAnsi="仿宋" w:eastAsia="仿宋" w:cs="仿宋"/>
                <w:color w:val="000000"/>
                <w:sz w:val="24"/>
                <w:szCs w:val="24"/>
              </w:rPr>
            </w:pPr>
          </w:p>
        </w:tc>
        <w:tc>
          <w:tcPr>
            <w:tcW w:w="1386" w:type="dxa"/>
            <w:gridSpan w:val="3"/>
            <w:tcBorders>
              <w:left w:val="single" w:color="auto" w:sz="2" w:space="0"/>
            </w:tcBorders>
            <w:vAlign w:val="center"/>
          </w:tcPr>
          <w:p w14:paraId="2A2937BD">
            <w:pPr>
              <w:rPr>
                <w:rFonts w:ascii="仿宋" w:hAnsi="仿宋" w:eastAsia="仿宋" w:cs="仿宋"/>
                <w:color w:val="000000"/>
                <w:sz w:val="24"/>
                <w:szCs w:val="24"/>
              </w:rPr>
            </w:pPr>
          </w:p>
        </w:tc>
        <w:tc>
          <w:tcPr>
            <w:tcW w:w="1581" w:type="dxa"/>
            <w:vAlign w:val="center"/>
          </w:tcPr>
          <w:p w14:paraId="4C80430A">
            <w:pPr>
              <w:rPr>
                <w:rFonts w:ascii="仿宋" w:hAnsi="仿宋" w:eastAsia="仿宋" w:cs="仿宋"/>
                <w:color w:val="000000"/>
                <w:sz w:val="24"/>
                <w:szCs w:val="24"/>
              </w:rPr>
            </w:pPr>
          </w:p>
        </w:tc>
        <w:tc>
          <w:tcPr>
            <w:tcW w:w="1782" w:type="dxa"/>
            <w:gridSpan w:val="2"/>
            <w:vAlign w:val="center"/>
          </w:tcPr>
          <w:p w14:paraId="503C499D">
            <w:pPr>
              <w:rPr>
                <w:rFonts w:ascii="仿宋" w:hAnsi="仿宋" w:eastAsia="仿宋" w:cs="仿宋"/>
                <w:color w:val="000000"/>
                <w:sz w:val="24"/>
                <w:szCs w:val="24"/>
              </w:rPr>
            </w:pPr>
          </w:p>
        </w:tc>
        <w:tc>
          <w:tcPr>
            <w:tcW w:w="1049" w:type="dxa"/>
            <w:tcBorders>
              <w:right w:val="single" w:color="auto" w:sz="12" w:space="0"/>
            </w:tcBorders>
            <w:vAlign w:val="center"/>
          </w:tcPr>
          <w:p w14:paraId="273C0456">
            <w:pPr>
              <w:rPr>
                <w:rFonts w:ascii="仿宋" w:hAnsi="仿宋" w:eastAsia="仿宋" w:cs="仿宋"/>
                <w:color w:val="000000"/>
                <w:sz w:val="24"/>
                <w:szCs w:val="24"/>
              </w:rPr>
            </w:pPr>
          </w:p>
        </w:tc>
      </w:tr>
      <w:tr w14:paraId="649D0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D95F21A">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03ECA2EE">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5F3B8CBC">
      <w:pPr>
        <w:keepNext w:val="0"/>
        <w:keepLines w:val="0"/>
        <w:pageBreakBefore w:val="0"/>
        <w:widowControl/>
        <w:kinsoku/>
        <w:wordWrap/>
        <w:overflowPunct/>
        <w:topLinePunct w:val="0"/>
        <w:autoSpaceDE/>
        <w:autoSpaceDN/>
        <w:bidi w:val="0"/>
        <w:adjustRightInd/>
        <w:snapToGrid/>
        <w:spacing w:line="20" w:lineRule="exact"/>
        <w:textAlignment w:val="auto"/>
      </w:pPr>
    </w:p>
    <w:sectPr>
      <w:headerReference r:id="rId12" w:type="default"/>
      <w:footerReference r:id="rId13" w:type="default"/>
      <w:type w:val="continuous"/>
      <w:pgSz w:w="11906" w:h="16838"/>
      <w:pgMar w:top="1417" w:right="1417" w:bottom="1417" w:left="1417" w:header="850" w:footer="992" w:gutter="0"/>
      <w:pgBorders>
        <w:top w:val="none" w:sz="0" w:space="0"/>
        <w:left w:val="none" w:sz="0" w:space="0"/>
        <w:bottom w:val="none" w:sz="0" w:space="0"/>
        <w:right w:val="none" w:sz="0" w:space="0"/>
      </w:pgBorders>
      <w:pgNumType w:fmt="decimal"/>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74CD2F">
    <w:pPr>
      <w:pStyle w:val="13"/>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0D145">
    <w:pPr>
      <w:pStyle w:val="13"/>
      <w:tabs>
        <w:tab w:val="clear" w:pos="4153"/>
        <w:tab w:val="clear" w:pos="8306"/>
      </w:tabs>
      <w:jc w:val="center"/>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31FEF">
    <w:pPr>
      <w:pStyle w:val="13"/>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CF0E4D">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76CF0E4D">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7C4D4">
    <w:pPr>
      <w:pStyle w:val="13"/>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840F57">
    <w:pPr>
      <w:pStyle w:val="13"/>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CAA775">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6CAA775">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072E3">
    <w:pPr>
      <w:pStyle w:val="13"/>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8990F7">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58990F7">
                    <w:pPr>
                      <w:pStyle w:val="13"/>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79F996">
    <w:pPr>
      <w:pStyle w:val="14"/>
      <w:rPr>
        <w:rFonts w:hint="eastAsia"/>
        <w:lang w:eastAsia="zh-CN"/>
      </w:rPr>
    </w:pPr>
    <w:r>
      <w:rPr>
        <w:rFonts w:hint="eastAsia"/>
        <w:lang w:eastAsia="zh-CN"/>
      </w:rPr>
      <w:t>延安市机关事务服务中心为民服务中心电梯维保和中大型维修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6BA16">
    <w:pPr>
      <w:pStyle w:val="14"/>
    </w:pPr>
    <w:r>
      <w:rPr>
        <w:rFonts w:hint="eastAsia"/>
        <w:lang w:eastAsia="zh-CN"/>
      </w:rPr>
      <w:t>延安市机关事务服务中心为民服务中心电梯维保和中大型维修</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4058C8">
    <w:pPr>
      <w:pStyle w:val="14"/>
    </w:pPr>
    <w:r>
      <w:rPr>
        <w:rFonts w:hint="eastAsia"/>
        <w:color w:val="000000"/>
        <w:lang w:eastAsia="zh-CN"/>
      </w:rPr>
      <w:t>延安市自然资源局延安市城市地质基础调查</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1B1CD"/>
    <w:multiLevelType w:val="singleLevel"/>
    <w:tmpl w:val="88F1B1CD"/>
    <w:lvl w:ilvl="0" w:tentative="0">
      <w:start w:val="3"/>
      <w:numFmt w:val="chineseCounting"/>
      <w:suff w:val="space"/>
      <w:lvlText w:val="第%1章"/>
      <w:lvlJc w:val="left"/>
      <w:rPr>
        <w:rFonts w:hint="eastAsia"/>
      </w:rPr>
    </w:lvl>
  </w:abstractNum>
  <w:abstractNum w:abstractNumId="1">
    <w:nsid w:val="D9665F4F"/>
    <w:multiLevelType w:val="singleLevel"/>
    <w:tmpl w:val="D9665F4F"/>
    <w:lvl w:ilvl="0" w:tentative="0">
      <w:start w:val="4"/>
      <w:numFmt w:val="chineseCounting"/>
      <w:suff w:val="nothing"/>
      <w:lvlText w:val="%1、"/>
      <w:lvlJc w:val="left"/>
      <w:rPr>
        <w:rFonts w:hint="eastAsia"/>
      </w:rPr>
    </w:lvl>
  </w:abstractNum>
  <w:abstractNum w:abstractNumId="2">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5">
    <w:nsid w:val="4E7085B1"/>
    <w:multiLevelType w:val="singleLevel"/>
    <w:tmpl w:val="4E7085B1"/>
    <w:lvl w:ilvl="0" w:tentative="0">
      <w:start w:val="7"/>
      <w:numFmt w:val="decimal"/>
      <w:lvlText w:val="%1."/>
      <w:lvlJc w:val="left"/>
      <w:pPr>
        <w:tabs>
          <w:tab w:val="left" w:pos="312"/>
        </w:tabs>
      </w:pPr>
    </w:lvl>
  </w:abstractNum>
  <w:abstractNum w:abstractNumId="6">
    <w:nsid w:val="62EF1F92"/>
    <w:multiLevelType w:val="singleLevel"/>
    <w:tmpl w:val="62EF1F92"/>
    <w:lvl w:ilvl="0" w:tentative="0">
      <w:start w:val="10"/>
      <w:numFmt w:val="decimal"/>
      <w:suff w:val="nothing"/>
      <w:lvlText w:val="%1."/>
      <w:lvlJc w:val="left"/>
    </w:lvl>
  </w:abstractNum>
  <w:abstractNum w:abstractNumId="7">
    <w:nsid w:val="700C5CB2"/>
    <w:multiLevelType w:val="singleLevel"/>
    <w:tmpl w:val="700C5CB2"/>
    <w:lvl w:ilvl="0" w:tentative="0">
      <w:start w:val="2"/>
      <w:numFmt w:val="chineseCounting"/>
      <w:suff w:val="nothing"/>
      <w:lvlText w:val="%1、"/>
      <w:lvlJc w:val="left"/>
      <w:rPr>
        <w:rFonts w:hint="eastAsia"/>
      </w:rPr>
    </w:lvl>
  </w:abstractNum>
  <w:num w:numId="1">
    <w:abstractNumId w:val="4"/>
  </w:num>
  <w:num w:numId="2">
    <w:abstractNumId w:val="1"/>
  </w:num>
  <w:num w:numId="3">
    <w:abstractNumId w:val="5"/>
  </w:num>
  <w:num w:numId="4">
    <w:abstractNumId w:val="3"/>
  </w:num>
  <w:num w:numId="5">
    <w:abstractNumId w:val="0"/>
  </w:num>
  <w:num w:numId="6">
    <w:abstractNumId w:val="6"/>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50EAD"/>
    <w:rsid w:val="00503069"/>
    <w:rsid w:val="005C4D2E"/>
    <w:rsid w:val="006836D3"/>
    <w:rsid w:val="007C717F"/>
    <w:rsid w:val="0083676A"/>
    <w:rsid w:val="008C6C96"/>
    <w:rsid w:val="00D03026"/>
    <w:rsid w:val="00D5688F"/>
    <w:rsid w:val="00F05A47"/>
    <w:rsid w:val="00F97617"/>
    <w:rsid w:val="0106590A"/>
    <w:rsid w:val="015B6D94"/>
    <w:rsid w:val="016043AA"/>
    <w:rsid w:val="01711FD7"/>
    <w:rsid w:val="017E6B98"/>
    <w:rsid w:val="018622D8"/>
    <w:rsid w:val="018B236D"/>
    <w:rsid w:val="018E1CDD"/>
    <w:rsid w:val="019B53E2"/>
    <w:rsid w:val="01E6443F"/>
    <w:rsid w:val="01EE19B6"/>
    <w:rsid w:val="020A0DA8"/>
    <w:rsid w:val="02183E82"/>
    <w:rsid w:val="02457A2C"/>
    <w:rsid w:val="02515FCF"/>
    <w:rsid w:val="026B3007"/>
    <w:rsid w:val="02797CE9"/>
    <w:rsid w:val="02D3069C"/>
    <w:rsid w:val="02D768EE"/>
    <w:rsid w:val="02F6579D"/>
    <w:rsid w:val="032F5083"/>
    <w:rsid w:val="03351867"/>
    <w:rsid w:val="0337726E"/>
    <w:rsid w:val="03675921"/>
    <w:rsid w:val="03D42E2E"/>
    <w:rsid w:val="03FB660C"/>
    <w:rsid w:val="04515894"/>
    <w:rsid w:val="04575F38"/>
    <w:rsid w:val="045C7680"/>
    <w:rsid w:val="0482288A"/>
    <w:rsid w:val="04867C52"/>
    <w:rsid w:val="0490144A"/>
    <w:rsid w:val="04A44EF6"/>
    <w:rsid w:val="04AB0032"/>
    <w:rsid w:val="04AD3DAA"/>
    <w:rsid w:val="04B74C29"/>
    <w:rsid w:val="04BA64C7"/>
    <w:rsid w:val="053C0609"/>
    <w:rsid w:val="05465EBB"/>
    <w:rsid w:val="05465FAD"/>
    <w:rsid w:val="055B7A87"/>
    <w:rsid w:val="05985572"/>
    <w:rsid w:val="059C797B"/>
    <w:rsid w:val="05AB0342"/>
    <w:rsid w:val="05B11678"/>
    <w:rsid w:val="05B747B5"/>
    <w:rsid w:val="05CA26AE"/>
    <w:rsid w:val="05CC0260"/>
    <w:rsid w:val="05D47115"/>
    <w:rsid w:val="060F2843"/>
    <w:rsid w:val="06500E91"/>
    <w:rsid w:val="066C1A43"/>
    <w:rsid w:val="067F52D3"/>
    <w:rsid w:val="06B55971"/>
    <w:rsid w:val="06FC4B75"/>
    <w:rsid w:val="07097292"/>
    <w:rsid w:val="07267E44"/>
    <w:rsid w:val="074810B3"/>
    <w:rsid w:val="075F6A10"/>
    <w:rsid w:val="07660241"/>
    <w:rsid w:val="07944DAE"/>
    <w:rsid w:val="07950F20"/>
    <w:rsid w:val="07B40FAC"/>
    <w:rsid w:val="07BD16F2"/>
    <w:rsid w:val="07CC079B"/>
    <w:rsid w:val="07CF1388"/>
    <w:rsid w:val="07FD7CA9"/>
    <w:rsid w:val="080A32C2"/>
    <w:rsid w:val="08161C67"/>
    <w:rsid w:val="083C54A6"/>
    <w:rsid w:val="08404F36"/>
    <w:rsid w:val="08597DA5"/>
    <w:rsid w:val="08602EE2"/>
    <w:rsid w:val="086A3D60"/>
    <w:rsid w:val="08B01682"/>
    <w:rsid w:val="08E6531C"/>
    <w:rsid w:val="08EA07A4"/>
    <w:rsid w:val="09000221"/>
    <w:rsid w:val="090E293E"/>
    <w:rsid w:val="091C32AD"/>
    <w:rsid w:val="09295200"/>
    <w:rsid w:val="0969226A"/>
    <w:rsid w:val="09727371"/>
    <w:rsid w:val="09945156"/>
    <w:rsid w:val="09B41737"/>
    <w:rsid w:val="09DC6713"/>
    <w:rsid w:val="09F00295"/>
    <w:rsid w:val="09F63266"/>
    <w:rsid w:val="0A2F212A"/>
    <w:rsid w:val="0AFD2C6A"/>
    <w:rsid w:val="0B422D73"/>
    <w:rsid w:val="0B6E78D8"/>
    <w:rsid w:val="0B882E7B"/>
    <w:rsid w:val="0B9A495D"/>
    <w:rsid w:val="0BAF665A"/>
    <w:rsid w:val="0BBE6B6A"/>
    <w:rsid w:val="0BCB0FBA"/>
    <w:rsid w:val="0C3A3E75"/>
    <w:rsid w:val="0C514B55"/>
    <w:rsid w:val="0C5B233E"/>
    <w:rsid w:val="0C7B17EF"/>
    <w:rsid w:val="0CCC4FEA"/>
    <w:rsid w:val="0CFD33F5"/>
    <w:rsid w:val="0D054058"/>
    <w:rsid w:val="0D26294C"/>
    <w:rsid w:val="0D352B8F"/>
    <w:rsid w:val="0DD71E98"/>
    <w:rsid w:val="0DE3083D"/>
    <w:rsid w:val="0DE73C50"/>
    <w:rsid w:val="0DF01E5E"/>
    <w:rsid w:val="0DFB64F3"/>
    <w:rsid w:val="0DFC0475"/>
    <w:rsid w:val="0E47127D"/>
    <w:rsid w:val="0E484619"/>
    <w:rsid w:val="0E567261"/>
    <w:rsid w:val="0E6179B4"/>
    <w:rsid w:val="0E9465F6"/>
    <w:rsid w:val="0E970B9C"/>
    <w:rsid w:val="0EA93835"/>
    <w:rsid w:val="0EB65F51"/>
    <w:rsid w:val="0EE0755D"/>
    <w:rsid w:val="0F0E18EA"/>
    <w:rsid w:val="0F1F3AF7"/>
    <w:rsid w:val="0F3F7CF5"/>
    <w:rsid w:val="0F40581B"/>
    <w:rsid w:val="0F8C5352"/>
    <w:rsid w:val="0F987405"/>
    <w:rsid w:val="0FB75ADD"/>
    <w:rsid w:val="10042CED"/>
    <w:rsid w:val="10480E2B"/>
    <w:rsid w:val="104F55B9"/>
    <w:rsid w:val="10687DDF"/>
    <w:rsid w:val="10A37E5E"/>
    <w:rsid w:val="1111746F"/>
    <w:rsid w:val="111D59F8"/>
    <w:rsid w:val="113D0C2E"/>
    <w:rsid w:val="115A7068"/>
    <w:rsid w:val="1187310D"/>
    <w:rsid w:val="119921B4"/>
    <w:rsid w:val="11B92B3A"/>
    <w:rsid w:val="11C72224"/>
    <w:rsid w:val="11F058CE"/>
    <w:rsid w:val="11FD3E17"/>
    <w:rsid w:val="11FF55DE"/>
    <w:rsid w:val="12266F4A"/>
    <w:rsid w:val="123E24E6"/>
    <w:rsid w:val="12693030"/>
    <w:rsid w:val="126D4444"/>
    <w:rsid w:val="12C31B2A"/>
    <w:rsid w:val="130D010A"/>
    <w:rsid w:val="13113756"/>
    <w:rsid w:val="13483D9B"/>
    <w:rsid w:val="13830225"/>
    <w:rsid w:val="13833F28"/>
    <w:rsid w:val="13C0517C"/>
    <w:rsid w:val="13F923DF"/>
    <w:rsid w:val="14014803"/>
    <w:rsid w:val="14072DAB"/>
    <w:rsid w:val="140C03C2"/>
    <w:rsid w:val="141E2CF7"/>
    <w:rsid w:val="1440384D"/>
    <w:rsid w:val="14A423A8"/>
    <w:rsid w:val="14A75F77"/>
    <w:rsid w:val="14C30A80"/>
    <w:rsid w:val="14EA2EBE"/>
    <w:rsid w:val="14F52C04"/>
    <w:rsid w:val="15242F78"/>
    <w:rsid w:val="155344FA"/>
    <w:rsid w:val="15787B7C"/>
    <w:rsid w:val="15835367"/>
    <w:rsid w:val="15B30AF5"/>
    <w:rsid w:val="15BC1A9A"/>
    <w:rsid w:val="15EC2259"/>
    <w:rsid w:val="16243949"/>
    <w:rsid w:val="166167A3"/>
    <w:rsid w:val="167364D6"/>
    <w:rsid w:val="16D52CED"/>
    <w:rsid w:val="16D74786"/>
    <w:rsid w:val="16DC22CD"/>
    <w:rsid w:val="16F5513D"/>
    <w:rsid w:val="17143815"/>
    <w:rsid w:val="1743129B"/>
    <w:rsid w:val="1743234C"/>
    <w:rsid w:val="17532BC4"/>
    <w:rsid w:val="175E666B"/>
    <w:rsid w:val="17640690"/>
    <w:rsid w:val="177B15A9"/>
    <w:rsid w:val="17887D5F"/>
    <w:rsid w:val="17A22A5A"/>
    <w:rsid w:val="17AF3557"/>
    <w:rsid w:val="18025D64"/>
    <w:rsid w:val="18147845"/>
    <w:rsid w:val="18185636"/>
    <w:rsid w:val="182932F0"/>
    <w:rsid w:val="185B4FDD"/>
    <w:rsid w:val="18893D8F"/>
    <w:rsid w:val="189831C8"/>
    <w:rsid w:val="18C80D5B"/>
    <w:rsid w:val="18D771F0"/>
    <w:rsid w:val="18DD40DB"/>
    <w:rsid w:val="18F558C8"/>
    <w:rsid w:val="190C006F"/>
    <w:rsid w:val="191044B0"/>
    <w:rsid w:val="1918565A"/>
    <w:rsid w:val="19191C06"/>
    <w:rsid w:val="19397563"/>
    <w:rsid w:val="196A1E12"/>
    <w:rsid w:val="196F11D7"/>
    <w:rsid w:val="196F567B"/>
    <w:rsid w:val="19752927"/>
    <w:rsid w:val="198A7DBF"/>
    <w:rsid w:val="19974BFE"/>
    <w:rsid w:val="19A05834"/>
    <w:rsid w:val="19E16A10"/>
    <w:rsid w:val="19F85670"/>
    <w:rsid w:val="1A0933D9"/>
    <w:rsid w:val="1A4B2A44"/>
    <w:rsid w:val="1A845156"/>
    <w:rsid w:val="1AB175CD"/>
    <w:rsid w:val="1AC55423"/>
    <w:rsid w:val="1ADC289C"/>
    <w:rsid w:val="1AF220BF"/>
    <w:rsid w:val="1AF851FC"/>
    <w:rsid w:val="1B0B13D3"/>
    <w:rsid w:val="1B0F3646"/>
    <w:rsid w:val="1B1D686F"/>
    <w:rsid w:val="1B361E84"/>
    <w:rsid w:val="1B3A3A66"/>
    <w:rsid w:val="1B4D379A"/>
    <w:rsid w:val="1B6805D3"/>
    <w:rsid w:val="1B854CE1"/>
    <w:rsid w:val="1B916C64"/>
    <w:rsid w:val="1BC33746"/>
    <w:rsid w:val="1BF72592"/>
    <w:rsid w:val="1C1F4874"/>
    <w:rsid w:val="1C3A271C"/>
    <w:rsid w:val="1C3A34E8"/>
    <w:rsid w:val="1C3D650C"/>
    <w:rsid w:val="1C3D736A"/>
    <w:rsid w:val="1C5E5533"/>
    <w:rsid w:val="1C6E12C2"/>
    <w:rsid w:val="1C6E7E6B"/>
    <w:rsid w:val="1CE35C57"/>
    <w:rsid w:val="1CE617B0"/>
    <w:rsid w:val="1CE67A02"/>
    <w:rsid w:val="1D170CCE"/>
    <w:rsid w:val="1D172E02"/>
    <w:rsid w:val="1D187DD7"/>
    <w:rsid w:val="1D231C99"/>
    <w:rsid w:val="1D2616DA"/>
    <w:rsid w:val="1D763046"/>
    <w:rsid w:val="1D9C6F88"/>
    <w:rsid w:val="1DC75A85"/>
    <w:rsid w:val="1DE96F38"/>
    <w:rsid w:val="1DEA52D0"/>
    <w:rsid w:val="1DF148B0"/>
    <w:rsid w:val="1E3D7AF5"/>
    <w:rsid w:val="1E45667C"/>
    <w:rsid w:val="1EC73863"/>
    <w:rsid w:val="1ED1023E"/>
    <w:rsid w:val="1EDF295B"/>
    <w:rsid w:val="1EED151B"/>
    <w:rsid w:val="1F1A3F91"/>
    <w:rsid w:val="1F244029"/>
    <w:rsid w:val="1F3233D2"/>
    <w:rsid w:val="1F3C1B5B"/>
    <w:rsid w:val="1F511C17"/>
    <w:rsid w:val="1F5B337D"/>
    <w:rsid w:val="1F5C3FAB"/>
    <w:rsid w:val="1F5F3A9B"/>
    <w:rsid w:val="1F745799"/>
    <w:rsid w:val="1F8658AA"/>
    <w:rsid w:val="1F8C6655"/>
    <w:rsid w:val="1F933745"/>
    <w:rsid w:val="1F971571"/>
    <w:rsid w:val="1FE126E5"/>
    <w:rsid w:val="1FE90BAE"/>
    <w:rsid w:val="1FEC17D3"/>
    <w:rsid w:val="1FEF4E1F"/>
    <w:rsid w:val="20026C99"/>
    <w:rsid w:val="200A7EAB"/>
    <w:rsid w:val="20370574"/>
    <w:rsid w:val="20573CDF"/>
    <w:rsid w:val="205E1FA5"/>
    <w:rsid w:val="209E05F3"/>
    <w:rsid w:val="20F23661"/>
    <w:rsid w:val="2102713C"/>
    <w:rsid w:val="21190011"/>
    <w:rsid w:val="21447C5E"/>
    <w:rsid w:val="214557F9"/>
    <w:rsid w:val="21983295"/>
    <w:rsid w:val="21B3498B"/>
    <w:rsid w:val="21B37336"/>
    <w:rsid w:val="21B53E47"/>
    <w:rsid w:val="21BC6F83"/>
    <w:rsid w:val="21E309B4"/>
    <w:rsid w:val="21E8421C"/>
    <w:rsid w:val="221072CF"/>
    <w:rsid w:val="221E7C3E"/>
    <w:rsid w:val="2248284A"/>
    <w:rsid w:val="22696FF6"/>
    <w:rsid w:val="22944E50"/>
    <w:rsid w:val="229455FB"/>
    <w:rsid w:val="22F10EAE"/>
    <w:rsid w:val="22FF181D"/>
    <w:rsid w:val="23053BDC"/>
    <w:rsid w:val="231449BC"/>
    <w:rsid w:val="2351194D"/>
    <w:rsid w:val="23531B69"/>
    <w:rsid w:val="235D02F2"/>
    <w:rsid w:val="235F406A"/>
    <w:rsid w:val="236930C6"/>
    <w:rsid w:val="236A4649"/>
    <w:rsid w:val="23722279"/>
    <w:rsid w:val="2389558B"/>
    <w:rsid w:val="23952182"/>
    <w:rsid w:val="239D2DE4"/>
    <w:rsid w:val="23B2156E"/>
    <w:rsid w:val="23D5208E"/>
    <w:rsid w:val="242B252B"/>
    <w:rsid w:val="243A65CE"/>
    <w:rsid w:val="244514B2"/>
    <w:rsid w:val="246700A8"/>
    <w:rsid w:val="24763D61"/>
    <w:rsid w:val="247C68F3"/>
    <w:rsid w:val="24A127A8"/>
    <w:rsid w:val="24A72310"/>
    <w:rsid w:val="24B85C79"/>
    <w:rsid w:val="24C04FDC"/>
    <w:rsid w:val="24D97E4C"/>
    <w:rsid w:val="250C6474"/>
    <w:rsid w:val="251F3B5B"/>
    <w:rsid w:val="25230260"/>
    <w:rsid w:val="254F72FB"/>
    <w:rsid w:val="2558727E"/>
    <w:rsid w:val="25633D82"/>
    <w:rsid w:val="256718FC"/>
    <w:rsid w:val="258C3110"/>
    <w:rsid w:val="259747F6"/>
    <w:rsid w:val="25AC5561"/>
    <w:rsid w:val="25AE7098"/>
    <w:rsid w:val="25B14925"/>
    <w:rsid w:val="25D845A8"/>
    <w:rsid w:val="25FA2770"/>
    <w:rsid w:val="26321976"/>
    <w:rsid w:val="263E1563"/>
    <w:rsid w:val="264D2300"/>
    <w:rsid w:val="268564DD"/>
    <w:rsid w:val="26882E12"/>
    <w:rsid w:val="26A144A5"/>
    <w:rsid w:val="26A54D19"/>
    <w:rsid w:val="26E36D60"/>
    <w:rsid w:val="270E64D3"/>
    <w:rsid w:val="27135897"/>
    <w:rsid w:val="271565FB"/>
    <w:rsid w:val="27190A70"/>
    <w:rsid w:val="272D447F"/>
    <w:rsid w:val="276E2ACE"/>
    <w:rsid w:val="27960276"/>
    <w:rsid w:val="27BC6787"/>
    <w:rsid w:val="27CF4AD4"/>
    <w:rsid w:val="280E605F"/>
    <w:rsid w:val="281713B7"/>
    <w:rsid w:val="28371501"/>
    <w:rsid w:val="285717B4"/>
    <w:rsid w:val="285B2042"/>
    <w:rsid w:val="287A7186"/>
    <w:rsid w:val="2895052E"/>
    <w:rsid w:val="28B36B23"/>
    <w:rsid w:val="28D472A8"/>
    <w:rsid w:val="28F23FA6"/>
    <w:rsid w:val="290D2101"/>
    <w:rsid w:val="29307688"/>
    <w:rsid w:val="293164A9"/>
    <w:rsid w:val="294A1318"/>
    <w:rsid w:val="294E0E09"/>
    <w:rsid w:val="299928BE"/>
    <w:rsid w:val="29997033"/>
    <w:rsid w:val="29A5570A"/>
    <w:rsid w:val="29CB726B"/>
    <w:rsid w:val="29CC3486"/>
    <w:rsid w:val="29D137E8"/>
    <w:rsid w:val="29D678E4"/>
    <w:rsid w:val="29DA269C"/>
    <w:rsid w:val="29E4176D"/>
    <w:rsid w:val="29EE7EF6"/>
    <w:rsid w:val="2A246AEB"/>
    <w:rsid w:val="2A473886"/>
    <w:rsid w:val="2A573CED"/>
    <w:rsid w:val="2A596061"/>
    <w:rsid w:val="2A7C3754"/>
    <w:rsid w:val="2AAD1B5F"/>
    <w:rsid w:val="2AC456C4"/>
    <w:rsid w:val="2ACA111E"/>
    <w:rsid w:val="2B262BFA"/>
    <w:rsid w:val="2B6D12EE"/>
    <w:rsid w:val="2BA03472"/>
    <w:rsid w:val="2BB331A5"/>
    <w:rsid w:val="2BC60FC8"/>
    <w:rsid w:val="2BFD6B16"/>
    <w:rsid w:val="2C165D5E"/>
    <w:rsid w:val="2C197C11"/>
    <w:rsid w:val="2C273B93"/>
    <w:rsid w:val="2C2B3B1E"/>
    <w:rsid w:val="2C484235"/>
    <w:rsid w:val="2C526E62"/>
    <w:rsid w:val="2C746444"/>
    <w:rsid w:val="2C8F5E2C"/>
    <w:rsid w:val="2CA174A1"/>
    <w:rsid w:val="2CAA772E"/>
    <w:rsid w:val="2CBA2FBD"/>
    <w:rsid w:val="2CE90A48"/>
    <w:rsid w:val="2CEB1DDF"/>
    <w:rsid w:val="2CF9552F"/>
    <w:rsid w:val="2CFD01DC"/>
    <w:rsid w:val="2D1F486A"/>
    <w:rsid w:val="2D200D0E"/>
    <w:rsid w:val="2D306A77"/>
    <w:rsid w:val="2D3447B9"/>
    <w:rsid w:val="2D630BFB"/>
    <w:rsid w:val="2D92328E"/>
    <w:rsid w:val="2D9D235F"/>
    <w:rsid w:val="2DBF5292"/>
    <w:rsid w:val="2DCC67A0"/>
    <w:rsid w:val="2DD85145"/>
    <w:rsid w:val="2DF278C6"/>
    <w:rsid w:val="2DFD7A5A"/>
    <w:rsid w:val="2E0942AF"/>
    <w:rsid w:val="2E100D83"/>
    <w:rsid w:val="2E141EF5"/>
    <w:rsid w:val="2E2228F5"/>
    <w:rsid w:val="2E2A1718"/>
    <w:rsid w:val="2E310CF9"/>
    <w:rsid w:val="2E314855"/>
    <w:rsid w:val="2E494294"/>
    <w:rsid w:val="2E861045"/>
    <w:rsid w:val="2E89643F"/>
    <w:rsid w:val="2E9C077D"/>
    <w:rsid w:val="2E9F03ED"/>
    <w:rsid w:val="2EB47C9A"/>
    <w:rsid w:val="2EE1627B"/>
    <w:rsid w:val="2F44743E"/>
    <w:rsid w:val="2F472CFA"/>
    <w:rsid w:val="2F5D6A82"/>
    <w:rsid w:val="2F8A246F"/>
    <w:rsid w:val="2F8C268B"/>
    <w:rsid w:val="2F9075B4"/>
    <w:rsid w:val="2FBC3A8F"/>
    <w:rsid w:val="2FD26B56"/>
    <w:rsid w:val="2FF16992"/>
    <w:rsid w:val="2FF26187"/>
    <w:rsid w:val="301A3FC3"/>
    <w:rsid w:val="302503E9"/>
    <w:rsid w:val="30281AAC"/>
    <w:rsid w:val="303767FC"/>
    <w:rsid w:val="3041203C"/>
    <w:rsid w:val="30536D05"/>
    <w:rsid w:val="305A4537"/>
    <w:rsid w:val="305D7B83"/>
    <w:rsid w:val="3069638E"/>
    <w:rsid w:val="30731155"/>
    <w:rsid w:val="30915A7F"/>
    <w:rsid w:val="30C32657"/>
    <w:rsid w:val="30EC4205"/>
    <w:rsid w:val="312D39F9"/>
    <w:rsid w:val="313A0BD1"/>
    <w:rsid w:val="31404725"/>
    <w:rsid w:val="31440D43"/>
    <w:rsid w:val="31552F50"/>
    <w:rsid w:val="31611E7E"/>
    <w:rsid w:val="31615451"/>
    <w:rsid w:val="316867E0"/>
    <w:rsid w:val="31EB11BF"/>
    <w:rsid w:val="320C1861"/>
    <w:rsid w:val="32112B7C"/>
    <w:rsid w:val="322A7F39"/>
    <w:rsid w:val="327D3D12"/>
    <w:rsid w:val="32A61CB5"/>
    <w:rsid w:val="32A63A63"/>
    <w:rsid w:val="32CE4D68"/>
    <w:rsid w:val="32E04BAD"/>
    <w:rsid w:val="330D3A5D"/>
    <w:rsid w:val="33613E2E"/>
    <w:rsid w:val="33982ED9"/>
    <w:rsid w:val="339935C8"/>
    <w:rsid w:val="33A12162"/>
    <w:rsid w:val="33F00D0E"/>
    <w:rsid w:val="33FE167D"/>
    <w:rsid w:val="340F73E6"/>
    <w:rsid w:val="34515C51"/>
    <w:rsid w:val="34603B6D"/>
    <w:rsid w:val="349B1666"/>
    <w:rsid w:val="34B43C68"/>
    <w:rsid w:val="34C04B85"/>
    <w:rsid w:val="34E40B78"/>
    <w:rsid w:val="34FC4643"/>
    <w:rsid w:val="35011425"/>
    <w:rsid w:val="35204D95"/>
    <w:rsid w:val="355A2DB4"/>
    <w:rsid w:val="355B6BD8"/>
    <w:rsid w:val="356A5862"/>
    <w:rsid w:val="357945E5"/>
    <w:rsid w:val="3581411C"/>
    <w:rsid w:val="35867B7C"/>
    <w:rsid w:val="360145CB"/>
    <w:rsid w:val="36107446"/>
    <w:rsid w:val="36273B9D"/>
    <w:rsid w:val="362E286B"/>
    <w:rsid w:val="36392E40"/>
    <w:rsid w:val="364745B3"/>
    <w:rsid w:val="365D6B2F"/>
    <w:rsid w:val="36766209"/>
    <w:rsid w:val="368E6680"/>
    <w:rsid w:val="3692250F"/>
    <w:rsid w:val="36E0506A"/>
    <w:rsid w:val="36E21696"/>
    <w:rsid w:val="36E903C3"/>
    <w:rsid w:val="36F122E3"/>
    <w:rsid w:val="37040D59"/>
    <w:rsid w:val="37227431"/>
    <w:rsid w:val="376C4B50"/>
    <w:rsid w:val="37936580"/>
    <w:rsid w:val="379E73FF"/>
    <w:rsid w:val="37DC4F30"/>
    <w:rsid w:val="37EA51E8"/>
    <w:rsid w:val="37ED7A3F"/>
    <w:rsid w:val="384E39BC"/>
    <w:rsid w:val="384E5558"/>
    <w:rsid w:val="38960E85"/>
    <w:rsid w:val="38E5105E"/>
    <w:rsid w:val="38F566DB"/>
    <w:rsid w:val="38FF3BAA"/>
    <w:rsid w:val="39131727"/>
    <w:rsid w:val="39344543"/>
    <w:rsid w:val="394F2D2E"/>
    <w:rsid w:val="398D703A"/>
    <w:rsid w:val="39A17917"/>
    <w:rsid w:val="39A643A6"/>
    <w:rsid w:val="3A322081"/>
    <w:rsid w:val="3A5A5BBB"/>
    <w:rsid w:val="3A743A5B"/>
    <w:rsid w:val="3AA54601"/>
    <w:rsid w:val="3ABE6841"/>
    <w:rsid w:val="3AD52E6E"/>
    <w:rsid w:val="3AEB5EDB"/>
    <w:rsid w:val="3B0E3CCE"/>
    <w:rsid w:val="3B0E664A"/>
    <w:rsid w:val="3B163750"/>
    <w:rsid w:val="3B3E6803"/>
    <w:rsid w:val="3B410244"/>
    <w:rsid w:val="3B893FFA"/>
    <w:rsid w:val="3B9F3A80"/>
    <w:rsid w:val="3BDE4E60"/>
    <w:rsid w:val="3BE13D5E"/>
    <w:rsid w:val="3BE4509D"/>
    <w:rsid w:val="3BEB698B"/>
    <w:rsid w:val="3C17152E"/>
    <w:rsid w:val="3C371BD0"/>
    <w:rsid w:val="3C3A6FCB"/>
    <w:rsid w:val="3C9F71B8"/>
    <w:rsid w:val="3CA14F5E"/>
    <w:rsid w:val="3CB13731"/>
    <w:rsid w:val="3CB13CE3"/>
    <w:rsid w:val="3CBF05CA"/>
    <w:rsid w:val="3CD012D5"/>
    <w:rsid w:val="3CD13DD3"/>
    <w:rsid w:val="3CE31410"/>
    <w:rsid w:val="3CEC2E40"/>
    <w:rsid w:val="3CFF6EF1"/>
    <w:rsid w:val="3D1E2D4B"/>
    <w:rsid w:val="3D453E79"/>
    <w:rsid w:val="3D4B66A5"/>
    <w:rsid w:val="3D57037E"/>
    <w:rsid w:val="3D926D7E"/>
    <w:rsid w:val="3DA852C6"/>
    <w:rsid w:val="3DD77D43"/>
    <w:rsid w:val="3DD86A9B"/>
    <w:rsid w:val="3DDA0A65"/>
    <w:rsid w:val="3DDD0555"/>
    <w:rsid w:val="3DF5589F"/>
    <w:rsid w:val="3DFF3A68"/>
    <w:rsid w:val="3E0C4997"/>
    <w:rsid w:val="3E102E33"/>
    <w:rsid w:val="3E1F291C"/>
    <w:rsid w:val="3E264AF2"/>
    <w:rsid w:val="3E4405D4"/>
    <w:rsid w:val="3E614CE2"/>
    <w:rsid w:val="3E8A248B"/>
    <w:rsid w:val="3EDA6843"/>
    <w:rsid w:val="3EEB0A50"/>
    <w:rsid w:val="3EF21F38"/>
    <w:rsid w:val="3F18759E"/>
    <w:rsid w:val="3F2A1772"/>
    <w:rsid w:val="3F3E6DD2"/>
    <w:rsid w:val="3F43088C"/>
    <w:rsid w:val="3F473ED8"/>
    <w:rsid w:val="3F5E60C6"/>
    <w:rsid w:val="3F685210"/>
    <w:rsid w:val="3F7D3D9E"/>
    <w:rsid w:val="3F8051EC"/>
    <w:rsid w:val="3F88629F"/>
    <w:rsid w:val="3FDC4371"/>
    <w:rsid w:val="3FED1303"/>
    <w:rsid w:val="3FFC1167"/>
    <w:rsid w:val="400172BB"/>
    <w:rsid w:val="40273D0A"/>
    <w:rsid w:val="404B4A3B"/>
    <w:rsid w:val="40556AC9"/>
    <w:rsid w:val="40794D65"/>
    <w:rsid w:val="407E7DCE"/>
    <w:rsid w:val="408847A8"/>
    <w:rsid w:val="40A92971"/>
    <w:rsid w:val="40C17CBA"/>
    <w:rsid w:val="40E41BD8"/>
    <w:rsid w:val="40F05BBD"/>
    <w:rsid w:val="410302D3"/>
    <w:rsid w:val="41057DE0"/>
    <w:rsid w:val="41214F2E"/>
    <w:rsid w:val="412D2921"/>
    <w:rsid w:val="41695BD4"/>
    <w:rsid w:val="41780CC1"/>
    <w:rsid w:val="41881F15"/>
    <w:rsid w:val="41911D83"/>
    <w:rsid w:val="419E35B6"/>
    <w:rsid w:val="41A63A30"/>
    <w:rsid w:val="41B63597"/>
    <w:rsid w:val="41BB6E00"/>
    <w:rsid w:val="41BD42ED"/>
    <w:rsid w:val="42051E29"/>
    <w:rsid w:val="420B38E3"/>
    <w:rsid w:val="42402E61"/>
    <w:rsid w:val="42440BA3"/>
    <w:rsid w:val="424B0183"/>
    <w:rsid w:val="424C7EC7"/>
    <w:rsid w:val="424F0686"/>
    <w:rsid w:val="427F607F"/>
    <w:rsid w:val="42813BA5"/>
    <w:rsid w:val="42935686"/>
    <w:rsid w:val="42BA6AC5"/>
    <w:rsid w:val="42CD0B98"/>
    <w:rsid w:val="42CF2B62"/>
    <w:rsid w:val="42D77C69"/>
    <w:rsid w:val="42E21A5A"/>
    <w:rsid w:val="42FA674F"/>
    <w:rsid w:val="42FC13DC"/>
    <w:rsid w:val="43156CC7"/>
    <w:rsid w:val="432D1637"/>
    <w:rsid w:val="432D7889"/>
    <w:rsid w:val="43591D9B"/>
    <w:rsid w:val="436A4639"/>
    <w:rsid w:val="43747266"/>
    <w:rsid w:val="43A4388B"/>
    <w:rsid w:val="43AA0EDA"/>
    <w:rsid w:val="43AF64F0"/>
    <w:rsid w:val="43BE3225"/>
    <w:rsid w:val="43BE6733"/>
    <w:rsid w:val="43C35D74"/>
    <w:rsid w:val="43CD118E"/>
    <w:rsid w:val="43D353AE"/>
    <w:rsid w:val="43FD36FF"/>
    <w:rsid w:val="44450C02"/>
    <w:rsid w:val="44564BBE"/>
    <w:rsid w:val="446A2417"/>
    <w:rsid w:val="447D75CD"/>
    <w:rsid w:val="4488746D"/>
    <w:rsid w:val="44B75376"/>
    <w:rsid w:val="44E421C9"/>
    <w:rsid w:val="44E81CBA"/>
    <w:rsid w:val="44F20D8A"/>
    <w:rsid w:val="45062140"/>
    <w:rsid w:val="4537679D"/>
    <w:rsid w:val="4545710C"/>
    <w:rsid w:val="454619C2"/>
    <w:rsid w:val="456652D4"/>
    <w:rsid w:val="456D0411"/>
    <w:rsid w:val="4577128F"/>
    <w:rsid w:val="458D35C1"/>
    <w:rsid w:val="459F7FF5"/>
    <w:rsid w:val="45E561F9"/>
    <w:rsid w:val="45FF45A2"/>
    <w:rsid w:val="46041FB3"/>
    <w:rsid w:val="460D6DA0"/>
    <w:rsid w:val="466435C2"/>
    <w:rsid w:val="46C2653A"/>
    <w:rsid w:val="46CD0C62"/>
    <w:rsid w:val="470703F1"/>
    <w:rsid w:val="470E79D1"/>
    <w:rsid w:val="473B58AD"/>
    <w:rsid w:val="475D3DA8"/>
    <w:rsid w:val="478E45D4"/>
    <w:rsid w:val="47BB30B2"/>
    <w:rsid w:val="47C85DD2"/>
    <w:rsid w:val="47D25BD3"/>
    <w:rsid w:val="47D72A0D"/>
    <w:rsid w:val="47D93185"/>
    <w:rsid w:val="47F24BFD"/>
    <w:rsid w:val="47FB0515"/>
    <w:rsid w:val="47FF0499"/>
    <w:rsid w:val="481608EC"/>
    <w:rsid w:val="483E2E99"/>
    <w:rsid w:val="486F44A0"/>
    <w:rsid w:val="4879708B"/>
    <w:rsid w:val="4893018E"/>
    <w:rsid w:val="489A776F"/>
    <w:rsid w:val="48AB372A"/>
    <w:rsid w:val="48F830FD"/>
    <w:rsid w:val="48FD7CFE"/>
    <w:rsid w:val="49211C3E"/>
    <w:rsid w:val="49386D6A"/>
    <w:rsid w:val="493A4AAE"/>
    <w:rsid w:val="495D4095"/>
    <w:rsid w:val="496438D9"/>
    <w:rsid w:val="49675177"/>
    <w:rsid w:val="49A62143"/>
    <w:rsid w:val="49A63EF1"/>
    <w:rsid w:val="49F20EE5"/>
    <w:rsid w:val="4A035B0E"/>
    <w:rsid w:val="4A212B43"/>
    <w:rsid w:val="4A325785"/>
    <w:rsid w:val="4A3B0ADD"/>
    <w:rsid w:val="4A6A6D04"/>
    <w:rsid w:val="4A8F2BD7"/>
    <w:rsid w:val="4AB670FE"/>
    <w:rsid w:val="4AC26B09"/>
    <w:rsid w:val="4AC60E43"/>
    <w:rsid w:val="4ACC5BD9"/>
    <w:rsid w:val="4AD351BA"/>
    <w:rsid w:val="4ADE0EEB"/>
    <w:rsid w:val="4B2B2900"/>
    <w:rsid w:val="4B3612A5"/>
    <w:rsid w:val="4B64798B"/>
    <w:rsid w:val="4B814C16"/>
    <w:rsid w:val="4B8244EA"/>
    <w:rsid w:val="4BB24DCF"/>
    <w:rsid w:val="4BC209A0"/>
    <w:rsid w:val="4BC52D55"/>
    <w:rsid w:val="4BF70A34"/>
    <w:rsid w:val="4C067917"/>
    <w:rsid w:val="4C115F9A"/>
    <w:rsid w:val="4C2537F3"/>
    <w:rsid w:val="4C46543A"/>
    <w:rsid w:val="4C526437"/>
    <w:rsid w:val="4C8E4F10"/>
    <w:rsid w:val="4CA94424"/>
    <w:rsid w:val="4CB608EF"/>
    <w:rsid w:val="4CB701C3"/>
    <w:rsid w:val="4CC0176E"/>
    <w:rsid w:val="4CC428FF"/>
    <w:rsid w:val="4CC64563"/>
    <w:rsid w:val="4CFD651E"/>
    <w:rsid w:val="4D3637DE"/>
    <w:rsid w:val="4D5A571F"/>
    <w:rsid w:val="4D623393"/>
    <w:rsid w:val="4D942922"/>
    <w:rsid w:val="4D9F3131"/>
    <w:rsid w:val="4DCC40AD"/>
    <w:rsid w:val="4DD0778F"/>
    <w:rsid w:val="4E141D71"/>
    <w:rsid w:val="4E1C56EF"/>
    <w:rsid w:val="4E4D0DDF"/>
    <w:rsid w:val="4E4E7235"/>
    <w:rsid w:val="4E510A11"/>
    <w:rsid w:val="4E5321ED"/>
    <w:rsid w:val="4E6016D6"/>
    <w:rsid w:val="4E6D76D3"/>
    <w:rsid w:val="4E816CDB"/>
    <w:rsid w:val="4EBE7F2F"/>
    <w:rsid w:val="4EE23C1E"/>
    <w:rsid w:val="4EE554BC"/>
    <w:rsid w:val="4F18038A"/>
    <w:rsid w:val="4F2C6C47"/>
    <w:rsid w:val="4F4E12B3"/>
    <w:rsid w:val="4F5148FF"/>
    <w:rsid w:val="4F587A3C"/>
    <w:rsid w:val="4FA964E9"/>
    <w:rsid w:val="4FBA06F6"/>
    <w:rsid w:val="4FDC68BF"/>
    <w:rsid w:val="500951DA"/>
    <w:rsid w:val="501A2F43"/>
    <w:rsid w:val="503264DF"/>
    <w:rsid w:val="50355FCF"/>
    <w:rsid w:val="504D3319"/>
    <w:rsid w:val="50726703"/>
    <w:rsid w:val="507D4876"/>
    <w:rsid w:val="50A826EF"/>
    <w:rsid w:val="50B3232E"/>
    <w:rsid w:val="50F147CD"/>
    <w:rsid w:val="512D64A3"/>
    <w:rsid w:val="512E314A"/>
    <w:rsid w:val="51BF67E7"/>
    <w:rsid w:val="520F7138"/>
    <w:rsid w:val="52113FB7"/>
    <w:rsid w:val="5214298C"/>
    <w:rsid w:val="522C72C3"/>
    <w:rsid w:val="522D1654"/>
    <w:rsid w:val="526C6007"/>
    <w:rsid w:val="528E0091"/>
    <w:rsid w:val="52AE48C3"/>
    <w:rsid w:val="52B92EE7"/>
    <w:rsid w:val="52BC29D7"/>
    <w:rsid w:val="52BE6184"/>
    <w:rsid w:val="52CA50F4"/>
    <w:rsid w:val="52E02222"/>
    <w:rsid w:val="52FB705C"/>
    <w:rsid w:val="530074E4"/>
    <w:rsid w:val="532F4F57"/>
    <w:rsid w:val="536410A5"/>
    <w:rsid w:val="53654E1D"/>
    <w:rsid w:val="538151F6"/>
    <w:rsid w:val="5382777D"/>
    <w:rsid w:val="53886B25"/>
    <w:rsid w:val="53AA2830"/>
    <w:rsid w:val="53C32D17"/>
    <w:rsid w:val="53D02F06"/>
    <w:rsid w:val="53FA37B7"/>
    <w:rsid w:val="53FB3961"/>
    <w:rsid w:val="54085ED4"/>
    <w:rsid w:val="5411012E"/>
    <w:rsid w:val="54183C3E"/>
    <w:rsid w:val="543A0058"/>
    <w:rsid w:val="545869BF"/>
    <w:rsid w:val="54616C3C"/>
    <w:rsid w:val="54617C92"/>
    <w:rsid w:val="54684BC5"/>
    <w:rsid w:val="548136DA"/>
    <w:rsid w:val="54833FB9"/>
    <w:rsid w:val="54954BE7"/>
    <w:rsid w:val="54F2345A"/>
    <w:rsid w:val="5517212A"/>
    <w:rsid w:val="552C2801"/>
    <w:rsid w:val="55614BA6"/>
    <w:rsid w:val="558E0B1C"/>
    <w:rsid w:val="55A25EB5"/>
    <w:rsid w:val="55AE4859"/>
    <w:rsid w:val="56091B70"/>
    <w:rsid w:val="5627460C"/>
    <w:rsid w:val="56286D65"/>
    <w:rsid w:val="564D4072"/>
    <w:rsid w:val="56500232"/>
    <w:rsid w:val="566B274A"/>
    <w:rsid w:val="568D26C1"/>
    <w:rsid w:val="569F11EB"/>
    <w:rsid w:val="57016C0B"/>
    <w:rsid w:val="572306CC"/>
    <w:rsid w:val="575415EF"/>
    <w:rsid w:val="57605364"/>
    <w:rsid w:val="57623B4D"/>
    <w:rsid w:val="577C0670"/>
    <w:rsid w:val="578F4217"/>
    <w:rsid w:val="579E08FE"/>
    <w:rsid w:val="57A37CC2"/>
    <w:rsid w:val="57B16AC2"/>
    <w:rsid w:val="57B91294"/>
    <w:rsid w:val="57BA7416"/>
    <w:rsid w:val="57BD1AF6"/>
    <w:rsid w:val="57BF5FD4"/>
    <w:rsid w:val="57BF6720"/>
    <w:rsid w:val="57D4431F"/>
    <w:rsid w:val="57F04132"/>
    <w:rsid w:val="58080DD2"/>
    <w:rsid w:val="581A61D6"/>
    <w:rsid w:val="582C5F09"/>
    <w:rsid w:val="58433146"/>
    <w:rsid w:val="585D4315"/>
    <w:rsid w:val="586B07E0"/>
    <w:rsid w:val="5875340D"/>
    <w:rsid w:val="58BF0649"/>
    <w:rsid w:val="59123351"/>
    <w:rsid w:val="593212FE"/>
    <w:rsid w:val="59451AAD"/>
    <w:rsid w:val="59555DCC"/>
    <w:rsid w:val="595B6AA6"/>
    <w:rsid w:val="59A633F1"/>
    <w:rsid w:val="59A71F8F"/>
    <w:rsid w:val="5A225816"/>
    <w:rsid w:val="5A2C21F1"/>
    <w:rsid w:val="5A3B2831"/>
    <w:rsid w:val="5A492DA3"/>
    <w:rsid w:val="5A655C07"/>
    <w:rsid w:val="5A7A2F5C"/>
    <w:rsid w:val="5A8B77DE"/>
    <w:rsid w:val="5A981634"/>
    <w:rsid w:val="5ABC3575"/>
    <w:rsid w:val="5ADB4098"/>
    <w:rsid w:val="5AEA40DA"/>
    <w:rsid w:val="5AEB18DC"/>
    <w:rsid w:val="5B264E92"/>
    <w:rsid w:val="5B2A2BD4"/>
    <w:rsid w:val="5B3A6B8F"/>
    <w:rsid w:val="5B411CCC"/>
    <w:rsid w:val="5B501F0F"/>
    <w:rsid w:val="5B745BFD"/>
    <w:rsid w:val="5B7A35BA"/>
    <w:rsid w:val="5B8163F9"/>
    <w:rsid w:val="5B9F4D3D"/>
    <w:rsid w:val="5BAC3819"/>
    <w:rsid w:val="5BF353CA"/>
    <w:rsid w:val="5C1650EC"/>
    <w:rsid w:val="5C861E69"/>
    <w:rsid w:val="5CAE15E3"/>
    <w:rsid w:val="5CBD5382"/>
    <w:rsid w:val="5CDA5F34"/>
    <w:rsid w:val="5CE21AED"/>
    <w:rsid w:val="5D3722DC"/>
    <w:rsid w:val="5D3C099D"/>
    <w:rsid w:val="5D600B2F"/>
    <w:rsid w:val="5D9C143B"/>
    <w:rsid w:val="5DA86032"/>
    <w:rsid w:val="5DCD3CEB"/>
    <w:rsid w:val="5DD230AF"/>
    <w:rsid w:val="5DF17507"/>
    <w:rsid w:val="5E084D23"/>
    <w:rsid w:val="5E0A2849"/>
    <w:rsid w:val="5E225DE5"/>
    <w:rsid w:val="5E4775F9"/>
    <w:rsid w:val="5E547F68"/>
    <w:rsid w:val="5E5C6BAC"/>
    <w:rsid w:val="5E6A778C"/>
    <w:rsid w:val="5E6B4191"/>
    <w:rsid w:val="5EBD01FF"/>
    <w:rsid w:val="5EC155FD"/>
    <w:rsid w:val="5EC94306"/>
    <w:rsid w:val="5EE57DEF"/>
    <w:rsid w:val="5F29040C"/>
    <w:rsid w:val="5F3479DF"/>
    <w:rsid w:val="5F4010A7"/>
    <w:rsid w:val="5F492A07"/>
    <w:rsid w:val="5FFA1614"/>
    <w:rsid w:val="5FFE63DD"/>
    <w:rsid w:val="601E1CC5"/>
    <w:rsid w:val="60432042"/>
    <w:rsid w:val="60681AA9"/>
    <w:rsid w:val="606C1599"/>
    <w:rsid w:val="6074044E"/>
    <w:rsid w:val="60786190"/>
    <w:rsid w:val="607E307A"/>
    <w:rsid w:val="608368E3"/>
    <w:rsid w:val="608F7035"/>
    <w:rsid w:val="60A823BF"/>
    <w:rsid w:val="612F2105"/>
    <w:rsid w:val="61677FB2"/>
    <w:rsid w:val="61730705"/>
    <w:rsid w:val="617F354E"/>
    <w:rsid w:val="61970898"/>
    <w:rsid w:val="61A06CE6"/>
    <w:rsid w:val="61CE1043"/>
    <w:rsid w:val="62022F83"/>
    <w:rsid w:val="621E4B15"/>
    <w:rsid w:val="625C786C"/>
    <w:rsid w:val="6283706E"/>
    <w:rsid w:val="628801E0"/>
    <w:rsid w:val="628D3A49"/>
    <w:rsid w:val="62D804DD"/>
    <w:rsid w:val="62DE2463"/>
    <w:rsid w:val="62FE04A2"/>
    <w:rsid w:val="632A1297"/>
    <w:rsid w:val="63400ABB"/>
    <w:rsid w:val="638B61DA"/>
    <w:rsid w:val="638E67FA"/>
    <w:rsid w:val="645667E8"/>
    <w:rsid w:val="64A37118"/>
    <w:rsid w:val="64EA5182"/>
    <w:rsid w:val="65624D19"/>
    <w:rsid w:val="65BF03BD"/>
    <w:rsid w:val="65C92FEA"/>
    <w:rsid w:val="65CD4AE6"/>
    <w:rsid w:val="65FA31A3"/>
    <w:rsid w:val="66212E26"/>
    <w:rsid w:val="662B15AE"/>
    <w:rsid w:val="6632293D"/>
    <w:rsid w:val="66342B59"/>
    <w:rsid w:val="6635067F"/>
    <w:rsid w:val="663D0055"/>
    <w:rsid w:val="66521231"/>
    <w:rsid w:val="666920D7"/>
    <w:rsid w:val="66693888"/>
    <w:rsid w:val="66707909"/>
    <w:rsid w:val="669C425A"/>
    <w:rsid w:val="66E34184"/>
    <w:rsid w:val="66E3632D"/>
    <w:rsid w:val="66F72064"/>
    <w:rsid w:val="670330BC"/>
    <w:rsid w:val="670F1CF4"/>
    <w:rsid w:val="675608AD"/>
    <w:rsid w:val="676A3084"/>
    <w:rsid w:val="677874C4"/>
    <w:rsid w:val="67A05409"/>
    <w:rsid w:val="67A40A13"/>
    <w:rsid w:val="67AA29A7"/>
    <w:rsid w:val="67C670CB"/>
    <w:rsid w:val="68093B71"/>
    <w:rsid w:val="6811390E"/>
    <w:rsid w:val="682E5386"/>
    <w:rsid w:val="683055A2"/>
    <w:rsid w:val="68433D76"/>
    <w:rsid w:val="6846007D"/>
    <w:rsid w:val="6848469A"/>
    <w:rsid w:val="684B418A"/>
    <w:rsid w:val="687C210C"/>
    <w:rsid w:val="68A1024E"/>
    <w:rsid w:val="691F68E7"/>
    <w:rsid w:val="692A2A99"/>
    <w:rsid w:val="692F585A"/>
    <w:rsid w:val="693370F8"/>
    <w:rsid w:val="694766FF"/>
    <w:rsid w:val="69664A0F"/>
    <w:rsid w:val="697274F4"/>
    <w:rsid w:val="69781B4C"/>
    <w:rsid w:val="69A74526"/>
    <w:rsid w:val="69BE4592"/>
    <w:rsid w:val="69CE04C4"/>
    <w:rsid w:val="69D331BE"/>
    <w:rsid w:val="69FA3354"/>
    <w:rsid w:val="69FE4B1A"/>
    <w:rsid w:val="6A165180"/>
    <w:rsid w:val="6A1F767C"/>
    <w:rsid w:val="6A9516EC"/>
    <w:rsid w:val="6AB42873"/>
    <w:rsid w:val="6AC81AC2"/>
    <w:rsid w:val="6B2A62D8"/>
    <w:rsid w:val="6B317667"/>
    <w:rsid w:val="6B4F21E3"/>
    <w:rsid w:val="6B5A6D4C"/>
    <w:rsid w:val="6B5E2426"/>
    <w:rsid w:val="6B60172B"/>
    <w:rsid w:val="6B670643"/>
    <w:rsid w:val="6BA8544F"/>
    <w:rsid w:val="6BD56BBF"/>
    <w:rsid w:val="6BDF5315"/>
    <w:rsid w:val="6BE26BB3"/>
    <w:rsid w:val="6BED613A"/>
    <w:rsid w:val="6C0504CD"/>
    <w:rsid w:val="6C1B20C5"/>
    <w:rsid w:val="6C2E3BA6"/>
    <w:rsid w:val="6C3B7073"/>
    <w:rsid w:val="6C452082"/>
    <w:rsid w:val="6C5C0714"/>
    <w:rsid w:val="6C621AA2"/>
    <w:rsid w:val="6C9A748E"/>
    <w:rsid w:val="6CA65E33"/>
    <w:rsid w:val="6CE93F71"/>
    <w:rsid w:val="6D166FC6"/>
    <w:rsid w:val="6D2A0812"/>
    <w:rsid w:val="6D681BE5"/>
    <w:rsid w:val="6D6E2C76"/>
    <w:rsid w:val="6D7221B9"/>
    <w:rsid w:val="6D7D3037"/>
    <w:rsid w:val="6D853C9A"/>
    <w:rsid w:val="6DB36A59"/>
    <w:rsid w:val="6DEE5D52"/>
    <w:rsid w:val="6E054DDB"/>
    <w:rsid w:val="6E076DA5"/>
    <w:rsid w:val="6E2830B5"/>
    <w:rsid w:val="6E3A2CD6"/>
    <w:rsid w:val="6E3B25AB"/>
    <w:rsid w:val="6E423939"/>
    <w:rsid w:val="6E427879"/>
    <w:rsid w:val="6E427DDD"/>
    <w:rsid w:val="6E4D1E72"/>
    <w:rsid w:val="6E7361E8"/>
    <w:rsid w:val="6E7A034A"/>
    <w:rsid w:val="6E9F59DB"/>
    <w:rsid w:val="6EA95674"/>
    <w:rsid w:val="6EB04D47"/>
    <w:rsid w:val="6EB8009F"/>
    <w:rsid w:val="6EC75253"/>
    <w:rsid w:val="6F143527"/>
    <w:rsid w:val="6F25557D"/>
    <w:rsid w:val="6F6A591E"/>
    <w:rsid w:val="6F7E6BF3"/>
    <w:rsid w:val="6FBE2EB3"/>
    <w:rsid w:val="6FEE1FCA"/>
    <w:rsid w:val="6FEF189F"/>
    <w:rsid w:val="6FEF7AF1"/>
    <w:rsid w:val="6FFD40FB"/>
    <w:rsid w:val="700C2451"/>
    <w:rsid w:val="701778DC"/>
    <w:rsid w:val="701E7613"/>
    <w:rsid w:val="702A28D7"/>
    <w:rsid w:val="702B1782"/>
    <w:rsid w:val="7038302F"/>
    <w:rsid w:val="70441BEA"/>
    <w:rsid w:val="704A7F86"/>
    <w:rsid w:val="705645D9"/>
    <w:rsid w:val="707F2C23"/>
    <w:rsid w:val="70A628A5"/>
    <w:rsid w:val="70B4218C"/>
    <w:rsid w:val="70BE3698"/>
    <w:rsid w:val="70C07837"/>
    <w:rsid w:val="70E46F2A"/>
    <w:rsid w:val="713102D0"/>
    <w:rsid w:val="71436346"/>
    <w:rsid w:val="7162370E"/>
    <w:rsid w:val="71950224"/>
    <w:rsid w:val="71A14742"/>
    <w:rsid w:val="71C12C62"/>
    <w:rsid w:val="71D74828"/>
    <w:rsid w:val="721101F2"/>
    <w:rsid w:val="7258197D"/>
    <w:rsid w:val="72710C91"/>
    <w:rsid w:val="728A58AF"/>
    <w:rsid w:val="72AE1098"/>
    <w:rsid w:val="72B1108D"/>
    <w:rsid w:val="72C15778"/>
    <w:rsid w:val="730B63E9"/>
    <w:rsid w:val="731D4975"/>
    <w:rsid w:val="731F06ED"/>
    <w:rsid w:val="73261A7B"/>
    <w:rsid w:val="732955BF"/>
    <w:rsid w:val="73685F85"/>
    <w:rsid w:val="73734595"/>
    <w:rsid w:val="737D379D"/>
    <w:rsid w:val="73966C01"/>
    <w:rsid w:val="73A11102"/>
    <w:rsid w:val="73C80A94"/>
    <w:rsid w:val="73FD3E81"/>
    <w:rsid w:val="743106D8"/>
    <w:rsid w:val="747800B5"/>
    <w:rsid w:val="74890514"/>
    <w:rsid w:val="74921493"/>
    <w:rsid w:val="749D7B1B"/>
    <w:rsid w:val="751678CE"/>
    <w:rsid w:val="75175143"/>
    <w:rsid w:val="754932A6"/>
    <w:rsid w:val="755D1092"/>
    <w:rsid w:val="75763252"/>
    <w:rsid w:val="75846F2D"/>
    <w:rsid w:val="75D9635E"/>
    <w:rsid w:val="75E63744"/>
    <w:rsid w:val="75E663D6"/>
    <w:rsid w:val="75F860D5"/>
    <w:rsid w:val="760342F6"/>
    <w:rsid w:val="76041807"/>
    <w:rsid w:val="76085468"/>
    <w:rsid w:val="7610256F"/>
    <w:rsid w:val="76124539"/>
    <w:rsid w:val="76612DCA"/>
    <w:rsid w:val="76676633"/>
    <w:rsid w:val="76766876"/>
    <w:rsid w:val="768800FB"/>
    <w:rsid w:val="76A315AA"/>
    <w:rsid w:val="76BB697E"/>
    <w:rsid w:val="76E9529A"/>
    <w:rsid w:val="76EE2307"/>
    <w:rsid w:val="77514BED"/>
    <w:rsid w:val="779D6084"/>
    <w:rsid w:val="77DE0B76"/>
    <w:rsid w:val="77F24622"/>
    <w:rsid w:val="77F9775E"/>
    <w:rsid w:val="780A196C"/>
    <w:rsid w:val="78113BDD"/>
    <w:rsid w:val="782377C2"/>
    <w:rsid w:val="78342545"/>
    <w:rsid w:val="785710BA"/>
    <w:rsid w:val="78957A98"/>
    <w:rsid w:val="78EC2B98"/>
    <w:rsid w:val="78F26496"/>
    <w:rsid w:val="79184530"/>
    <w:rsid w:val="79213C3F"/>
    <w:rsid w:val="792870F3"/>
    <w:rsid w:val="79314CD6"/>
    <w:rsid w:val="793A6280"/>
    <w:rsid w:val="794568AC"/>
    <w:rsid w:val="794732B8"/>
    <w:rsid w:val="79473C47"/>
    <w:rsid w:val="79566D46"/>
    <w:rsid w:val="7A1963AB"/>
    <w:rsid w:val="7A435E4B"/>
    <w:rsid w:val="7A4E3666"/>
    <w:rsid w:val="7A725D8C"/>
    <w:rsid w:val="7A996FD7"/>
    <w:rsid w:val="7A9D6AC7"/>
    <w:rsid w:val="7ABD0F17"/>
    <w:rsid w:val="7ACD0A2E"/>
    <w:rsid w:val="7AE1488A"/>
    <w:rsid w:val="7AEB6248"/>
    <w:rsid w:val="7B0204DC"/>
    <w:rsid w:val="7B08042F"/>
    <w:rsid w:val="7B1F65CA"/>
    <w:rsid w:val="7B2F4F94"/>
    <w:rsid w:val="7B493A62"/>
    <w:rsid w:val="7B6E3FBF"/>
    <w:rsid w:val="7B6E5D6D"/>
    <w:rsid w:val="7B890DF9"/>
    <w:rsid w:val="7B905F16"/>
    <w:rsid w:val="7BAD5E8E"/>
    <w:rsid w:val="7BB11EB4"/>
    <w:rsid w:val="7C041228"/>
    <w:rsid w:val="7C064A88"/>
    <w:rsid w:val="7C262AEC"/>
    <w:rsid w:val="7C4371FA"/>
    <w:rsid w:val="7C66113B"/>
    <w:rsid w:val="7C756BBB"/>
    <w:rsid w:val="7CB3005B"/>
    <w:rsid w:val="7CB9570E"/>
    <w:rsid w:val="7CC0704E"/>
    <w:rsid w:val="7CC876FF"/>
    <w:rsid w:val="7CCA3711"/>
    <w:rsid w:val="7CF14EA8"/>
    <w:rsid w:val="7D0821F2"/>
    <w:rsid w:val="7D2708CA"/>
    <w:rsid w:val="7D697134"/>
    <w:rsid w:val="7D781125"/>
    <w:rsid w:val="7D7F24B4"/>
    <w:rsid w:val="7D9677FD"/>
    <w:rsid w:val="7DA45501"/>
    <w:rsid w:val="7DAF38C3"/>
    <w:rsid w:val="7DC71498"/>
    <w:rsid w:val="7DCC7E3B"/>
    <w:rsid w:val="7DD00F61"/>
    <w:rsid w:val="7E0155BF"/>
    <w:rsid w:val="7E9755DB"/>
    <w:rsid w:val="7E9F23BF"/>
    <w:rsid w:val="7EB02B41"/>
    <w:rsid w:val="7EE76EDF"/>
    <w:rsid w:val="7EEF5417"/>
    <w:rsid w:val="7F3472CE"/>
    <w:rsid w:val="7F3B240A"/>
    <w:rsid w:val="7F572FBC"/>
    <w:rsid w:val="7F5C05D3"/>
    <w:rsid w:val="7F8A0AEB"/>
    <w:rsid w:val="7F997CB3"/>
    <w:rsid w:val="7FA26CDE"/>
    <w:rsid w:val="7FAF3FEC"/>
    <w:rsid w:val="7FE725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3">
    <w:name w:val="heading 1"/>
    <w:basedOn w:val="1"/>
    <w:next w:val="4"/>
    <w:link w:val="31"/>
    <w:autoRedefine/>
    <w:qFormat/>
    <w:uiPriority w:val="0"/>
    <w:pPr>
      <w:keepNext/>
      <w:keepLines/>
      <w:spacing w:line="240" w:lineRule="auto"/>
      <w:jc w:val="center"/>
      <w:outlineLvl w:val="0"/>
    </w:pPr>
    <w:rPr>
      <w:rFonts w:eastAsia="黑体"/>
      <w:b/>
      <w:bCs/>
      <w:color w:val="000000"/>
      <w:kern w:val="44"/>
      <w:sz w:val="32"/>
      <w:szCs w:val="36"/>
    </w:rPr>
  </w:style>
  <w:style w:type="paragraph" w:styleId="4">
    <w:name w:val="heading 2"/>
    <w:basedOn w:val="3"/>
    <w:next w:val="1"/>
    <w:link w:val="34"/>
    <w:autoRedefine/>
    <w:unhideWhenUsed/>
    <w:qFormat/>
    <w:uiPriority w:val="0"/>
    <w:pPr>
      <w:keepNext/>
      <w:keepLines/>
      <w:spacing w:line="500" w:lineRule="exact"/>
      <w:ind w:firstLine="566" w:firstLineChars="200"/>
      <w:outlineLvl w:val="1"/>
    </w:pPr>
    <w:rPr>
      <w:rFonts w:ascii="Calibri" w:hAnsi="Calibri" w:cs="Calibri"/>
      <w:sz w:val="30"/>
      <w:szCs w:val="32"/>
    </w:rPr>
  </w:style>
  <w:style w:type="paragraph" w:styleId="5">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2">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annotation text"/>
    <w:basedOn w:val="1"/>
    <w:qFormat/>
    <w:uiPriority w:val="0"/>
    <w:pPr>
      <w:jc w:val="left"/>
    </w:pPr>
  </w:style>
  <w:style w:type="paragraph" w:styleId="9">
    <w:name w:val="index 6"/>
    <w:basedOn w:val="1"/>
    <w:next w:val="1"/>
    <w:autoRedefine/>
    <w:qFormat/>
    <w:uiPriority w:val="0"/>
    <w:pPr>
      <w:ind w:left="1000" w:leftChars="1000"/>
    </w:pPr>
    <w:rPr>
      <w:rFonts w:ascii="Calibri" w:hAnsi="Calibri" w:eastAsia="宋体" w:cs="Times New Roman"/>
    </w:rPr>
  </w:style>
  <w:style w:type="paragraph" w:styleId="10">
    <w:name w:val="Body Text"/>
    <w:basedOn w:val="1"/>
    <w:next w:val="1"/>
    <w:autoRedefine/>
    <w:qFormat/>
    <w:uiPriority w:val="0"/>
  </w:style>
  <w:style w:type="paragraph" w:styleId="11">
    <w:name w:val="Body Text Indent"/>
    <w:basedOn w:val="1"/>
    <w:autoRedefine/>
    <w:qFormat/>
    <w:uiPriority w:val="0"/>
    <w:pPr>
      <w:ind w:firstLine="830" w:firstLineChars="352"/>
    </w:pPr>
    <w:rPr>
      <w:rFonts w:ascii="仿宋_GB2312" w:eastAsia="仿宋_GB2312"/>
      <w:sz w:val="32"/>
    </w:rPr>
  </w:style>
  <w:style w:type="paragraph" w:styleId="12">
    <w:name w:val="Plain Text"/>
    <w:basedOn w:val="1"/>
    <w:autoRedefine/>
    <w:qFormat/>
    <w:uiPriority w:val="0"/>
    <w:rPr>
      <w:rFonts w:ascii="宋体" w:hAnsi="Courier New" w:cs="Courier New"/>
      <w:szCs w:val="21"/>
    </w:rPr>
  </w:style>
  <w:style w:type="paragraph" w:styleId="13">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4">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5">
    <w:name w:val="toc 1"/>
    <w:basedOn w:val="1"/>
    <w:next w:val="1"/>
    <w:autoRedefine/>
    <w:qFormat/>
    <w:uiPriority w:val="39"/>
  </w:style>
  <w:style w:type="paragraph" w:styleId="16">
    <w:name w:val="toc 4"/>
    <w:basedOn w:val="1"/>
    <w:next w:val="1"/>
    <w:qFormat/>
    <w:uiPriority w:val="39"/>
    <w:pPr>
      <w:spacing w:line="240" w:lineRule="auto"/>
      <w:ind w:left="1260" w:leftChars="600"/>
    </w:pPr>
  </w:style>
  <w:style w:type="paragraph" w:styleId="17">
    <w:name w:val="toc 2"/>
    <w:basedOn w:val="1"/>
    <w:next w:val="1"/>
    <w:autoRedefine/>
    <w:unhideWhenUsed/>
    <w:qFormat/>
    <w:uiPriority w:val="39"/>
    <w:pPr>
      <w:ind w:left="420" w:leftChars="200"/>
    </w:pPr>
  </w:style>
  <w:style w:type="paragraph" w:styleId="18">
    <w:name w:val="HTML Preformatted"/>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9">
    <w:name w:val="Normal (Web)"/>
    <w:basedOn w:val="1"/>
    <w:autoRedefine/>
    <w:qFormat/>
    <w:uiPriority w:val="99"/>
    <w:pPr>
      <w:spacing w:beforeAutospacing="1" w:afterAutospacing="1"/>
      <w:jc w:val="left"/>
    </w:pPr>
    <w:rPr>
      <w:rFonts w:cs="Times New Roman"/>
      <w:kern w:val="0"/>
      <w:sz w:val="24"/>
    </w:rPr>
  </w:style>
  <w:style w:type="paragraph" w:styleId="20">
    <w:name w:val="Body Text First Indent 2"/>
    <w:basedOn w:val="11"/>
    <w:next w:val="1"/>
    <w:autoRedefine/>
    <w:qFormat/>
    <w:uiPriority w:val="0"/>
    <w:pPr>
      <w:spacing w:line="240" w:lineRule="auto"/>
      <w:ind w:firstLine="420" w:firstLineChars="200"/>
    </w:pPr>
    <w:rPr>
      <w:rFonts w:eastAsia="楷体_GB2312"/>
      <w:b/>
      <w:szCs w:val="24"/>
    </w:r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page number"/>
    <w:basedOn w:val="23"/>
    <w:qFormat/>
    <w:uiPriority w:val="0"/>
  </w:style>
  <w:style w:type="character" w:styleId="25">
    <w:name w:val="Hyperlink"/>
    <w:autoRedefine/>
    <w:qFormat/>
    <w:uiPriority w:val="99"/>
    <w:rPr>
      <w:color w:val="000000"/>
      <w:sz w:val="18"/>
      <w:szCs w:val="18"/>
      <w:u w:val="none"/>
    </w:rPr>
  </w:style>
  <w:style w:type="paragraph" w:customStyle="1" w:styleId="26">
    <w:name w:val="Body Text First Indent1"/>
    <w:basedOn w:val="10"/>
    <w:next w:val="1"/>
    <w:qFormat/>
    <w:uiPriority w:val="0"/>
    <w:pPr>
      <w:tabs>
        <w:tab w:val="center" w:pos="6360"/>
      </w:tabs>
      <w:adjustRightInd w:val="0"/>
      <w:ind w:firstLine="420"/>
      <w:jc w:val="center"/>
      <w:textAlignment w:val="baseline"/>
    </w:pPr>
    <w:rPr>
      <w:b/>
    </w:rPr>
  </w:style>
  <w:style w:type="paragraph" w:customStyle="1" w:styleId="27">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8">
    <w:name w:val="正文缩进1"/>
    <w:basedOn w:val="1"/>
    <w:autoRedefine/>
    <w:qFormat/>
    <w:uiPriority w:val="0"/>
    <w:pPr>
      <w:ind w:firstLine="420" w:firstLineChars="200"/>
    </w:pPr>
  </w:style>
  <w:style w:type="paragraph" w:customStyle="1" w:styleId="29">
    <w:name w:val="正文（缩进 2 字符）"/>
    <w:basedOn w:val="1"/>
    <w:autoRedefine/>
    <w:qFormat/>
    <w:uiPriority w:val="0"/>
    <w:pPr>
      <w:ind w:firstLine="200" w:firstLineChars="200"/>
    </w:pPr>
  </w:style>
  <w:style w:type="paragraph" w:customStyle="1" w:styleId="30">
    <w:name w:val="正文（缩进 4 字符）"/>
    <w:basedOn w:val="1"/>
    <w:autoRedefine/>
    <w:qFormat/>
    <w:uiPriority w:val="0"/>
    <w:pPr>
      <w:ind w:firstLine="1134" w:firstLineChars="400"/>
    </w:pPr>
  </w:style>
  <w:style w:type="character" w:customStyle="1" w:styleId="31">
    <w:name w:val="标题 1 Char1"/>
    <w:link w:val="3"/>
    <w:autoRedefine/>
    <w:qFormat/>
    <w:uiPriority w:val="9"/>
    <w:rPr>
      <w:rFonts w:eastAsia="黑体"/>
      <w:b/>
      <w:bCs/>
      <w:color w:val="000000"/>
      <w:kern w:val="44"/>
      <w:sz w:val="32"/>
      <w:szCs w:val="36"/>
    </w:rPr>
  </w:style>
  <w:style w:type="paragraph" w:customStyle="1" w:styleId="32">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3">
    <w:name w:val="标题 2（投标文件）"/>
    <w:basedOn w:val="4"/>
    <w:autoRedefine/>
    <w:qFormat/>
    <w:uiPriority w:val="0"/>
    <w:pPr>
      <w:jc w:val="center"/>
    </w:pPr>
  </w:style>
  <w:style w:type="character" w:customStyle="1" w:styleId="34">
    <w:name w:val="标题 2 Char"/>
    <w:link w:val="4"/>
    <w:autoRedefine/>
    <w:qFormat/>
    <w:uiPriority w:val="9"/>
    <w:rPr>
      <w:rFonts w:ascii="Calibri" w:hAnsi="Calibri" w:cs="Calibri"/>
      <w:b/>
      <w:bCs/>
      <w:sz w:val="30"/>
      <w:szCs w:val="32"/>
    </w:rPr>
  </w:style>
  <w:style w:type="paragraph" w:customStyle="1" w:styleId="35">
    <w:name w:val="标题 3（投标文件）"/>
    <w:basedOn w:val="5"/>
    <w:autoRedefine/>
    <w:qFormat/>
    <w:uiPriority w:val="0"/>
    <w:pPr>
      <w:jc w:val="left"/>
    </w:pPr>
  </w:style>
  <w:style w:type="paragraph" w:customStyle="1" w:styleId="36">
    <w:name w:val="正文文本 31"/>
    <w:basedOn w:val="1"/>
    <w:autoRedefine/>
    <w:qFormat/>
    <w:uiPriority w:val="0"/>
    <w:rPr>
      <w:sz w:val="16"/>
      <w:szCs w:val="16"/>
    </w:rPr>
  </w:style>
  <w:style w:type="character" w:customStyle="1" w:styleId="37">
    <w:name w:val="NormalCharacter"/>
    <w:autoRedefine/>
    <w:qFormat/>
    <w:uiPriority w:val="0"/>
    <w:rPr>
      <w:kern w:val="2"/>
      <w:sz w:val="21"/>
      <w:szCs w:val="22"/>
      <w:lang w:val="en-US" w:eastAsia="zh-CN" w:bidi="ar-SA"/>
    </w:rPr>
  </w:style>
  <w:style w:type="character" w:customStyle="1" w:styleId="38">
    <w:name w:val="UserStyle_0"/>
    <w:autoRedefine/>
    <w:semiHidden/>
    <w:qFormat/>
    <w:uiPriority w:val="0"/>
  </w:style>
  <w:style w:type="paragraph" w:customStyle="1" w:styleId="39">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40">
    <w:name w:val="Table Normal"/>
    <w:autoRedefine/>
    <w:qFormat/>
    <w:uiPriority w:val="0"/>
    <w:tblPr>
      <w:tblCellMar>
        <w:top w:w="0" w:type="dxa"/>
        <w:left w:w="0" w:type="dxa"/>
        <w:bottom w:w="0" w:type="dxa"/>
        <w:right w:w="0" w:type="dxa"/>
      </w:tblCellMar>
    </w:tblPr>
  </w:style>
  <w:style w:type="paragraph" w:customStyle="1" w:styleId="41">
    <w:name w:val="Table Paragraph"/>
    <w:basedOn w:val="1"/>
    <w:qFormat/>
    <w:uiPriority w:val="1"/>
    <w:rPr>
      <w:rFonts w:ascii="宋体" w:hAnsi="宋体" w:eastAsia="宋体" w:cs="宋体"/>
      <w:lang w:val="en-US" w:eastAsia="zh-CN" w:bidi="ar-SA"/>
    </w:rPr>
  </w:style>
  <w:style w:type="paragraph" w:customStyle="1" w:styleId="42">
    <w:name w:val="p0"/>
    <w:basedOn w:val="1"/>
    <w:unhideWhenUsed/>
    <w:qFormat/>
    <w:uiPriority w:val="0"/>
    <w:pPr>
      <w:widowControl/>
    </w:pPr>
    <w:rPr>
      <w:rFonts w:hint="eastAsia"/>
      <w:sz w:val="32"/>
      <w:szCs w:val="20"/>
    </w:rPr>
  </w:style>
  <w:style w:type="paragraph" w:customStyle="1" w:styleId="43">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44">
    <w:name w:val="font11"/>
    <w:basedOn w:val="23"/>
    <w:qFormat/>
    <w:uiPriority w:val="0"/>
    <w:rPr>
      <w:rFonts w:hint="eastAsia" w:ascii="宋体" w:hAnsi="宋体" w:eastAsia="宋体" w:cs="宋体"/>
      <w:color w:val="000000"/>
      <w:sz w:val="32"/>
      <w:szCs w:val="32"/>
      <w:u w:val="none"/>
    </w:rPr>
  </w:style>
  <w:style w:type="character" w:customStyle="1" w:styleId="45">
    <w:name w:val="font21"/>
    <w:basedOn w:val="23"/>
    <w:qFormat/>
    <w:uiPriority w:val="0"/>
    <w:rPr>
      <w:rFonts w:hint="default" w:ascii="Calibri" w:hAnsi="Calibri" w:cs="Calibri"/>
      <w:color w:val="000000"/>
      <w:sz w:val="32"/>
      <w:szCs w:val="32"/>
      <w:u w:val="none"/>
    </w:rPr>
  </w:style>
  <w:style w:type="paragraph" w:customStyle="1" w:styleId="46">
    <w:name w:val="font5"/>
    <w:basedOn w:val="1"/>
    <w:autoRedefine/>
    <w:qFormat/>
    <w:uiPriority w:val="0"/>
    <w:pPr>
      <w:widowControl/>
      <w:spacing w:before="100" w:beforeLines="0" w:beforeAutospacing="1" w:after="100" w:afterLines="0" w:afterAutospacing="1" w:line="240" w:lineRule="auto"/>
      <w:jc w:val="left"/>
    </w:pPr>
    <w:rPr>
      <w:rFonts w:ascii="宋体" w:hAnsi="宋体" w:cs="宋体"/>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85</Pages>
  <Words>17411</Words>
  <Characters>18212</Characters>
  <Lines>0</Lines>
  <Paragraphs>0</Paragraphs>
  <TotalTime>372</TotalTime>
  <ScaleCrop>false</ScaleCrop>
  <LinksUpToDate>false</LinksUpToDate>
  <CharactersWithSpaces>18306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点心</cp:lastModifiedBy>
  <cp:lastPrinted>2026-09-30T00:49:06Z</cp:lastPrinted>
  <dcterms:modified xsi:type="dcterms:W3CDTF">2026-09-30T07:00:02Z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26D25CD59CDB49A6BA0D8E5A9B8764F6_13</vt:lpwstr>
  </property>
  <property fmtid="{D5CDD505-2E9C-101B-9397-08002B2CF9AE}" pid="4" name="KSOTemplateDocerSaveRecord">
    <vt:lpwstr>eyJoZGlkIjoiMTY3OTYyZTc4YjJhMGUyYzdiNTU4MDE1MTlkOTlmZWUiLCJ1c2VySWQiOiI5OTkzMjU0MzIifQ==</vt:lpwstr>
  </property>
</Properties>
</file>