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D2CD4">
      <w:pPr>
        <w:spacing w:line="780" w:lineRule="auto"/>
        <w:jc w:val="center"/>
        <w:rPr>
          <w:rFonts w:hint="eastAsia" w:ascii="宋体" w:hAnsi="宋体" w:eastAsia="宋体" w:cs="宋体"/>
          <w:highlight w:val="none"/>
        </w:rPr>
      </w:pPr>
    </w:p>
    <w:p w14:paraId="1EAEADE2">
      <w:pPr>
        <w:spacing w:line="780" w:lineRule="auto"/>
        <w:jc w:val="center"/>
        <w:rPr>
          <w:rFonts w:hint="eastAsia" w:ascii="宋体" w:hAnsi="宋体" w:eastAsia="宋体" w:cs="宋体"/>
          <w:highlight w:val="none"/>
        </w:rPr>
      </w:pPr>
    </w:p>
    <w:p w14:paraId="01FC30CF">
      <w:pPr>
        <w:spacing w:line="780" w:lineRule="auto"/>
        <w:jc w:val="center"/>
        <w:rPr>
          <w:rFonts w:hint="eastAsia" w:ascii="宋体" w:hAnsi="宋体" w:eastAsia="宋体" w:cs="宋体"/>
          <w:b/>
          <w:bCs/>
          <w:color w:val="auto"/>
          <w:sz w:val="48"/>
          <w:szCs w:val="44"/>
          <w:highlight w:val="none"/>
        </w:rPr>
      </w:pPr>
      <w:r>
        <w:rPr>
          <w:rFonts w:hint="eastAsia" w:ascii="宋体" w:hAnsi="宋体" w:eastAsia="宋体" w:cs="宋体"/>
          <w:b/>
          <w:bCs/>
          <w:color w:val="auto"/>
          <w:sz w:val="48"/>
          <w:szCs w:val="44"/>
          <w:highlight w:val="none"/>
        </w:rPr>
        <w:t>2026年潼关县食品安全监督</w:t>
      </w:r>
    </w:p>
    <w:p w14:paraId="1B84F2E8">
      <w:pPr>
        <w:spacing w:line="780" w:lineRule="auto"/>
        <w:jc w:val="center"/>
        <w:rPr>
          <w:rFonts w:hint="eastAsia" w:ascii="宋体" w:hAnsi="宋体" w:eastAsia="宋体" w:cs="宋体"/>
          <w:b/>
          <w:color w:val="auto"/>
          <w:sz w:val="60"/>
          <w:szCs w:val="60"/>
          <w:highlight w:val="none"/>
          <w:lang w:eastAsia="zh-CN"/>
        </w:rPr>
      </w:pPr>
      <w:r>
        <w:rPr>
          <w:rFonts w:hint="eastAsia" w:ascii="宋体" w:hAnsi="宋体" w:eastAsia="宋体" w:cs="宋体"/>
          <w:b/>
          <w:bCs/>
          <w:color w:val="auto"/>
          <w:sz w:val="48"/>
          <w:szCs w:val="44"/>
          <w:highlight w:val="none"/>
        </w:rPr>
        <w:t>抽检服务项目</w:t>
      </w:r>
    </w:p>
    <w:p w14:paraId="7C4DE589">
      <w:pPr>
        <w:spacing w:line="360" w:lineRule="auto"/>
        <w:jc w:val="center"/>
        <w:rPr>
          <w:rFonts w:hint="eastAsia" w:ascii="宋体" w:hAnsi="宋体" w:eastAsia="宋体" w:cs="宋体"/>
          <w:b/>
          <w:bCs/>
          <w:color w:val="auto"/>
          <w:sz w:val="48"/>
          <w:szCs w:val="44"/>
          <w:highlight w:val="none"/>
        </w:rPr>
      </w:pPr>
    </w:p>
    <w:p w14:paraId="20B8083F">
      <w:pPr>
        <w:spacing w:line="360" w:lineRule="auto"/>
        <w:jc w:val="center"/>
        <w:rPr>
          <w:rFonts w:hint="eastAsia" w:ascii="宋体" w:hAnsi="宋体" w:eastAsia="宋体" w:cs="宋体"/>
          <w:b/>
          <w:bCs/>
          <w:color w:val="auto"/>
          <w:sz w:val="48"/>
          <w:szCs w:val="44"/>
          <w:highlight w:val="none"/>
        </w:rPr>
      </w:pPr>
    </w:p>
    <w:p w14:paraId="6E8D47BB">
      <w:pPr>
        <w:spacing w:line="360" w:lineRule="auto"/>
        <w:jc w:val="center"/>
        <w:rPr>
          <w:rFonts w:hint="eastAsia" w:ascii="宋体" w:hAnsi="宋体" w:eastAsia="宋体" w:cs="宋体"/>
          <w:b/>
          <w:bCs/>
          <w:color w:val="auto"/>
          <w:sz w:val="48"/>
          <w:szCs w:val="44"/>
          <w:highlight w:val="none"/>
        </w:rPr>
      </w:pPr>
      <w:r>
        <w:rPr>
          <w:rFonts w:hint="eastAsia" w:ascii="宋体" w:hAnsi="宋体" w:eastAsia="宋体" w:cs="宋体"/>
          <w:b/>
          <w:bCs/>
          <w:color w:val="auto"/>
          <w:sz w:val="48"/>
          <w:szCs w:val="44"/>
          <w:highlight w:val="none"/>
        </w:rPr>
        <w:t>服 务 合 同</w:t>
      </w:r>
    </w:p>
    <w:p w14:paraId="0777530C">
      <w:pPr>
        <w:jc w:val="center"/>
        <w:rPr>
          <w:rFonts w:hint="eastAsia" w:ascii="宋体" w:hAnsi="宋体" w:eastAsia="宋体" w:cs="宋体"/>
          <w:b/>
          <w:color w:val="auto"/>
          <w:sz w:val="48"/>
          <w:szCs w:val="48"/>
          <w:highlight w:val="none"/>
        </w:rPr>
      </w:pPr>
    </w:p>
    <w:p w14:paraId="47E847FA">
      <w:pPr>
        <w:jc w:val="center"/>
        <w:rPr>
          <w:rFonts w:hint="eastAsia" w:ascii="宋体" w:hAnsi="宋体" w:eastAsia="宋体" w:cs="宋体"/>
          <w:b/>
          <w:color w:val="auto"/>
          <w:sz w:val="48"/>
          <w:szCs w:val="48"/>
          <w:highlight w:val="none"/>
        </w:rPr>
      </w:pPr>
    </w:p>
    <w:p w14:paraId="1ADB4D74">
      <w:pPr>
        <w:jc w:val="center"/>
        <w:rPr>
          <w:rFonts w:hint="eastAsia" w:ascii="宋体" w:hAnsi="宋体" w:eastAsia="宋体" w:cs="宋体"/>
          <w:b/>
          <w:bCs/>
          <w:color w:val="auto"/>
          <w:sz w:val="44"/>
          <w:szCs w:val="44"/>
          <w:highlight w:val="none"/>
        </w:rPr>
      </w:pPr>
      <w:r>
        <w:rPr>
          <w:rFonts w:hint="eastAsia" w:ascii="宋体" w:hAnsi="宋体" w:eastAsia="宋体" w:cs="宋体"/>
          <w:b/>
          <w:color w:val="auto"/>
          <w:sz w:val="48"/>
          <w:szCs w:val="48"/>
          <w:highlight w:val="none"/>
        </w:rPr>
        <w:t>（示范文本）</w:t>
      </w:r>
    </w:p>
    <w:p w14:paraId="3F14BA13">
      <w:pPr>
        <w:jc w:val="left"/>
        <w:rPr>
          <w:rFonts w:hint="eastAsia" w:ascii="宋体" w:hAnsi="宋体" w:eastAsia="宋体" w:cs="宋体"/>
          <w:color w:val="auto"/>
          <w:sz w:val="32"/>
          <w:szCs w:val="32"/>
          <w:highlight w:val="none"/>
        </w:rPr>
      </w:pPr>
    </w:p>
    <w:p w14:paraId="24B2E46B">
      <w:pPr>
        <w:jc w:val="center"/>
        <w:rPr>
          <w:rFonts w:hint="eastAsia" w:ascii="宋体" w:hAnsi="宋体" w:eastAsia="宋体" w:cs="宋体"/>
          <w:color w:val="auto"/>
          <w:sz w:val="28"/>
          <w:szCs w:val="32"/>
          <w:highlight w:val="none"/>
        </w:rPr>
      </w:pPr>
      <w:r>
        <w:rPr>
          <w:rFonts w:hint="eastAsia" w:ascii="宋体" w:hAnsi="宋体" w:eastAsia="宋体" w:cs="宋体"/>
          <w:color w:val="auto"/>
          <w:sz w:val="28"/>
          <w:szCs w:val="32"/>
          <w:highlight w:val="none"/>
        </w:rPr>
        <w:t>成交供应商和采购人也可根据项目特点自行拟定合同条款。</w:t>
      </w:r>
    </w:p>
    <w:p w14:paraId="6D4E6727">
      <w:pPr>
        <w:jc w:val="center"/>
        <w:rPr>
          <w:rFonts w:hint="eastAsia" w:ascii="宋体" w:hAnsi="宋体" w:eastAsia="宋体" w:cs="宋体"/>
          <w:color w:val="auto"/>
          <w:sz w:val="44"/>
          <w:szCs w:val="44"/>
          <w:highlight w:val="none"/>
        </w:rPr>
      </w:pPr>
    </w:p>
    <w:p w14:paraId="4CB5AF8C">
      <w:pPr>
        <w:rPr>
          <w:rFonts w:hint="eastAsia" w:ascii="宋体" w:hAnsi="宋体" w:eastAsia="宋体" w:cs="宋体"/>
          <w:b/>
          <w:color w:val="auto"/>
          <w:sz w:val="48"/>
          <w:szCs w:val="48"/>
          <w:highlight w:val="none"/>
        </w:rPr>
      </w:pPr>
    </w:p>
    <w:p w14:paraId="6CA655D7">
      <w:pPr>
        <w:pStyle w:val="3"/>
        <w:rPr>
          <w:rFonts w:hint="eastAsia" w:ascii="宋体" w:hAnsi="宋体" w:eastAsia="宋体" w:cs="宋体"/>
          <w:color w:val="auto"/>
          <w:highlight w:val="none"/>
        </w:rPr>
      </w:pPr>
    </w:p>
    <w:p w14:paraId="008E0B20">
      <w:pPr>
        <w:spacing w:before="156" w:beforeLines="50" w:line="400" w:lineRule="exact"/>
        <w:jc w:val="center"/>
        <w:rPr>
          <w:rFonts w:hint="eastAsia" w:ascii="宋体" w:hAnsi="宋体" w:eastAsia="宋体" w:cs="宋体"/>
          <w:b/>
          <w:bCs/>
          <w:color w:val="auto"/>
          <w:sz w:val="36"/>
          <w:szCs w:val="32"/>
          <w:highlight w:val="none"/>
        </w:rPr>
      </w:pPr>
      <w:r>
        <w:rPr>
          <w:rFonts w:hint="eastAsia" w:ascii="宋体" w:hAnsi="宋体" w:eastAsia="宋体" w:cs="宋体"/>
          <w:b/>
          <w:bCs/>
          <w:color w:val="auto"/>
          <w:sz w:val="32"/>
          <w:szCs w:val="24"/>
          <w:highlight w:val="none"/>
        </w:rPr>
        <w:br w:type="page"/>
      </w:r>
      <w:r>
        <w:rPr>
          <w:rFonts w:hint="eastAsia" w:ascii="宋体" w:hAnsi="宋体" w:eastAsia="宋体" w:cs="宋体"/>
          <w:b/>
          <w:bCs/>
          <w:color w:val="auto"/>
          <w:sz w:val="36"/>
          <w:szCs w:val="32"/>
          <w:highlight w:val="none"/>
        </w:rPr>
        <w:t>第一部分  协议书</w:t>
      </w:r>
    </w:p>
    <w:p w14:paraId="241A9844">
      <w:pPr>
        <w:spacing w:before="156" w:beforeLines="50" w:line="360" w:lineRule="exact"/>
        <w:jc w:val="center"/>
        <w:rPr>
          <w:rFonts w:hint="eastAsia" w:ascii="宋体" w:hAnsi="宋体" w:eastAsia="宋体" w:cs="宋体"/>
          <w:b/>
          <w:bCs/>
          <w:color w:val="auto"/>
          <w:sz w:val="32"/>
          <w:szCs w:val="32"/>
          <w:highlight w:val="none"/>
        </w:rPr>
      </w:pPr>
    </w:p>
    <w:p w14:paraId="2A6150FD">
      <w:pPr>
        <w:adjustRightInd w:val="0"/>
        <w:snapToGrid w:val="0"/>
        <w:spacing w:line="360" w:lineRule="auto"/>
        <w:ind w:firstLine="482" w:firstLineChars="200"/>
        <w:rPr>
          <w:rFonts w:hint="eastAsia" w:ascii="宋体" w:hAnsi="宋体" w:eastAsia="宋体" w:cs="宋体"/>
          <w:b/>
          <w:color w:val="auto"/>
          <w:highlight w:val="none"/>
          <w:u w:val="single"/>
        </w:rPr>
      </w:pPr>
      <w:r>
        <w:rPr>
          <w:rFonts w:hint="eastAsia" w:ascii="宋体" w:hAnsi="宋体" w:eastAsia="宋体" w:cs="宋体"/>
          <w:b/>
          <w:color w:val="auto"/>
          <w:highlight w:val="none"/>
        </w:rPr>
        <w:t>采购人（全称）：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none"/>
        </w:rPr>
        <w:t>；</w:t>
      </w:r>
    </w:p>
    <w:p w14:paraId="44116A1C">
      <w:pPr>
        <w:adjustRightInd w:val="0"/>
        <w:snapToGrid w:val="0"/>
        <w:spacing w:line="360" w:lineRule="auto"/>
        <w:ind w:firstLine="482" w:firstLineChars="200"/>
        <w:rPr>
          <w:rFonts w:hint="eastAsia" w:ascii="宋体" w:hAnsi="宋体" w:eastAsia="宋体" w:cs="宋体"/>
          <w:color w:val="auto"/>
          <w:highlight w:val="none"/>
          <w:u w:val="single"/>
        </w:rPr>
      </w:pPr>
      <w:r>
        <w:rPr>
          <w:rFonts w:hint="eastAsia" w:ascii="宋体" w:hAnsi="宋体" w:eastAsia="宋体" w:cs="宋体"/>
          <w:b/>
          <w:color w:val="auto"/>
          <w:highlight w:val="none"/>
        </w:rPr>
        <w:t>供应商（全称）：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none"/>
        </w:rPr>
        <w:t>；</w:t>
      </w:r>
    </w:p>
    <w:p w14:paraId="65A26862">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依照《中华人民共和国</w:t>
      </w:r>
      <w:r>
        <w:rPr>
          <w:rFonts w:hint="eastAsia" w:ascii="宋体" w:hAnsi="宋体" w:eastAsia="宋体" w:cs="宋体"/>
          <w:color w:val="auto"/>
          <w:szCs w:val="24"/>
          <w:highlight w:val="none"/>
        </w:rPr>
        <w:t>民法典</w:t>
      </w:r>
      <w:r>
        <w:rPr>
          <w:rFonts w:hint="eastAsia" w:ascii="宋体" w:hAnsi="宋体" w:eastAsia="宋体" w:cs="宋体"/>
          <w:color w:val="auto"/>
          <w:highlight w:val="none"/>
        </w:rPr>
        <w:t>》及其他有关法律、法规，遵循平等、自愿、公平和诚信的原则，双方就下述项目范围与相关服务事项协商一致，订立本合同。</w:t>
      </w:r>
    </w:p>
    <w:p w14:paraId="59F55D47">
      <w:pPr>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b/>
          <w:bCs/>
          <w:color w:val="auto"/>
          <w:highlight w:val="none"/>
        </w:rPr>
        <w:t>一、项目概况</w:t>
      </w:r>
    </w:p>
    <w:p w14:paraId="537BD678">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1.项目名称：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2EB63005">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2.项目地点：</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44D0FD68">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3.项目内容：</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18A784E2">
      <w:pPr>
        <w:adjustRightInd w:val="0"/>
        <w:snapToGrid w:val="0"/>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二、组成本合同的文件</w:t>
      </w:r>
    </w:p>
    <w:p w14:paraId="2AFD83F1">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 协议书；</w:t>
      </w:r>
    </w:p>
    <w:p w14:paraId="0FC68EE3">
      <w:pPr>
        <w:adjustRightInd w:val="0"/>
        <w:snapToGrid w:val="0"/>
        <w:spacing w:line="360" w:lineRule="auto"/>
        <w:ind w:firstLine="475" w:firstLineChars="198"/>
        <w:rPr>
          <w:rFonts w:hint="eastAsia" w:ascii="宋体" w:hAnsi="宋体" w:eastAsia="宋体" w:cs="宋体"/>
          <w:color w:val="auto"/>
          <w:highlight w:val="none"/>
        </w:rPr>
      </w:pPr>
      <w:r>
        <w:rPr>
          <w:rFonts w:hint="eastAsia" w:ascii="宋体" w:hAnsi="宋体" w:eastAsia="宋体" w:cs="宋体"/>
          <w:color w:val="auto"/>
          <w:highlight w:val="none"/>
        </w:rPr>
        <w:t>2. 成交通知书、磋商响应文件、磋商文件、澄清</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如有</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、磋商补充文件（或委托书）；</w:t>
      </w:r>
    </w:p>
    <w:p w14:paraId="0841E657">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3. 相关服务建议书</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如有</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w:t>
      </w:r>
    </w:p>
    <w:p w14:paraId="42A696A0">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4. 附录，即：附表内相关服务的范围和内容；</w:t>
      </w:r>
    </w:p>
    <w:p w14:paraId="3B35F086">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本合同签订后，双方依法签订的补充协议也是本合同文件的组成部分。</w:t>
      </w:r>
    </w:p>
    <w:p w14:paraId="66034AEF">
      <w:pPr>
        <w:adjustRightInd w:val="0"/>
        <w:snapToGrid w:val="0"/>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三、合同价款</w:t>
      </w:r>
    </w:p>
    <w:p w14:paraId="7EBC2E01">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1.合同金额（大写）：</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r>
        <w:rPr>
          <w:rFonts w:hint="eastAsia" w:hAnsi="宋体" w:cs="宋体"/>
          <w:color w:val="auto"/>
          <w:highlight w:val="none"/>
          <w:lang w:val="en-US" w:eastAsia="zh-CN"/>
        </w:rPr>
        <w:t xml:space="preserve"> </w:t>
      </w:r>
      <w:r>
        <w:rPr>
          <w:rFonts w:hint="eastAsia" w:ascii="宋体" w:hAnsi="宋体" w:eastAsia="宋体" w:cs="宋体"/>
          <w:color w:val="auto"/>
          <w:highlight w:val="none"/>
        </w:rPr>
        <w:t xml:space="preserve">   ）。</w:t>
      </w:r>
    </w:p>
    <w:p w14:paraId="3F4528B1">
      <w:pPr>
        <w:adjustRightInd w:val="0"/>
        <w:snapToGrid w:val="0"/>
        <w:spacing w:line="360" w:lineRule="auto"/>
        <w:ind w:firstLine="475" w:firstLineChars="198"/>
        <w:rPr>
          <w:rFonts w:hint="eastAsia" w:ascii="宋体" w:hAnsi="宋体" w:eastAsia="宋体" w:cs="宋体"/>
          <w:color w:val="auto"/>
          <w:szCs w:val="24"/>
          <w:highlight w:val="none"/>
        </w:rPr>
      </w:pPr>
      <w:r>
        <w:rPr>
          <w:rFonts w:hint="eastAsia" w:ascii="宋体" w:hAnsi="宋体" w:eastAsia="宋体" w:cs="宋体"/>
          <w:color w:val="auto"/>
          <w:highlight w:val="none"/>
        </w:rPr>
        <w:t>2.</w:t>
      </w:r>
      <w:r>
        <w:rPr>
          <w:rFonts w:hint="eastAsia" w:ascii="宋体" w:hAnsi="宋体" w:eastAsia="宋体" w:cs="宋体"/>
          <w:color w:val="auto"/>
          <w:szCs w:val="24"/>
          <w:highlight w:val="none"/>
        </w:rPr>
        <w:t>合同总价即中标价，不受市场价变化或实际工作量变化的影响。</w:t>
      </w:r>
    </w:p>
    <w:p w14:paraId="373970A9">
      <w:pPr>
        <w:adjustRightInd w:val="0"/>
        <w:snapToGrid w:val="0"/>
        <w:spacing w:line="360" w:lineRule="auto"/>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四、项目实施</w:t>
      </w:r>
      <w:r>
        <w:rPr>
          <w:rFonts w:hint="eastAsia" w:ascii="宋体" w:hAnsi="宋体" w:eastAsia="宋体" w:cs="宋体"/>
          <w:b/>
          <w:color w:val="auto"/>
          <w:szCs w:val="24"/>
          <w:highlight w:val="none"/>
          <w:lang w:val="en-US" w:eastAsia="zh-CN"/>
        </w:rPr>
        <w:t>时间</w:t>
      </w:r>
      <w:r>
        <w:rPr>
          <w:rFonts w:hint="eastAsia" w:ascii="宋体" w:hAnsi="宋体" w:eastAsia="宋体" w:cs="宋体"/>
          <w:b/>
          <w:color w:val="auto"/>
          <w:szCs w:val="24"/>
          <w:highlight w:val="none"/>
        </w:rPr>
        <w:t>地点</w:t>
      </w:r>
    </w:p>
    <w:p w14:paraId="40B87C42">
      <w:pPr>
        <w:adjustRightInd w:val="0"/>
        <w:snapToGrid w:val="0"/>
        <w:spacing w:line="360" w:lineRule="auto"/>
        <w:ind w:firstLine="480" w:firstLineChars="200"/>
        <w:rPr>
          <w:rFonts w:hint="eastAsia" w:ascii="宋体" w:hAnsi="宋体" w:eastAsia="宋体" w:cs="宋体"/>
          <w:b/>
          <w:color w:val="auto"/>
          <w:szCs w:val="24"/>
          <w:highlight w:val="none"/>
        </w:rPr>
      </w:pPr>
      <w:r>
        <w:rPr>
          <w:rFonts w:hint="eastAsia" w:ascii="宋体" w:hAnsi="宋体" w:eastAsia="宋体" w:cs="宋体"/>
          <w:b w:val="0"/>
          <w:bCs/>
          <w:color w:val="auto"/>
          <w:szCs w:val="24"/>
          <w:highlight w:val="none"/>
          <w:lang w:val="en-US" w:eastAsia="zh-CN"/>
        </w:rPr>
        <w:t>地点：</w:t>
      </w:r>
      <w:r>
        <w:rPr>
          <w:rFonts w:hint="eastAsia" w:ascii="宋体" w:hAnsi="宋体" w:eastAsia="宋体" w:cs="宋体"/>
          <w:b w:val="0"/>
          <w:bCs/>
          <w:color w:val="auto"/>
          <w:szCs w:val="24"/>
          <w:highlight w:val="none"/>
        </w:rPr>
        <w:t>采购人指定地点</w:t>
      </w:r>
    </w:p>
    <w:p w14:paraId="130C8031">
      <w:pPr>
        <w:adjustRightInd w:val="0"/>
        <w:snapToGrid w:val="0"/>
        <w:spacing w:line="360" w:lineRule="auto"/>
        <w:ind w:firstLine="480" w:firstLineChars="200"/>
        <w:rPr>
          <w:rFonts w:hint="eastAsia" w:ascii="宋体" w:hAnsi="宋体" w:eastAsia="宋体" w:cs="宋体"/>
          <w:color w:val="auto"/>
          <w:highlight w:val="none"/>
          <w:lang w:eastAsia="zh-CN"/>
        </w:rPr>
      </w:pPr>
      <w:r>
        <w:rPr>
          <w:rFonts w:hint="eastAsia" w:ascii="宋体" w:hAnsi="宋体" w:eastAsia="宋体" w:cs="宋体"/>
          <w:b w:val="0"/>
          <w:bCs/>
          <w:color w:val="auto"/>
          <w:szCs w:val="24"/>
          <w:highlight w:val="none"/>
        </w:rPr>
        <w:t>服务期限：</w:t>
      </w:r>
      <w:r>
        <w:rPr>
          <w:rFonts w:hint="eastAsia" w:ascii="宋体" w:hAnsi="宋体" w:eastAsia="宋体" w:cs="宋体"/>
          <w:color w:val="auto"/>
          <w:highlight w:val="none"/>
          <w:lang w:val="en-US" w:eastAsia="zh-CN"/>
        </w:rPr>
        <w:t>自合同签订之日起1年内完成所有批次抽检工作</w:t>
      </w:r>
      <w:r>
        <w:rPr>
          <w:rFonts w:hint="eastAsia" w:ascii="宋体" w:hAnsi="宋体" w:eastAsia="宋体" w:cs="宋体"/>
          <w:b w:val="0"/>
          <w:bCs/>
          <w:color w:val="auto"/>
          <w:szCs w:val="24"/>
          <w:highlight w:val="none"/>
          <w:lang w:eastAsia="zh-CN"/>
        </w:rPr>
        <w:t>。</w:t>
      </w:r>
    </w:p>
    <w:p w14:paraId="1846BC47">
      <w:pPr>
        <w:numPr>
          <w:ilvl w:val="0"/>
          <w:numId w:val="1"/>
        </w:numPr>
        <w:adjustRightInd w:val="0"/>
        <w:snapToGrid w:val="0"/>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付款方式：</w:t>
      </w:r>
    </w:p>
    <w:p w14:paraId="46C6D8E3">
      <w:pPr>
        <w:numPr>
          <w:ilvl w:val="0"/>
          <w:numId w:val="0"/>
        </w:numPr>
        <w:adjustRightInd w:val="0"/>
        <w:snapToGrid w:val="0"/>
        <w:spacing w:line="360" w:lineRule="auto"/>
        <w:ind w:firstLine="480" w:firstLineChars="200"/>
        <w:rPr>
          <w:rFonts w:hint="eastAsia" w:ascii="宋体" w:hAnsi="宋体" w:eastAsia="宋体" w:cs="宋体"/>
          <w:b/>
          <w:bCs/>
          <w:color w:val="auto"/>
          <w:highlight w:val="none"/>
        </w:rPr>
      </w:pPr>
      <w:r>
        <w:rPr>
          <w:rFonts w:hint="eastAsia" w:ascii="宋体" w:hAnsi="宋体" w:eastAsia="宋体" w:cs="宋体"/>
          <w:color w:val="auto"/>
          <w:highlight w:val="none"/>
          <w:lang w:val="en-US" w:eastAsia="zh-CN"/>
        </w:rPr>
        <w:t>1、合同签订后，完成全部食品安全抽检监测任务后，达到付款条件起15日内，支付合同总金额的50.00%</w:t>
      </w:r>
      <w:r>
        <w:rPr>
          <w:rFonts w:hint="eastAsia" w:hAnsi="宋体" w:cs="宋体"/>
          <w:color w:val="auto"/>
          <w:highlight w:val="none"/>
          <w:lang w:val="en-US" w:eastAsia="zh-CN"/>
        </w:rPr>
        <w:t>；</w:t>
      </w:r>
      <w:r>
        <w:rPr>
          <w:rFonts w:hint="eastAsia" w:ascii="宋体" w:hAnsi="宋体" w:eastAsia="宋体" w:cs="宋体"/>
          <w:color w:val="auto"/>
          <w:highlight w:val="none"/>
          <w:lang w:val="en-US" w:eastAsia="zh-CN"/>
        </w:rPr>
        <w:t>验收合格后，达到付款条件起15日内，支付合同总金额的50.00%。</w:t>
      </w:r>
    </w:p>
    <w:p w14:paraId="65E16528">
      <w:pPr>
        <w:adjustRightInd w:val="0"/>
        <w:snapToGrid w:val="0"/>
        <w:spacing w:line="360" w:lineRule="auto"/>
        <w:ind w:firstLine="480" w:firstLineChars="200"/>
        <w:rPr>
          <w:rFonts w:hint="eastAsia" w:ascii="宋体" w:hAnsi="宋体" w:eastAsia="宋体" w:cs="宋体"/>
          <w:b w:val="0"/>
          <w:bCs w:val="0"/>
          <w:color w:val="auto"/>
          <w:szCs w:val="24"/>
          <w:highlight w:val="none"/>
          <w:lang w:eastAsia="zh-CN"/>
        </w:rPr>
      </w:pPr>
      <w:r>
        <w:rPr>
          <w:rFonts w:hint="eastAsia" w:ascii="宋体" w:hAnsi="宋体" w:eastAsia="宋体" w:cs="宋体"/>
          <w:b w:val="0"/>
          <w:bCs w:val="0"/>
          <w:color w:val="auto"/>
          <w:szCs w:val="24"/>
          <w:highlight w:val="none"/>
          <w:lang w:eastAsia="zh-CN"/>
        </w:rPr>
        <w:t>2、乙方指定银行收款账户信息如下：</w:t>
      </w:r>
    </w:p>
    <w:p w14:paraId="316A76A8">
      <w:pPr>
        <w:adjustRightInd w:val="0"/>
        <w:snapToGrid w:val="0"/>
        <w:spacing w:line="360" w:lineRule="auto"/>
        <w:ind w:firstLine="480" w:firstLineChars="200"/>
        <w:rPr>
          <w:rFonts w:hint="eastAsia" w:ascii="宋体" w:hAnsi="宋体" w:eastAsia="宋体" w:cs="宋体"/>
          <w:b w:val="0"/>
          <w:bCs w:val="0"/>
          <w:color w:val="auto"/>
          <w:szCs w:val="24"/>
          <w:highlight w:val="none"/>
          <w:lang w:eastAsia="zh-CN"/>
        </w:rPr>
      </w:pPr>
      <w:r>
        <w:rPr>
          <w:rFonts w:hint="eastAsia" w:ascii="宋体" w:hAnsi="宋体" w:eastAsia="宋体" w:cs="宋体"/>
          <w:b w:val="0"/>
          <w:bCs w:val="0"/>
          <w:color w:val="auto"/>
          <w:szCs w:val="24"/>
          <w:highlight w:val="none"/>
          <w:lang w:eastAsia="zh-CN"/>
        </w:rPr>
        <w:t>单位名称:</w:t>
      </w:r>
    </w:p>
    <w:p w14:paraId="36FA8AD5">
      <w:pPr>
        <w:adjustRightInd w:val="0"/>
        <w:snapToGrid w:val="0"/>
        <w:spacing w:line="360" w:lineRule="auto"/>
        <w:ind w:firstLine="480" w:firstLineChars="200"/>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银行账号：</w:t>
      </w:r>
    </w:p>
    <w:p w14:paraId="751B9317">
      <w:pPr>
        <w:adjustRightInd w:val="0"/>
        <w:snapToGrid w:val="0"/>
        <w:spacing w:line="360" w:lineRule="auto"/>
        <w:ind w:firstLine="480" w:firstLineChars="200"/>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开户银行：</w:t>
      </w:r>
    </w:p>
    <w:p w14:paraId="3BF7A4B0">
      <w:pPr>
        <w:adjustRightInd w:val="0"/>
        <w:snapToGrid w:val="0"/>
        <w:spacing w:line="360" w:lineRule="auto"/>
        <w:ind w:firstLine="480" w:firstLineChars="200"/>
        <w:rPr>
          <w:rFonts w:hint="eastAsia" w:ascii="宋体" w:hAnsi="宋体" w:eastAsia="宋体" w:cs="宋体"/>
          <w:b w:val="0"/>
          <w:bCs w:val="0"/>
          <w:color w:val="auto"/>
          <w:szCs w:val="24"/>
          <w:highlight w:val="none"/>
          <w:lang w:val="en-US" w:eastAsia="zh-CN"/>
        </w:rPr>
      </w:pPr>
      <w:r>
        <w:rPr>
          <w:rFonts w:hint="eastAsia" w:ascii="宋体" w:hAnsi="宋体" w:eastAsia="宋体" w:cs="宋体"/>
          <w:b w:val="0"/>
          <w:bCs w:val="0"/>
          <w:color w:val="auto"/>
          <w:szCs w:val="24"/>
          <w:highlight w:val="none"/>
          <w:lang w:val="en-US" w:eastAsia="zh-CN"/>
        </w:rPr>
        <w:t>3、甲方付款前，乙方应提供等额增值税普通发票及收据。</w:t>
      </w:r>
    </w:p>
    <w:p w14:paraId="51064C22">
      <w:pPr>
        <w:adjustRightInd w:val="0"/>
        <w:snapToGrid w:val="0"/>
        <w:spacing w:line="360" w:lineRule="auto"/>
        <w:ind w:firstLine="482" w:firstLineChars="200"/>
        <w:rPr>
          <w:rFonts w:hint="eastAsia" w:ascii="宋体" w:hAnsi="宋体" w:eastAsia="宋体" w:cs="宋体"/>
          <w:b/>
          <w:bCs/>
          <w:color w:val="auto"/>
          <w:highlight w:val="none"/>
        </w:rPr>
      </w:pPr>
      <w:r>
        <w:rPr>
          <w:rFonts w:hint="eastAsia" w:ascii="宋体" w:hAnsi="宋体" w:eastAsia="宋体" w:cs="宋体"/>
          <w:b/>
          <w:bCs/>
          <w:color w:val="auto"/>
          <w:highlight w:val="none"/>
        </w:rPr>
        <w:t>六、项目团队要求：</w:t>
      </w:r>
    </w:p>
    <w:p w14:paraId="65AD469A">
      <w:pPr>
        <w:adjustRightInd w:val="0"/>
        <w:snapToGrid w:val="0"/>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highlight w:val="none"/>
        </w:rPr>
        <w:t>1.若因不可抗力因素，成交供应商确需更换项目负责人，新</w:t>
      </w:r>
      <w:r>
        <w:rPr>
          <w:rFonts w:hint="eastAsia" w:ascii="宋体" w:hAnsi="宋体" w:eastAsia="宋体" w:cs="宋体"/>
          <w:color w:val="auto"/>
          <w:szCs w:val="24"/>
          <w:highlight w:val="none"/>
        </w:rPr>
        <w:t>更换的项目负责人须与磋商时所承诺的专业、资格等级、技术职称等内容一致或高于原资格条件；同时，要求至少提前7个工作日以书面形式通知采购人，并将拟更换的人员个人资料一并上报，经采购人审核同意后，方可更换。</w:t>
      </w:r>
    </w:p>
    <w:p w14:paraId="12106C4A">
      <w:pPr>
        <w:adjustRightInd w:val="0"/>
        <w:snapToGrid w:val="0"/>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2.签订合同之前，成交供应商须提供项目组人员一览表，与磋商响应文件的人员一览表进行比对，人员变更须征得采购人同意。</w:t>
      </w:r>
    </w:p>
    <w:p w14:paraId="72E6C467">
      <w:pPr>
        <w:adjustRightInd w:val="0"/>
        <w:snapToGrid w:val="0"/>
        <w:spacing w:line="360" w:lineRule="auto"/>
        <w:ind w:firstLine="482" w:firstLineChars="200"/>
        <w:rPr>
          <w:rFonts w:hint="eastAsia" w:ascii="宋体" w:hAnsi="宋体" w:eastAsia="宋体" w:cs="宋体"/>
          <w:color w:val="auto"/>
          <w:szCs w:val="24"/>
          <w:highlight w:val="none"/>
          <w:lang w:val="en-US" w:eastAsia="zh-CN"/>
        </w:rPr>
      </w:pPr>
      <w:r>
        <w:rPr>
          <w:rFonts w:hint="eastAsia" w:ascii="宋体" w:hAnsi="宋体" w:eastAsia="宋体" w:cs="宋体"/>
          <w:b/>
          <w:bCs/>
          <w:color w:val="auto"/>
          <w:szCs w:val="24"/>
          <w:highlight w:val="none"/>
          <w:lang w:val="en-US" w:eastAsia="zh-CN"/>
        </w:rPr>
        <w:t>七、知识产权：</w:t>
      </w:r>
      <w:r>
        <w:rPr>
          <w:rFonts w:hint="eastAsia" w:ascii="宋体" w:hAnsi="宋体" w:eastAsia="宋体" w:cs="宋体"/>
          <w:color w:val="auto"/>
          <w:szCs w:val="24"/>
          <w:highlight w:val="none"/>
          <w:lang w:val="en-US" w:eastAsia="zh-CN"/>
        </w:rPr>
        <w:t>即乙方应保证甲方在使用抽检结果时，不承担任何涉及知识产权法律诉讼的责任。</w:t>
      </w:r>
    </w:p>
    <w:p w14:paraId="61943299">
      <w:pPr>
        <w:adjustRightInd w:val="0"/>
        <w:snapToGrid w:val="0"/>
        <w:spacing w:line="360" w:lineRule="auto"/>
        <w:ind w:firstLine="482" w:firstLineChars="200"/>
        <w:rPr>
          <w:rFonts w:hint="eastAsia" w:ascii="宋体" w:hAnsi="宋体" w:eastAsia="宋体" w:cs="宋体"/>
          <w:color w:val="auto"/>
          <w:highlight w:val="none"/>
          <w:lang w:val="en-US" w:eastAsia="zh-CN"/>
        </w:rPr>
      </w:pPr>
      <w:r>
        <w:rPr>
          <w:rFonts w:hint="eastAsia" w:ascii="宋体" w:hAnsi="宋体" w:eastAsia="宋体" w:cs="宋体"/>
          <w:b/>
          <w:bCs/>
          <w:color w:val="auto"/>
          <w:highlight w:val="none"/>
          <w:lang w:val="en-US" w:eastAsia="zh-CN"/>
        </w:rPr>
        <w:t>八、抽样方式：</w:t>
      </w:r>
      <w:r>
        <w:rPr>
          <w:rFonts w:hint="eastAsia" w:ascii="宋体" w:hAnsi="宋体" w:eastAsia="宋体" w:cs="宋体"/>
          <w:color w:val="auto"/>
          <w:highlight w:val="none"/>
          <w:lang w:val="en-US" w:eastAsia="zh-CN"/>
        </w:rPr>
        <w:t>乙方在甲方协助下自行进行抽样，自备采样车辆、单据及其他采样必须的设施设备。</w:t>
      </w:r>
    </w:p>
    <w:p w14:paraId="3835E046">
      <w:pPr>
        <w:adjustRightInd w:val="0"/>
        <w:snapToGrid w:val="0"/>
        <w:spacing w:line="360" w:lineRule="auto"/>
        <w:ind w:firstLine="482" w:firstLineChars="200"/>
        <w:rPr>
          <w:rFonts w:hint="eastAsia" w:ascii="宋体" w:hAnsi="宋体" w:eastAsia="宋体" w:cs="宋体"/>
          <w:b/>
          <w:bCs/>
          <w:color w:val="auto"/>
          <w:highlight w:val="none"/>
        </w:rPr>
      </w:pPr>
      <w:r>
        <w:rPr>
          <w:rFonts w:hint="eastAsia" w:ascii="宋体" w:hAnsi="宋体" w:eastAsia="宋体" w:cs="宋体"/>
          <w:b/>
          <w:bCs/>
          <w:color w:val="auto"/>
          <w:highlight w:val="none"/>
          <w:lang w:val="en-US" w:eastAsia="zh-CN"/>
        </w:rPr>
        <w:t>九</w:t>
      </w:r>
      <w:r>
        <w:rPr>
          <w:rFonts w:hint="eastAsia" w:ascii="宋体" w:hAnsi="宋体" w:eastAsia="宋体" w:cs="宋体"/>
          <w:b/>
          <w:bCs/>
          <w:color w:val="auto"/>
          <w:highlight w:val="none"/>
        </w:rPr>
        <w:t>、质量保证：</w:t>
      </w:r>
    </w:p>
    <w:p w14:paraId="6674753A">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1、乙方应当健全组织机构，明确岗位职责和权限，建立、实施并保持与检验活动相适应的质量管理体系，制定完善的质量管理体系文件并有效实施。</w:t>
      </w:r>
    </w:p>
    <w:p w14:paraId="7CD6E3C2">
      <w:pPr>
        <w:adjustRightInd w:val="0"/>
        <w:snapToGrid w:val="0"/>
        <w:spacing w:line="360" w:lineRule="auto"/>
        <w:ind w:firstLine="480" w:firstLineChars="200"/>
        <w:rPr>
          <w:rFonts w:hint="eastAsia" w:ascii="宋体" w:hAnsi="宋体" w:eastAsia="宋体" w:cs="宋体"/>
          <w:bCs/>
          <w:color w:val="auto"/>
          <w:szCs w:val="24"/>
          <w:highlight w:val="none"/>
        </w:rPr>
      </w:pPr>
      <w:r>
        <w:rPr>
          <w:rFonts w:hint="eastAsia" w:ascii="宋体" w:hAnsi="宋体" w:eastAsia="宋体" w:cs="宋体"/>
          <w:color w:val="auto"/>
          <w:highlight w:val="none"/>
        </w:rPr>
        <w:t>2、乙方应当按照《</w:t>
      </w:r>
      <w:r>
        <w:rPr>
          <w:rFonts w:hint="eastAsia" w:ascii="宋体" w:hAnsi="宋体" w:eastAsia="宋体" w:cs="宋体"/>
          <w:bCs/>
          <w:color w:val="auto"/>
          <w:szCs w:val="24"/>
          <w:highlight w:val="none"/>
        </w:rPr>
        <w:t>食品检验工作规范》的要求，建立与其所开展的检验活动相适应的程序文件并有效实施。</w:t>
      </w:r>
    </w:p>
    <w:p w14:paraId="7036FB20">
      <w:pPr>
        <w:adjustRightInd w:val="0"/>
        <w:snapToGrid w:val="0"/>
        <w:spacing w:line="360" w:lineRule="auto"/>
        <w:ind w:firstLine="48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t>3、乙方应当针对所开展的检验活动，制定检验人负责制度和检验责任追究制度、检验资料档案管理制度和餐饮服务食品安全突发事件应急检验工作程序等规范性文件。</w:t>
      </w:r>
    </w:p>
    <w:p w14:paraId="39DCCBB5">
      <w:pPr>
        <w:adjustRightInd w:val="0"/>
        <w:snapToGrid w:val="0"/>
        <w:spacing w:line="360" w:lineRule="auto"/>
        <w:ind w:firstLine="48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t>4、乙方严格按照相关质量控制规范，保证检验结果准确可靠，不得委托其他检验机构代检。</w:t>
      </w:r>
    </w:p>
    <w:p w14:paraId="275F92F4">
      <w:pPr>
        <w:adjustRightInd w:val="0"/>
        <w:snapToGrid w:val="0"/>
        <w:spacing w:line="360" w:lineRule="auto"/>
        <w:ind w:firstLine="48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t>5、乙方在检验工作中发现带有区域性、普遍性及社会关注的重大食品安全信息，应当立即向所在地餐饮服务食品安全监督管理部门报告，并协助进行食品安全风险分析、评估和监测等。</w:t>
      </w:r>
    </w:p>
    <w:p w14:paraId="18FF0957">
      <w:pPr>
        <w:adjustRightInd w:val="0"/>
        <w:snapToGrid w:val="0"/>
        <w:spacing w:line="360" w:lineRule="auto"/>
        <w:ind w:firstLine="48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t>6、未经甲方同意，乙方不得擅自公开检验报告或其数据、结果。乙方及其检验人员对其在检验过程中接触的商业秘密负有保密义务。</w:t>
      </w:r>
    </w:p>
    <w:p w14:paraId="740F92EC">
      <w:pPr>
        <w:adjustRightInd w:val="0"/>
        <w:snapToGrid w:val="0"/>
        <w:spacing w:line="360" w:lineRule="auto"/>
        <w:ind w:firstLine="48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t>7、鼓励乙方积极开展食品检验科研工作，提高检验技术水平。</w:t>
      </w:r>
    </w:p>
    <w:p w14:paraId="60987786">
      <w:pPr>
        <w:adjustRightInd w:val="0"/>
        <w:snapToGrid w:val="0"/>
        <w:spacing w:line="360" w:lineRule="auto"/>
        <w:ind w:firstLine="48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t>8、乙方及其检验人应当尊重科学，恪守职业道德，保证出具的检验数据和结论真实，不得出具虚假数据和结果的检验报告。</w:t>
      </w:r>
    </w:p>
    <w:p w14:paraId="72DEFE87">
      <w:pPr>
        <w:adjustRightInd w:val="0"/>
        <w:snapToGrid w:val="0"/>
        <w:spacing w:line="360" w:lineRule="auto"/>
        <w:ind w:firstLine="48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t>9、经签署的检验报告不得更改。发现确有差错和失误需要更改的，应当按照规定的程序和技术方法更改，并做出相应的标识或说明。</w:t>
      </w:r>
    </w:p>
    <w:p w14:paraId="6B9B1A9F">
      <w:pPr>
        <w:adjustRightInd w:val="0"/>
        <w:snapToGrid w:val="0"/>
        <w:spacing w:line="360" w:lineRule="auto"/>
        <w:ind w:firstLine="48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t>10、食品抽验检测工作实行检验机构与检验人负责制，食品检验机构和检验人对出具的食品检验、鉴定报告的真实性、准确性负责，并独立承担法律责任。</w:t>
      </w:r>
    </w:p>
    <w:p w14:paraId="5F5D486C">
      <w:pPr>
        <w:adjustRightInd w:val="0"/>
        <w:snapToGrid w:val="0"/>
        <w:spacing w:line="360" w:lineRule="auto"/>
        <w:rPr>
          <w:rFonts w:hint="eastAsia" w:ascii="宋体" w:hAnsi="宋体" w:eastAsia="宋体" w:cs="宋体"/>
          <w:bCs/>
          <w:color w:val="auto"/>
          <w:szCs w:val="24"/>
          <w:highlight w:val="none"/>
          <w:lang w:val="en-US" w:eastAsia="zh-CN"/>
        </w:rPr>
      </w:pPr>
      <w:r>
        <w:rPr>
          <w:rFonts w:hint="eastAsia" w:ascii="宋体" w:hAnsi="宋体" w:eastAsia="宋体" w:cs="宋体"/>
          <w:b/>
          <w:bCs w:val="0"/>
          <w:color w:val="auto"/>
          <w:szCs w:val="24"/>
          <w:highlight w:val="none"/>
          <w:lang w:val="en-US" w:eastAsia="zh-CN"/>
        </w:rPr>
        <w:t>十、验收</w:t>
      </w:r>
    </w:p>
    <w:p w14:paraId="6FF1CB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color w:val="auto"/>
          <w:szCs w:val="24"/>
          <w:highlight w:val="none"/>
          <w:lang w:val="en-US" w:eastAsia="zh-CN"/>
        </w:rPr>
      </w:pPr>
      <w:r>
        <w:rPr>
          <w:rFonts w:hint="eastAsia" w:ascii="宋体" w:hAnsi="宋体" w:eastAsia="宋体" w:cs="宋体"/>
          <w:bCs/>
          <w:color w:val="auto"/>
          <w:szCs w:val="24"/>
          <w:highlight w:val="none"/>
          <w:lang w:val="en-US" w:eastAsia="zh-CN"/>
        </w:rPr>
        <w:t>1、乙方严格按照相关质量控制规范，保证检验结果准确可靠，不得委托其他检验机构代检。抽检结果的问题发现率原则上应不低于3%。</w:t>
      </w:r>
    </w:p>
    <w:p w14:paraId="6344A6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color w:val="auto"/>
          <w:szCs w:val="24"/>
          <w:highlight w:val="none"/>
          <w:lang w:val="en-US" w:eastAsia="zh-CN"/>
        </w:rPr>
      </w:pPr>
      <w:r>
        <w:rPr>
          <w:rFonts w:hint="eastAsia" w:ascii="宋体" w:hAnsi="宋体" w:eastAsia="宋体" w:cs="宋体"/>
          <w:bCs/>
          <w:color w:val="auto"/>
          <w:szCs w:val="24"/>
          <w:highlight w:val="none"/>
          <w:lang w:val="en-US" w:eastAsia="zh-CN"/>
        </w:rPr>
        <w:t>2、完成抽样和检验完毕并复核确认后，乙方应分别在五个工作日内将抽样信息和检验结果录入“国家食品安全抽样检验信息系统（新国抽系统）”，同时确保信息录入准确、规范、安全。</w:t>
      </w:r>
    </w:p>
    <w:p w14:paraId="459A1CF1">
      <w:pPr>
        <w:adjustRightInd w:val="0"/>
        <w:snapToGrid w:val="0"/>
        <w:spacing w:line="360" w:lineRule="auto"/>
        <w:rPr>
          <w:rFonts w:hint="eastAsia" w:ascii="宋体" w:hAnsi="宋体" w:eastAsia="宋体" w:cs="宋体"/>
          <w:b/>
          <w:bCs w:val="0"/>
          <w:color w:val="auto"/>
          <w:szCs w:val="24"/>
          <w:highlight w:val="none"/>
          <w:lang w:val="en-US" w:eastAsia="zh-CN"/>
        </w:rPr>
      </w:pPr>
      <w:r>
        <w:rPr>
          <w:rFonts w:hint="eastAsia" w:ascii="宋体" w:hAnsi="宋体" w:eastAsia="宋体" w:cs="宋体"/>
          <w:b/>
          <w:bCs w:val="0"/>
          <w:color w:val="auto"/>
          <w:szCs w:val="24"/>
          <w:highlight w:val="none"/>
          <w:lang w:val="en-US" w:eastAsia="zh-CN"/>
        </w:rPr>
        <w:t>十一、售后服务</w:t>
      </w:r>
    </w:p>
    <w:p w14:paraId="5802881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color w:val="auto"/>
          <w:szCs w:val="24"/>
          <w:highlight w:val="none"/>
          <w:lang w:val="en-US" w:eastAsia="zh-CN"/>
        </w:rPr>
      </w:pPr>
      <w:r>
        <w:rPr>
          <w:rFonts w:hint="eastAsia" w:ascii="宋体" w:hAnsi="宋体" w:eastAsia="宋体" w:cs="宋体"/>
          <w:bCs/>
          <w:color w:val="auto"/>
          <w:szCs w:val="24"/>
          <w:highlight w:val="none"/>
          <w:lang w:val="en-US" w:eastAsia="zh-CN"/>
        </w:rPr>
        <w:t>1、食品抽验检测完成后，乙方需按要求提交检测报告和综合分析报告。</w:t>
      </w:r>
    </w:p>
    <w:p w14:paraId="51E47D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color w:val="auto"/>
          <w:szCs w:val="24"/>
          <w:highlight w:val="none"/>
          <w:lang w:val="en-US" w:eastAsia="zh-CN"/>
        </w:rPr>
      </w:pPr>
      <w:r>
        <w:rPr>
          <w:rFonts w:hint="eastAsia" w:ascii="宋体" w:hAnsi="宋体" w:eastAsia="宋体" w:cs="宋体"/>
          <w:bCs/>
          <w:color w:val="auto"/>
          <w:szCs w:val="24"/>
          <w:highlight w:val="none"/>
          <w:lang w:val="en-US" w:eastAsia="zh-CN"/>
        </w:rPr>
        <w:t>2、乙方应当按照相关标准、技术规定或委托部门的要求进行样品管理和处置。检验结束后的样品应当按照与委托部门的约定处理，未约定的，按照本机构质量手册等管理体系文件的规定处理，但不得与国家规定相抵触，并保存相关记录。</w:t>
      </w:r>
    </w:p>
    <w:p w14:paraId="625DEDE6">
      <w:pPr>
        <w:adjustRightInd w:val="0"/>
        <w:snapToGrid w:val="0"/>
        <w:spacing w:line="360" w:lineRule="auto"/>
        <w:rPr>
          <w:rFonts w:hint="eastAsia" w:ascii="宋体" w:hAnsi="宋体" w:eastAsia="宋体" w:cs="宋体"/>
          <w:b/>
          <w:color w:val="auto"/>
          <w:szCs w:val="24"/>
          <w:highlight w:val="none"/>
        </w:rPr>
      </w:pPr>
      <w:r>
        <w:rPr>
          <w:rFonts w:hint="eastAsia" w:ascii="宋体" w:hAnsi="宋体" w:eastAsia="宋体" w:cs="宋体"/>
          <w:b/>
          <w:color w:val="auto"/>
          <w:szCs w:val="24"/>
          <w:highlight w:val="none"/>
          <w:lang w:val="en-US" w:eastAsia="zh-CN"/>
        </w:rPr>
        <w:t>十二</w:t>
      </w:r>
      <w:r>
        <w:rPr>
          <w:rFonts w:hint="eastAsia" w:ascii="宋体" w:hAnsi="宋体" w:eastAsia="宋体" w:cs="宋体"/>
          <w:b/>
          <w:color w:val="auto"/>
          <w:szCs w:val="24"/>
          <w:highlight w:val="none"/>
        </w:rPr>
        <w:t>、违约责任：</w:t>
      </w:r>
    </w:p>
    <w:p w14:paraId="4A801A52">
      <w:pPr>
        <w:adjustRightInd w:val="0"/>
        <w:snapToGrid w:val="0"/>
        <w:spacing w:line="360" w:lineRule="auto"/>
        <w:ind w:firstLine="48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t>1、不能按期交付检测报告，每延误1天扣合同金额的1‰，如逾期30天及以上时间，视为乙方违约，取消协议，甲方可另行招标。</w:t>
      </w:r>
    </w:p>
    <w:p w14:paraId="4E95E9B4">
      <w:pPr>
        <w:adjustRightInd w:val="0"/>
        <w:snapToGrid w:val="0"/>
        <w:spacing w:line="360" w:lineRule="auto"/>
        <w:ind w:firstLine="48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t>2、乙方所供食品抽验检测不符合合同规定，也未得到甲方认可时，应负责重新组织食品抽验检测，并承担由此而引起的延误检测的责任。</w:t>
      </w:r>
    </w:p>
    <w:p w14:paraId="0785F24E">
      <w:pPr>
        <w:adjustRightInd w:val="0"/>
        <w:snapToGrid w:val="0"/>
        <w:spacing w:line="360" w:lineRule="auto"/>
        <w:ind w:firstLine="48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lang w:val="en-US" w:eastAsia="zh-CN"/>
        </w:rPr>
        <w:t>3、</w:t>
      </w:r>
      <w:r>
        <w:rPr>
          <w:rFonts w:hint="eastAsia" w:ascii="宋体" w:hAnsi="宋体" w:eastAsia="宋体" w:cs="宋体"/>
          <w:bCs/>
          <w:color w:val="auto"/>
          <w:szCs w:val="24"/>
          <w:highlight w:val="none"/>
        </w:rPr>
        <w:t>按《中华人民共和国政府采购法》、《中华人民共和国民法典》中的相关条款执行。</w:t>
      </w:r>
    </w:p>
    <w:p w14:paraId="5A87302A">
      <w:pPr>
        <w:adjustRightInd w:val="0"/>
        <w:snapToGrid w:val="0"/>
        <w:spacing w:line="360" w:lineRule="auto"/>
        <w:ind w:firstLine="48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lang w:val="en-US" w:eastAsia="zh-CN"/>
        </w:rPr>
        <w:t>4、</w:t>
      </w:r>
      <w:r>
        <w:rPr>
          <w:rFonts w:hint="eastAsia" w:ascii="宋体" w:hAnsi="宋体" w:eastAsia="宋体" w:cs="宋体"/>
          <w:bCs/>
          <w:color w:val="auto"/>
          <w:szCs w:val="24"/>
          <w:highlight w:val="none"/>
        </w:rPr>
        <w:t>未按合同或磋商文件要求的或者质量不能满足</w:t>
      </w:r>
      <w:r>
        <w:rPr>
          <w:rFonts w:hint="eastAsia" w:ascii="宋体" w:hAnsi="宋体" w:eastAsia="宋体" w:cs="宋体"/>
          <w:bCs/>
          <w:color w:val="auto"/>
          <w:szCs w:val="24"/>
          <w:highlight w:val="none"/>
          <w:lang w:val="en-US" w:eastAsia="zh-CN"/>
        </w:rPr>
        <w:t>采购人</w:t>
      </w:r>
      <w:r>
        <w:rPr>
          <w:rFonts w:hint="eastAsia" w:ascii="宋体" w:hAnsi="宋体" w:eastAsia="宋体" w:cs="宋体"/>
          <w:bCs/>
          <w:color w:val="auto"/>
          <w:szCs w:val="24"/>
          <w:highlight w:val="none"/>
        </w:rPr>
        <w:t>要求的，</w:t>
      </w:r>
      <w:r>
        <w:rPr>
          <w:rFonts w:hint="eastAsia" w:ascii="宋体" w:hAnsi="宋体" w:eastAsia="宋体" w:cs="宋体"/>
          <w:bCs/>
          <w:color w:val="auto"/>
          <w:szCs w:val="24"/>
          <w:highlight w:val="none"/>
          <w:lang w:val="en-US" w:eastAsia="zh-CN"/>
        </w:rPr>
        <w:t>采购人</w:t>
      </w:r>
      <w:r>
        <w:rPr>
          <w:rFonts w:hint="eastAsia" w:ascii="宋体" w:hAnsi="宋体" w:eastAsia="宋体" w:cs="宋体"/>
          <w:bCs/>
          <w:color w:val="auto"/>
          <w:szCs w:val="24"/>
          <w:highlight w:val="none"/>
        </w:rPr>
        <w:t>有权终止合同，并对供应商违约行为进行追究。</w:t>
      </w:r>
    </w:p>
    <w:p w14:paraId="4B26E818">
      <w:pPr>
        <w:adjustRightInd w:val="0"/>
        <w:snapToGrid w:val="0"/>
        <w:spacing w:line="360" w:lineRule="auto"/>
        <w:ind w:firstLine="48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lang w:val="en-US" w:eastAsia="zh-CN"/>
        </w:rPr>
        <w:t>5、</w:t>
      </w:r>
      <w:r>
        <w:rPr>
          <w:rFonts w:hint="eastAsia" w:ascii="宋体" w:hAnsi="宋体" w:eastAsia="宋体" w:cs="宋体"/>
          <w:bCs/>
          <w:color w:val="auto"/>
          <w:szCs w:val="24"/>
          <w:highlight w:val="none"/>
        </w:rPr>
        <w:t>供应商的磋商响应文件为签订正式书面合同书不可分割的部分，磋商响应应履行相应的责任。</w:t>
      </w:r>
    </w:p>
    <w:p w14:paraId="32BA4CAE">
      <w:pPr>
        <w:adjustRightInd w:val="0"/>
        <w:snapToGrid w:val="0"/>
        <w:spacing w:line="360" w:lineRule="auto"/>
        <w:rPr>
          <w:rFonts w:hint="eastAsia" w:ascii="宋体" w:hAnsi="宋体" w:eastAsia="宋体" w:cs="宋体"/>
          <w:b/>
          <w:color w:val="auto"/>
          <w:szCs w:val="24"/>
          <w:highlight w:val="none"/>
        </w:rPr>
      </w:pPr>
      <w:r>
        <w:rPr>
          <w:rFonts w:hint="eastAsia" w:ascii="宋体" w:hAnsi="宋体" w:eastAsia="宋体" w:cs="宋体"/>
          <w:b/>
          <w:color w:val="auto"/>
          <w:szCs w:val="24"/>
          <w:highlight w:val="none"/>
          <w:lang w:val="en-US" w:eastAsia="zh-CN"/>
        </w:rPr>
        <w:t>十三</w:t>
      </w:r>
      <w:r>
        <w:rPr>
          <w:rFonts w:hint="eastAsia" w:ascii="宋体" w:hAnsi="宋体" w:eastAsia="宋体" w:cs="宋体"/>
          <w:b/>
          <w:color w:val="auto"/>
          <w:szCs w:val="24"/>
          <w:highlight w:val="none"/>
        </w:rPr>
        <w:t>、保密条款</w:t>
      </w:r>
    </w:p>
    <w:p w14:paraId="6284F081">
      <w:pPr>
        <w:adjustRightInd w:val="0"/>
        <w:snapToGrid w:val="0"/>
        <w:spacing w:line="360" w:lineRule="auto"/>
        <w:ind w:firstLine="48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t>成交服务商应严格遵守采购单位有关保密规定，不得泄漏一切机密；在技术服务期间，成交服务商对接触到的有关采购单位商业活动、技术情报和技术资料等文件进行保密。</w:t>
      </w:r>
    </w:p>
    <w:p w14:paraId="6B7EA239">
      <w:pPr>
        <w:adjustRightInd w:val="0"/>
        <w:snapToGrid w:val="0"/>
        <w:spacing w:line="360" w:lineRule="auto"/>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十</w:t>
      </w:r>
      <w:r>
        <w:rPr>
          <w:rFonts w:hint="eastAsia" w:ascii="宋体" w:hAnsi="宋体" w:eastAsia="宋体" w:cs="宋体"/>
          <w:b/>
          <w:color w:val="auto"/>
          <w:szCs w:val="24"/>
          <w:highlight w:val="none"/>
          <w:lang w:val="en-US" w:eastAsia="zh-CN"/>
        </w:rPr>
        <w:t>四</w:t>
      </w:r>
      <w:r>
        <w:rPr>
          <w:rFonts w:hint="eastAsia" w:ascii="宋体" w:hAnsi="宋体" w:eastAsia="宋体" w:cs="宋体"/>
          <w:b/>
          <w:color w:val="auto"/>
          <w:szCs w:val="24"/>
          <w:highlight w:val="none"/>
        </w:rPr>
        <w:t>、合同争议的解决</w:t>
      </w:r>
    </w:p>
    <w:p w14:paraId="49E7D168">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因违反或终止合同而引起的对对方损失和损害的赔偿，双方应当协商解决，如未能达成一致，可提交主管部门协调，如仍未能达成一致时，向采购人所在地人民法院起诉。</w:t>
      </w:r>
    </w:p>
    <w:p w14:paraId="728B5C21">
      <w:pPr>
        <w:numPr>
          <w:ilvl w:val="0"/>
          <w:numId w:val="0"/>
        </w:numPr>
        <w:spacing w:line="360" w:lineRule="auto"/>
        <w:jc w:val="left"/>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lang w:val="en-US" w:eastAsia="zh-CN"/>
        </w:rPr>
        <w:t>十五、</w:t>
      </w:r>
      <w:r>
        <w:rPr>
          <w:rFonts w:hint="eastAsia" w:ascii="宋体" w:hAnsi="宋体" w:eastAsia="宋体" w:cs="宋体"/>
          <w:b/>
          <w:bCs/>
          <w:color w:val="auto"/>
          <w:szCs w:val="24"/>
          <w:highlight w:val="none"/>
        </w:rPr>
        <w:t>不可抗力情况下的免责约定</w:t>
      </w:r>
    </w:p>
    <w:p w14:paraId="69634E30">
      <w:pPr>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双方约定不可抗力情况指：双方不可预见、不可避免、不可克服的客观情况，但不包括双方的违约或疏忽。这些事件包括但不限于：战争、严重火灾、洪水、台风、地震等。</w:t>
      </w:r>
    </w:p>
    <w:p w14:paraId="7A80365C">
      <w:pPr>
        <w:spacing w:line="360" w:lineRule="auto"/>
        <w:rPr>
          <w:rFonts w:hint="eastAsia" w:ascii="宋体" w:hAnsi="宋体" w:eastAsia="宋体" w:cs="宋体"/>
          <w:b/>
          <w:color w:val="auto"/>
          <w:highlight w:val="none"/>
        </w:rPr>
      </w:pPr>
      <w:r>
        <w:rPr>
          <w:rFonts w:hint="eastAsia" w:ascii="宋体" w:hAnsi="宋体" w:eastAsia="宋体" w:cs="宋体"/>
          <w:b/>
          <w:color w:val="auto"/>
          <w:highlight w:val="none"/>
        </w:rPr>
        <w:t>十</w:t>
      </w:r>
      <w:r>
        <w:rPr>
          <w:rFonts w:hint="eastAsia" w:ascii="宋体" w:hAnsi="宋体" w:eastAsia="宋体" w:cs="宋体"/>
          <w:b/>
          <w:color w:val="auto"/>
          <w:highlight w:val="none"/>
          <w:lang w:val="en-US" w:eastAsia="zh-CN"/>
        </w:rPr>
        <w:t>六、</w:t>
      </w:r>
      <w:r>
        <w:rPr>
          <w:rFonts w:hint="eastAsia" w:ascii="宋体" w:hAnsi="宋体" w:eastAsia="宋体" w:cs="宋体"/>
          <w:b/>
          <w:color w:val="auto"/>
          <w:highlight w:val="none"/>
        </w:rPr>
        <w:t>合同订立</w:t>
      </w:r>
    </w:p>
    <w:p w14:paraId="2FB8CAA5">
      <w:pPr>
        <w:tabs>
          <w:tab w:val="left" w:pos="980"/>
        </w:tabs>
        <w:kinsoku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1.本合同一式</w:t>
      </w:r>
      <w:r>
        <w:rPr>
          <w:rFonts w:hint="eastAsia" w:ascii="宋体" w:hAnsi="宋体" w:eastAsia="宋体" w:cs="宋体"/>
          <w:color w:val="auto"/>
          <w:highlight w:val="none"/>
          <w:u w:val="single"/>
        </w:rPr>
        <w:t xml:space="preserve"> 肆 </w:t>
      </w:r>
      <w:r>
        <w:rPr>
          <w:rFonts w:hint="eastAsia" w:ascii="宋体" w:hAnsi="宋体" w:eastAsia="宋体" w:cs="宋体"/>
          <w:color w:val="auto"/>
          <w:highlight w:val="none"/>
        </w:rPr>
        <w:t>份，具有同等法律效力，双方各执</w:t>
      </w:r>
      <w:r>
        <w:rPr>
          <w:rFonts w:hint="eastAsia" w:ascii="宋体" w:hAnsi="宋体" w:eastAsia="宋体" w:cs="宋体"/>
          <w:color w:val="auto"/>
          <w:highlight w:val="none"/>
          <w:u w:val="single"/>
        </w:rPr>
        <w:t xml:space="preserve"> 贰 </w:t>
      </w:r>
      <w:r>
        <w:rPr>
          <w:rFonts w:hint="eastAsia" w:ascii="宋体" w:hAnsi="宋体" w:eastAsia="宋体" w:cs="宋体"/>
          <w:color w:val="auto"/>
          <w:highlight w:val="none"/>
        </w:rPr>
        <w:t>份。各方签字盖章后生效，合同执行完毕自动失效。（合同的服务承诺则长期有效）。</w:t>
      </w:r>
    </w:p>
    <w:p w14:paraId="399BC58A">
      <w:pPr>
        <w:tabs>
          <w:tab w:val="left" w:pos="980"/>
        </w:tabs>
        <w:kinsoku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2.未尽事宜由双方在签订合同时具体明确或签订补充合同。</w:t>
      </w:r>
    </w:p>
    <w:p w14:paraId="5F9E839B">
      <w:pPr>
        <w:tabs>
          <w:tab w:val="left" w:pos="480"/>
        </w:tabs>
        <w:spacing w:line="360" w:lineRule="auto"/>
        <w:ind w:firstLine="2168" w:firstLineChars="900"/>
        <w:rPr>
          <w:rFonts w:hint="eastAsia" w:ascii="宋体" w:hAnsi="宋体" w:eastAsia="宋体" w:cs="宋体"/>
          <w:b/>
          <w:color w:val="auto"/>
          <w:highlight w:val="none"/>
        </w:rPr>
      </w:pPr>
    </w:p>
    <w:p w14:paraId="29143586">
      <w:pPr>
        <w:tabs>
          <w:tab w:val="left" w:pos="480"/>
        </w:tabs>
        <w:spacing w:line="360" w:lineRule="auto"/>
        <w:ind w:firstLine="964" w:firstLineChars="400"/>
        <w:rPr>
          <w:rFonts w:hint="eastAsia" w:ascii="宋体" w:hAnsi="宋体" w:eastAsia="宋体" w:cs="宋体"/>
          <w:b/>
          <w:color w:val="auto"/>
          <w:highlight w:val="none"/>
        </w:rPr>
      </w:pPr>
      <w:r>
        <w:rPr>
          <w:rFonts w:hint="eastAsia" w:ascii="宋体" w:hAnsi="宋体" w:eastAsia="宋体" w:cs="宋体"/>
          <w:b/>
          <w:color w:val="auto"/>
          <w:highlight w:val="none"/>
        </w:rPr>
        <w:t>甲  方（公章）</w:t>
      </w:r>
      <w:r>
        <w:rPr>
          <w:rFonts w:hint="eastAsia" w:ascii="宋体" w:hAnsi="宋体" w:eastAsia="宋体" w:cs="宋体"/>
          <w:color w:val="auto"/>
          <w:highlight w:val="none"/>
        </w:rPr>
        <w:t xml:space="preserve">                   </w:t>
      </w:r>
      <w:r>
        <w:rPr>
          <w:rFonts w:hint="eastAsia" w:ascii="宋体" w:hAnsi="宋体" w:eastAsia="宋体" w:cs="宋体"/>
          <w:b/>
          <w:color w:val="auto"/>
          <w:highlight w:val="none"/>
        </w:rPr>
        <w:t xml:space="preserve">乙  方（公章）            </w:t>
      </w:r>
    </w:p>
    <w:p w14:paraId="35EBE351">
      <w:pPr>
        <w:tabs>
          <w:tab w:val="left" w:pos="480"/>
        </w:tabs>
        <w:spacing w:line="360" w:lineRule="auto"/>
        <w:ind w:firstLine="960" w:firstLineChars="400"/>
        <w:rPr>
          <w:rFonts w:hint="eastAsia" w:ascii="宋体" w:hAnsi="宋体" w:eastAsia="宋体" w:cs="宋体"/>
          <w:color w:val="auto"/>
          <w:highlight w:val="none"/>
        </w:rPr>
      </w:pPr>
      <w:r>
        <w:rPr>
          <w:rFonts w:hint="eastAsia" w:ascii="宋体" w:hAnsi="宋体" w:eastAsia="宋体" w:cs="宋体"/>
          <w:color w:val="auto"/>
          <w:highlight w:val="none"/>
        </w:rPr>
        <w:t>单位名称：                       单位名称：</w:t>
      </w:r>
    </w:p>
    <w:p w14:paraId="7DEE0494">
      <w:pPr>
        <w:tabs>
          <w:tab w:val="left" w:pos="480"/>
        </w:tabs>
        <w:spacing w:line="360" w:lineRule="auto"/>
        <w:ind w:firstLine="960" w:firstLineChars="400"/>
        <w:rPr>
          <w:rFonts w:hint="eastAsia" w:ascii="宋体" w:hAnsi="宋体" w:eastAsia="宋体" w:cs="宋体"/>
          <w:color w:val="auto"/>
          <w:highlight w:val="none"/>
        </w:rPr>
      </w:pPr>
      <w:r>
        <w:rPr>
          <w:rFonts w:hint="eastAsia" w:ascii="宋体" w:hAnsi="宋体" w:eastAsia="宋体" w:cs="宋体"/>
          <w:color w:val="auto"/>
          <w:highlight w:val="none"/>
        </w:rPr>
        <w:t xml:space="preserve">地    址：                       地    址：                </w:t>
      </w:r>
    </w:p>
    <w:p w14:paraId="4CAED55F">
      <w:pPr>
        <w:tabs>
          <w:tab w:val="left" w:pos="480"/>
        </w:tabs>
        <w:spacing w:line="360" w:lineRule="auto"/>
        <w:ind w:firstLine="960" w:firstLineChars="400"/>
        <w:rPr>
          <w:rFonts w:hint="eastAsia" w:ascii="宋体" w:hAnsi="宋体" w:eastAsia="宋体" w:cs="宋体"/>
          <w:color w:val="auto"/>
          <w:highlight w:val="none"/>
        </w:rPr>
      </w:pPr>
      <w:r>
        <w:rPr>
          <w:rFonts w:hint="eastAsia" w:ascii="宋体" w:hAnsi="宋体" w:eastAsia="宋体" w:cs="宋体"/>
          <w:color w:val="auto"/>
          <w:highlight w:val="none"/>
        </w:rPr>
        <w:t xml:space="preserve">代 理 人：                       代 理 人：                </w:t>
      </w:r>
    </w:p>
    <w:p w14:paraId="78B6937E">
      <w:pPr>
        <w:tabs>
          <w:tab w:val="left" w:pos="480"/>
        </w:tabs>
        <w:spacing w:line="360" w:lineRule="auto"/>
        <w:ind w:firstLine="960" w:firstLineChars="400"/>
        <w:rPr>
          <w:rFonts w:hint="eastAsia" w:ascii="宋体" w:hAnsi="宋体" w:eastAsia="宋体" w:cs="宋体"/>
          <w:color w:val="auto"/>
          <w:highlight w:val="none"/>
        </w:rPr>
      </w:pPr>
      <w:r>
        <w:rPr>
          <w:rFonts w:hint="eastAsia" w:ascii="宋体" w:hAnsi="宋体" w:eastAsia="宋体" w:cs="宋体"/>
          <w:color w:val="auto"/>
          <w:highlight w:val="none"/>
        </w:rPr>
        <w:t xml:space="preserve">联系电话：                       联系电话：              </w:t>
      </w:r>
    </w:p>
    <w:p w14:paraId="0ECEAAFF">
      <w:pPr>
        <w:tabs>
          <w:tab w:val="left" w:pos="480"/>
        </w:tabs>
        <w:spacing w:line="360" w:lineRule="auto"/>
        <w:ind w:firstLine="960" w:firstLineChars="400"/>
        <w:rPr>
          <w:rFonts w:hint="eastAsia" w:ascii="宋体" w:hAnsi="宋体" w:eastAsia="宋体" w:cs="宋体"/>
          <w:color w:val="auto"/>
          <w:highlight w:val="none"/>
        </w:rPr>
      </w:pPr>
      <w:r>
        <w:rPr>
          <w:rFonts w:hint="eastAsia" w:ascii="宋体" w:hAnsi="宋体" w:eastAsia="宋体" w:cs="宋体"/>
          <w:color w:val="auto"/>
          <w:highlight w:val="none"/>
        </w:rPr>
        <w:t xml:space="preserve">                                 帐    号：</w:t>
      </w:r>
    </w:p>
    <w:p w14:paraId="5A17FAE7">
      <w:pPr>
        <w:tabs>
          <w:tab w:val="left" w:pos="480"/>
        </w:tabs>
        <w:spacing w:line="360" w:lineRule="auto"/>
        <w:ind w:firstLine="960" w:firstLineChars="400"/>
        <w:rPr>
          <w:rFonts w:hint="eastAsia" w:ascii="宋体" w:hAnsi="宋体" w:eastAsia="宋体" w:cs="宋体"/>
          <w:color w:val="auto"/>
          <w:highlight w:val="none"/>
        </w:rPr>
      </w:pPr>
      <w:r>
        <w:rPr>
          <w:rFonts w:hint="eastAsia" w:ascii="宋体" w:hAnsi="宋体" w:eastAsia="宋体" w:cs="宋体"/>
          <w:color w:val="auto"/>
          <w:highlight w:val="none"/>
        </w:rPr>
        <w:t xml:space="preserve">                                 开户银行： </w:t>
      </w:r>
    </w:p>
    <w:p w14:paraId="1E56760F">
      <w:pPr>
        <w:tabs>
          <w:tab w:val="left" w:pos="480"/>
        </w:tabs>
        <w:spacing w:line="360" w:lineRule="auto"/>
        <w:ind w:firstLine="960" w:firstLineChars="4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签订日期：                       签订日期：</w:t>
      </w:r>
    </w:p>
    <w:p w14:paraId="71FC9B1B">
      <w:pPr>
        <w:pStyle w:val="8"/>
        <w:rPr>
          <w:rFonts w:hint="eastAsia" w:ascii="宋体" w:hAnsi="宋体" w:eastAsia="宋体" w:cs="宋体"/>
          <w:highlight w:val="none"/>
          <w:lang w:val="en-US" w:eastAsia="zh-Hans"/>
        </w:rPr>
      </w:pPr>
    </w:p>
    <w:p w14:paraId="14505967">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0796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7DDE63"/>
    <w:multiLevelType w:val="singleLevel"/>
    <w:tmpl w:val="0F7DDE63"/>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303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qFormat/>
    <w:uiPriority w:val="0"/>
    <w:pPr>
      <w:spacing w:after="120"/>
    </w:pPr>
    <w:rPr>
      <w:sz w:val="20"/>
    </w:rPr>
  </w:style>
  <w:style w:type="paragraph" w:styleId="5">
    <w:name w:val="footer"/>
    <w:basedOn w:val="1"/>
    <w:next w:val="4"/>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2026-05-15T08:57:32Z</dcterms:created>
  <dc:creator>admin</dc:creator>
  <cp:lastModifiedBy>还好</cp:lastModifiedBy>
  <dcterms:modified xsi:type="dcterms:W3CDTF">2026-05-15T08:57:45Z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eyJoZGlkIjoiY2NiYzYyMTk4MTAwMGMxMTY2ODVlNjI3YzZiZDE4MzQiLCJ1c2VySWQiOiIzMjI4MTQxMjgifQ==</vt:lpwstr>
  </property>
  <property fmtid="{D5CDD505-2E9C-101B-9397-08002B2CF9AE}" pid="4" name="ICV">
    <vt:lpwstr>824D152F5D4944908169564BF9A0DAD7_12</vt:lpwstr>
  </property>
</Properties>
</file>