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版本号：ZCBN-南郑县-2026-0023520260727001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汉中油菜花海旅游廊道（南郑段）驿点系统</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ZCBN-南郑县-2026-00235</w:t>
      </w:r>
      <w:r>
        <w:br/>
      </w:r>
      <w:r>
        <w:br/>
      </w:r>
      <w:r>
        <w:br/>
      </w:r>
    </w:p>
    <w:p>
      <w:pPr>
        <w:pStyle w:val="null3"/>
        <w:jc w:val="center"/>
        <w:outlineLvl w:val="2"/>
      </w:pPr>
      <w:r>
        <w:rPr>
          <w:rFonts w:ascii="仿宋_GB2312" w:hAnsi="仿宋_GB2312" w:cs="仿宋_GB2312" w:eastAsia="仿宋_GB2312"/>
          <w:sz w:val="28"/>
          <w:b/>
        </w:rPr>
        <w:t>汉中市南郑区文化和旅游局</w:t>
      </w:r>
    </w:p>
    <w:p>
      <w:pPr>
        <w:pStyle w:val="null3"/>
        <w:jc w:val="center"/>
        <w:outlineLvl w:val="2"/>
      </w:pPr>
      <w:r>
        <w:rPr>
          <w:rFonts w:ascii="仿宋_GB2312" w:hAnsi="仿宋_GB2312" w:cs="仿宋_GB2312" w:eastAsia="仿宋_GB2312"/>
          <w:sz w:val="28"/>
          <w:b/>
        </w:rPr>
        <w:t>中天久信（陕西）管理咨询有限公司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中天久信（陕西）管理咨询有限公司</w:t>
      </w:r>
      <w:r>
        <w:rPr>
          <w:rFonts w:ascii="仿宋_GB2312" w:hAnsi="仿宋_GB2312" w:cs="仿宋_GB2312" w:eastAsia="仿宋_GB2312"/>
        </w:rPr>
        <w:t>（以下简称“代理机构”）受</w:t>
      </w:r>
      <w:r>
        <w:rPr>
          <w:rFonts w:ascii="仿宋_GB2312" w:hAnsi="仿宋_GB2312" w:cs="仿宋_GB2312" w:eastAsia="仿宋_GB2312"/>
        </w:rPr>
        <w:t>汉中市南郑区文化和旅游局</w:t>
      </w:r>
      <w:r>
        <w:rPr>
          <w:rFonts w:ascii="仿宋_GB2312" w:hAnsi="仿宋_GB2312" w:cs="仿宋_GB2312" w:eastAsia="仿宋_GB2312"/>
        </w:rPr>
        <w:t>委托，拟对</w:t>
      </w:r>
      <w:r>
        <w:rPr>
          <w:rFonts w:ascii="仿宋_GB2312" w:hAnsi="仿宋_GB2312" w:cs="仿宋_GB2312" w:eastAsia="仿宋_GB2312"/>
        </w:rPr>
        <w:t>汉中油菜花海旅游廊道（南郑段）驿点系统</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ZCBN-南郑县-2026-00235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汉中油菜花海旅游廊道（南郑段）驿点系统</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汉中油菜花海旅游廊道（南郑段）驿点系统，按照景区标准要求，设计制作各节点驿站及旅游标识系统，安装各类标识标牌，内容包括⼊⼝形象导视交通旅游指⽰牌、全线导览图、标识等设施。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采购包1（汉中油菜花海旅游廊道（南郑段）驿点系统）：属于专门面向中小企业采购。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1、营业执照或相关证明文件：供应商须为独立承担民事责任能力的法人或其他组织或自然人。其中企业法人应提供有效的统一社会信用代码的营业执照， 事业法人应提供事业单位法人证、组织机构代码证等证明文件， 其他组织应提供相应的合法证明文件， 自然人提供身份证明文件。</w:t>
      </w:r>
    </w:p>
    <w:p>
      <w:pPr>
        <w:pStyle w:val="null3"/>
      </w:pPr>
      <w:r>
        <w:rPr>
          <w:rFonts w:ascii="仿宋_GB2312" w:hAnsi="仿宋_GB2312" w:cs="仿宋_GB2312" w:eastAsia="仿宋_GB2312"/>
        </w:rPr>
        <w:t>2、法定代表⼈⾝份证或授权委托书：非法定代表人参加的，须提供法定代表人委托授权书，法定代表人参加时,只须提供法定代表人身份证明。</w:t>
      </w:r>
    </w:p>
    <w:p>
      <w:pPr>
        <w:pStyle w:val="null3"/>
      </w:pPr>
      <w:r>
        <w:rPr>
          <w:rFonts w:ascii="仿宋_GB2312" w:hAnsi="仿宋_GB2312" w:cs="仿宋_GB2312" w:eastAsia="仿宋_GB2312"/>
        </w:rPr>
        <w:t>3、汉中市政府采购供应商资格承诺函：供应商须具有健全的财务会计制度、具有履行合同所必需的设备和专业技术能力 、具有依法缴纳税收和社会保障资金的良好记录， 参加本项目采购活动前三年内在经营活动中无重大违法活动记录， 未列入在信用中国网站 “失信被执行人 ” 、“重大税收违法案件当事人名单 ” 中(www.creditchina.gov.cn)， 未列入中国政府采购网 “政府采购严重违法失信行为记录名单 ” 中（www.ccgp.gov.cn）， 供应商需提供加盖公章的《汉中市政府采购供应商资格承诺函》。</w:t>
      </w:r>
    </w:p>
    <w:p>
      <w:pPr>
        <w:pStyle w:val="null3"/>
      </w:pPr>
      <w:r>
        <w:rPr>
          <w:rFonts w:ascii="仿宋_GB2312" w:hAnsi="仿宋_GB2312" w:cs="仿宋_GB2312" w:eastAsia="仿宋_GB2312"/>
        </w:rPr>
        <w:t>4、中小企业声明函：本项目专门面向中小企业采购， 供应商应为中小微企业， 须提供《中小企业声明函》并对真实性负责。</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南郑区汉山街道办东大街26号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0916-5516036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中天久信（陕西）管理咨询有限公司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陕西省汉中市汉台区东关街道办事处滨江路中青凯旋门4号楼底商202号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723099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19992659337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否</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否</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开户名称：中天久信（陕西）管理咨询有限公司汉中分公司</w:t>
            </w:r>
          </w:p>
          <w:p>
            <w:pPr>
              <w:pStyle w:val="null3"/>
            </w:pPr>
            <w:r>
              <w:rPr>
                <w:rFonts w:ascii="仿宋_GB2312" w:hAnsi="仿宋_GB2312" w:cs="仿宋_GB2312" w:eastAsia="仿宋_GB2312"/>
              </w:rPr>
              <w:t>开户银行：中国建设银行股份有限公司汉中天汉大道支行</w:t>
            </w:r>
          </w:p>
          <w:p>
            <w:pPr>
              <w:pStyle w:val="null3"/>
            </w:pPr>
            <w:r>
              <w:rPr>
                <w:rFonts w:ascii="仿宋_GB2312" w:hAnsi="仿宋_GB2312" w:cs="仿宋_GB2312" w:eastAsia="仿宋_GB2312"/>
              </w:rPr>
              <w:t>银行账号：61050165530000001515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价为基数，参照《国家计委关于印发〈招标代理服务收费管理暂行办法〉的通知》（计价格〔2002〕1980号）和《国家发展改革委办公厅关于招标代理服务收费有关问题的通知》（发改办价格〔2003〕857号）规定标准收取，由中标/成交供应商领取中标通知书后5个工作日内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汉中市南郑区文化和旅游局</w:t>
      </w:r>
      <w:r>
        <w:rPr>
          <w:rFonts w:ascii="仿宋_GB2312" w:hAnsi="仿宋_GB2312" w:cs="仿宋_GB2312" w:eastAsia="仿宋_GB2312"/>
        </w:rPr>
        <w:t>和</w:t>
      </w:r>
      <w:r>
        <w:rPr>
          <w:rFonts w:ascii="仿宋_GB2312" w:hAnsi="仿宋_GB2312" w:cs="仿宋_GB2312" w:eastAsia="仿宋_GB2312"/>
        </w:rPr>
        <w:t>中天久信（陕西）管理咨询有限公司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中天久信（陕西）管理咨询有限公司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中天久信（陕西）管理咨询有限公司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二、供应商将在采购项目实施过程中采用自有或者第三方知识成果的，采购项目涉及采购标的的知识产权相关事宜由采购人结合项目实际自主确认或协商约定，具体如下： 以合同约定为准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乙方全部设计、制作、安装配套服务符合旅游景区标识相关行业规范、双方确认设计要求；标识文字图案准确无误，设施稳固安全，现场施工清理完毕，完整交付配套设计源文件、维保服务说明。</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中天久信（陕西）管理咨询有限公司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联系人：曹先生</w:t>
      </w:r>
    </w:p>
    <w:p>
      <w:pPr>
        <w:pStyle w:val="null3"/>
      </w:pPr>
      <w:r>
        <w:rPr>
          <w:rFonts w:ascii="仿宋_GB2312" w:hAnsi="仿宋_GB2312" w:cs="仿宋_GB2312" w:eastAsia="仿宋_GB2312"/>
        </w:rPr>
        <w:t>联系电话：19992659337</w:t>
      </w:r>
    </w:p>
    <w:p>
      <w:pPr>
        <w:pStyle w:val="null3"/>
      </w:pPr>
      <w:r>
        <w:rPr>
          <w:rFonts w:ascii="仿宋_GB2312" w:hAnsi="仿宋_GB2312" w:cs="仿宋_GB2312" w:eastAsia="仿宋_GB2312"/>
        </w:rPr>
        <w:t>地址：陕西省汉中市汉台区东关街道办事处滨江路中青凯旋门 4号楼底商 202 号</w:t>
      </w:r>
    </w:p>
    <w:p>
      <w:pPr>
        <w:pStyle w:val="null3"/>
      </w:pPr>
      <w:r>
        <w:rPr>
          <w:rFonts w:ascii="仿宋_GB2312" w:hAnsi="仿宋_GB2312" w:cs="仿宋_GB2312" w:eastAsia="仿宋_GB2312"/>
        </w:rPr>
        <w:t>邮编：723099</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汉中油菜花海旅游廊道（南郑段）驿点系统，按照景区标准要求，设计制作各节点驿站及旅游标识系统，安装各类标识标牌，内容包括入口形象导视交通旅游指示牌、全线导览图、标识等设施。</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汉中油菜花海旅游廊道（南郑段）驿点系统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标的名称：汉中油菜花海旅游廊道（南郑段）驿点系统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32"/>
                <w:b/>
              </w:rPr>
              <w:t>一、整体要求</w:t>
            </w:r>
          </w:p>
          <w:p>
            <w:pPr>
              <w:pStyle w:val="null3"/>
              <w:spacing w:before="120" w:after="120"/>
            </w:pPr>
            <w:r>
              <w:rPr>
                <w:rFonts w:ascii="仿宋_GB2312" w:hAnsi="仿宋_GB2312" w:cs="仿宋_GB2312" w:eastAsia="仿宋_GB2312"/>
                <w:sz w:val="22"/>
              </w:rPr>
              <w:t>1.  所有标识导视牌具备统一的设计样式和元素，主题突出、导向清晰，符合南郑区乡村旅游</w:t>
            </w:r>
            <w:r>
              <w:rPr>
                <w:rFonts w:ascii="仿宋_GB2312" w:hAnsi="仿宋_GB2312" w:cs="仿宋_GB2312" w:eastAsia="仿宋_GB2312"/>
                <w:sz w:val="22"/>
              </w:rPr>
              <w:t>西环线</w:t>
            </w:r>
            <w:r>
              <w:rPr>
                <w:rFonts w:ascii="仿宋_GB2312" w:hAnsi="仿宋_GB2312" w:cs="仿宋_GB2312" w:eastAsia="仿宋_GB2312"/>
                <w:sz w:val="22"/>
              </w:rPr>
              <w:t>的整体视觉形象。</w:t>
            </w:r>
          </w:p>
          <w:p>
            <w:pPr>
              <w:pStyle w:val="null3"/>
              <w:spacing w:before="120" w:after="120"/>
            </w:pPr>
            <w:r>
              <w:rPr>
                <w:rFonts w:ascii="仿宋_GB2312" w:hAnsi="仿宋_GB2312" w:cs="仿宋_GB2312" w:eastAsia="仿宋_GB2312"/>
                <w:sz w:val="22"/>
              </w:rPr>
              <w:t>2.  所有户外设施材质需具备抗风、防雨、防晒、耐磨损、防腐防潮性能。</w:t>
            </w:r>
          </w:p>
          <w:p>
            <w:pPr>
              <w:pStyle w:val="null3"/>
              <w:spacing w:before="120" w:after="120"/>
            </w:pPr>
            <w:r>
              <w:rPr>
                <w:rFonts w:ascii="仿宋_GB2312" w:hAnsi="仿宋_GB2312" w:cs="仿宋_GB2312" w:eastAsia="仿宋_GB2312"/>
                <w:sz w:val="22"/>
              </w:rPr>
              <w:t>3.  施工及安装需符合户外设施安全规范，不破坏原有道路、绿化及场地环境，安装完成后需通过安全验收。</w:t>
            </w:r>
          </w:p>
          <w:p>
            <w:pPr>
              <w:pStyle w:val="null3"/>
              <w:spacing w:before="315" w:after="120"/>
            </w:pPr>
            <w:r>
              <w:rPr>
                <w:rFonts w:ascii="仿宋_GB2312" w:hAnsi="仿宋_GB2312" w:cs="仿宋_GB2312" w:eastAsia="仿宋_GB2312"/>
                <w:sz w:val="32"/>
                <w:b/>
              </w:rPr>
              <w:t>二、具体技术参数及要求</w:t>
            </w:r>
          </w:p>
          <w:p>
            <w:pPr>
              <w:pStyle w:val="null3"/>
              <w:spacing w:before="300" w:after="120"/>
            </w:pPr>
            <w:r>
              <w:rPr>
                <w:rFonts w:ascii="仿宋_GB2312" w:hAnsi="仿宋_GB2312" w:cs="仿宋_GB2312" w:eastAsia="仿宋_GB2312"/>
                <w:sz w:val="30"/>
                <w:b/>
              </w:rPr>
              <w:t>（一）南郑区乡村旅游</w:t>
            </w:r>
            <w:r>
              <w:rPr>
                <w:rFonts w:ascii="仿宋_GB2312" w:hAnsi="仿宋_GB2312" w:cs="仿宋_GB2312" w:eastAsia="仿宋_GB2312"/>
                <w:sz w:val="30"/>
                <w:b/>
              </w:rPr>
              <w:t>西环线</w:t>
            </w:r>
            <w:r>
              <w:rPr>
                <w:rFonts w:ascii="仿宋_GB2312" w:hAnsi="仿宋_GB2312" w:cs="仿宋_GB2312" w:eastAsia="仿宋_GB2312"/>
                <w:sz w:val="30"/>
                <w:b/>
              </w:rPr>
              <w:t>一级导视（入口形象标识）</w:t>
            </w:r>
          </w:p>
          <w:p>
            <w:pPr>
              <w:pStyle w:val="null3"/>
              <w:spacing w:before="120" w:after="120"/>
            </w:pPr>
            <w:r>
              <w:rPr>
                <w:rFonts w:ascii="仿宋_GB2312" w:hAnsi="仿宋_GB2312" w:cs="仿宋_GB2312" w:eastAsia="仿宋_GB2312"/>
                <w:sz w:val="22"/>
              </w:rPr>
              <w:t>1.  ▲设置数量及区域：共计</w:t>
            </w:r>
            <w:r>
              <w:rPr>
                <w:rFonts w:ascii="仿宋_GB2312" w:hAnsi="仿宋_GB2312" w:cs="仿宋_GB2312" w:eastAsia="仿宋_GB2312"/>
                <w:sz w:val="22"/>
              </w:rPr>
              <w:t>1</w:t>
            </w:r>
            <w:r>
              <w:rPr>
                <w:rFonts w:ascii="仿宋_GB2312" w:hAnsi="仿宋_GB2312" w:cs="仿宋_GB2312" w:eastAsia="仿宋_GB2312"/>
                <w:sz w:val="22"/>
              </w:rPr>
              <w:t>组，</w:t>
            </w:r>
            <w:r>
              <w:rPr>
                <w:rFonts w:ascii="仿宋_GB2312" w:hAnsi="仿宋_GB2312" w:cs="仿宋_GB2312" w:eastAsia="仿宋_GB2312"/>
                <w:sz w:val="22"/>
              </w:rPr>
              <w:t>位于梁山镇</w:t>
            </w:r>
            <w:r>
              <w:rPr>
                <w:rFonts w:ascii="仿宋_GB2312" w:hAnsi="仿宋_GB2312" w:cs="仿宋_GB2312" w:eastAsia="仿宋_GB2312"/>
                <w:sz w:val="22"/>
              </w:rPr>
              <w:t>。</w:t>
            </w:r>
          </w:p>
          <w:p>
            <w:pPr>
              <w:pStyle w:val="null3"/>
              <w:spacing w:before="120" w:after="120"/>
            </w:pPr>
            <w:r>
              <w:rPr>
                <w:rFonts w:ascii="仿宋_GB2312" w:hAnsi="仿宋_GB2312" w:cs="仿宋_GB2312" w:eastAsia="仿宋_GB2312"/>
                <w:sz w:val="22"/>
              </w:rPr>
              <w:t>2.  ▲设计尺寸：长度≥</w:t>
            </w:r>
            <w:r>
              <w:rPr>
                <w:rFonts w:ascii="仿宋_GB2312" w:hAnsi="仿宋_GB2312" w:cs="仿宋_GB2312" w:eastAsia="仿宋_GB2312"/>
                <w:sz w:val="22"/>
              </w:rPr>
              <w:t>12M，高度</w:t>
            </w:r>
            <w:r>
              <w:rPr>
                <w:rFonts w:ascii="仿宋_GB2312" w:hAnsi="仿宋_GB2312" w:cs="仿宋_GB2312" w:eastAsia="仿宋_GB2312"/>
                <w:sz w:val="22"/>
              </w:rPr>
              <w:t>≥</w:t>
            </w:r>
            <w:r>
              <w:rPr>
                <w:rFonts w:ascii="仿宋_GB2312" w:hAnsi="仿宋_GB2312" w:cs="仿宋_GB2312" w:eastAsia="仿宋_GB2312"/>
                <w:sz w:val="22"/>
              </w:rPr>
              <w:t>2.8M</w:t>
            </w:r>
            <w:r>
              <w:rPr>
                <w:rFonts w:ascii="仿宋_GB2312" w:hAnsi="仿宋_GB2312" w:cs="仿宋_GB2312" w:eastAsia="仿宋_GB2312"/>
                <w:sz w:val="22"/>
              </w:rPr>
              <w:t>，</w:t>
            </w:r>
            <w:r>
              <w:rPr>
                <w:rFonts w:ascii="仿宋_GB2312" w:hAnsi="仿宋_GB2312" w:cs="仿宋_GB2312" w:eastAsia="仿宋_GB2312"/>
                <w:sz w:val="22"/>
              </w:rPr>
              <w:t>整体比例协调，具体厚度及细节结合设计方案确定。</w:t>
            </w:r>
          </w:p>
          <w:p>
            <w:pPr>
              <w:pStyle w:val="null3"/>
              <w:spacing w:before="120" w:after="120"/>
            </w:pPr>
            <w:r>
              <w:rPr>
                <w:rFonts w:ascii="仿宋_GB2312" w:hAnsi="仿宋_GB2312" w:cs="仿宋_GB2312" w:eastAsia="仿宋_GB2312"/>
                <w:sz w:val="22"/>
              </w:rPr>
              <w:t>3.  设计要求：视觉样式须基本统一，主题设计契合南郑区乡村旅游文化特色，辨识度高，包含主题LOGO、宣传标语、主题图形元素等核心信息，色彩搭配协调，视觉效果醒目。</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要求：须采用螺纹钢筋焊接预埋框架、</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（二）南郑区乡村旅游</w:t>
            </w:r>
            <w:r>
              <w:rPr>
                <w:rFonts w:ascii="仿宋_GB2312" w:hAnsi="仿宋_GB2312" w:cs="仿宋_GB2312" w:eastAsia="仿宋_GB2312"/>
                <w:sz w:val="30"/>
                <w:b/>
              </w:rPr>
              <w:t>西环线</w:t>
            </w:r>
            <w:r>
              <w:rPr>
                <w:rFonts w:ascii="仿宋_GB2312" w:hAnsi="仿宋_GB2312" w:cs="仿宋_GB2312" w:eastAsia="仿宋_GB2312"/>
                <w:sz w:val="30"/>
                <w:b/>
              </w:rPr>
              <w:t>二级导视（交通旅游指示牌）</w:t>
            </w:r>
          </w:p>
          <w:p>
            <w:pPr>
              <w:pStyle w:val="null3"/>
              <w:spacing w:before="120" w:after="120"/>
            </w:pPr>
            <w:r>
              <w:rPr>
                <w:rFonts w:ascii="仿宋_GB2312" w:hAnsi="仿宋_GB2312" w:cs="仿宋_GB2312" w:eastAsia="仿宋_GB2312"/>
                <w:sz w:val="22"/>
              </w:rPr>
              <w:t>1.  ▲设置数量：共计</w:t>
            </w:r>
            <w:r>
              <w:rPr>
                <w:rFonts w:ascii="仿宋_GB2312" w:hAnsi="仿宋_GB2312" w:cs="仿宋_GB2312" w:eastAsia="仿宋_GB2312"/>
                <w:sz w:val="22"/>
              </w:rPr>
              <w:t>13</w:t>
            </w:r>
            <w:r>
              <w:rPr>
                <w:rFonts w:ascii="仿宋_GB2312" w:hAnsi="仿宋_GB2312" w:cs="仿宋_GB2312" w:eastAsia="仿宋_GB2312"/>
                <w:sz w:val="22"/>
              </w:rPr>
              <w:t>组，南郑区</w:t>
            </w:r>
            <w:r>
              <w:rPr>
                <w:rFonts w:ascii="仿宋_GB2312" w:hAnsi="仿宋_GB2312" w:cs="仿宋_GB2312" w:eastAsia="仿宋_GB2312"/>
                <w:sz w:val="22"/>
              </w:rPr>
              <w:t>梁山镇、汉山街道</w:t>
            </w:r>
            <w:r>
              <w:rPr>
                <w:rFonts w:ascii="仿宋_GB2312" w:hAnsi="仿宋_GB2312" w:cs="仿宋_GB2312" w:eastAsia="仿宋_GB2312"/>
                <w:sz w:val="22"/>
              </w:rPr>
              <w:t>、</w:t>
            </w:r>
            <w:r>
              <w:rPr>
                <w:rFonts w:ascii="仿宋_GB2312" w:hAnsi="仿宋_GB2312" w:cs="仿宋_GB2312" w:eastAsia="仿宋_GB2312"/>
                <w:sz w:val="22"/>
              </w:rPr>
              <w:t>高台</w:t>
            </w:r>
            <w:r>
              <w:rPr>
                <w:rFonts w:ascii="仿宋_GB2312" w:hAnsi="仿宋_GB2312" w:cs="仿宋_GB2312" w:eastAsia="仿宋_GB2312"/>
                <w:sz w:val="22"/>
              </w:rPr>
              <w:t>镇、</w:t>
            </w:r>
            <w:r>
              <w:rPr>
                <w:rFonts w:ascii="仿宋_GB2312" w:hAnsi="仿宋_GB2312" w:cs="仿宋_GB2312" w:eastAsia="仿宋_GB2312"/>
                <w:sz w:val="22"/>
              </w:rPr>
              <w:t>新集镇、两河</w:t>
            </w:r>
            <w:r>
              <w:rPr>
                <w:rFonts w:ascii="仿宋_GB2312" w:hAnsi="仿宋_GB2312" w:cs="仿宋_GB2312" w:eastAsia="仿宋_GB2312"/>
                <w:sz w:val="22"/>
              </w:rPr>
              <w:t>镇按实际需求合理分布。</w:t>
            </w:r>
          </w:p>
          <w:p>
            <w:pPr>
              <w:pStyle w:val="null3"/>
              <w:spacing w:before="120" w:after="120"/>
            </w:pPr>
            <w:r>
              <w:rPr>
                <w:rFonts w:ascii="仿宋_GB2312" w:hAnsi="仿宋_GB2312" w:cs="仿宋_GB2312" w:eastAsia="仿宋_GB2312"/>
                <w:sz w:val="22"/>
              </w:rPr>
              <w:t>2.  ▲设计尺寸：宽度≥</w:t>
            </w:r>
            <w:r>
              <w:rPr>
                <w:rFonts w:ascii="仿宋_GB2312" w:hAnsi="仿宋_GB2312" w:cs="仿宋_GB2312" w:eastAsia="仿宋_GB2312"/>
                <w:sz w:val="22"/>
              </w:rPr>
              <w:t>4M，高度</w:t>
            </w:r>
            <w:r>
              <w:rPr>
                <w:rFonts w:ascii="仿宋_GB2312" w:hAnsi="仿宋_GB2312" w:cs="仿宋_GB2312" w:eastAsia="仿宋_GB2312"/>
                <w:sz w:val="22"/>
              </w:rPr>
              <w:t>≥</w:t>
            </w:r>
            <w:r>
              <w:rPr>
                <w:rFonts w:ascii="仿宋_GB2312" w:hAnsi="仿宋_GB2312" w:cs="仿宋_GB2312" w:eastAsia="仿宋_GB2312"/>
                <w:sz w:val="22"/>
              </w:rPr>
              <w:t>7M</w:t>
            </w:r>
            <w:r>
              <w:rPr>
                <w:rFonts w:ascii="仿宋_GB2312" w:hAnsi="仿宋_GB2312" w:cs="仿宋_GB2312" w:eastAsia="仿宋_GB2312"/>
                <w:sz w:val="22"/>
              </w:rPr>
              <w:t>，圆管立柱规格型号不低于</w:t>
            </w:r>
            <w:r>
              <w:rPr>
                <w:rFonts w:ascii="仿宋_GB2312" w:hAnsi="仿宋_GB2312" w:cs="仿宋_GB2312" w:eastAsia="仿宋_GB2312"/>
                <w:sz w:val="22"/>
                <w:b/>
              </w:rPr>
              <w:t>Φ</w:t>
            </w:r>
            <w:r>
              <w:rPr>
                <w:rFonts w:ascii="仿宋_GB2312" w:hAnsi="仿宋_GB2312" w:cs="仿宋_GB2312" w:eastAsia="仿宋_GB2312"/>
                <w:sz w:val="22"/>
              </w:rPr>
              <w:t>219，</w:t>
            </w:r>
            <w:r>
              <w:rPr>
                <w:rFonts w:ascii="仿宋_GB2312" w:hAnsi="仿宋_GB2312" w:cs="仿宋_GB2312" w:eastAsia="仿宋_GB2312"/>
                <w:sz w:val="22"/>
              </w:rPr>
              <w:t>指示牌铝板面板尺寸适配整体比例，便于游客远距离识别。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13</w:t>
            </w:r>
            <w:r>
              <w:rPr>
                <w:rFonts w:ascii="仿宋_GB2312" w:hAnsi="仿宋_GB2312" w:cs="仿宋_GB2312" w:eastAsia="仿宋_GB2312"/>
                <w:sz w:val="22"/>
              </w:rPr>
              <w:t>组样式统一，导向清晰，设计风格契合南郑区乡村旅游文化特色，辨识度高，采用铝板加反光膜材质，画面根据实际点位情况考虑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”问题，画面包含线路名称、方向指引箭头等内容；采用醒目色彩搭配，字体清晰、易识别，反光效果良好。</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要求：须采用螺纹钢筋焊接预埋框架、</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（三）南郑区乡村旅游</w:t>
            </w:r>
            <w:r>
              <w:rPr>
                <w:rFonts w:ascii="仿宋_GB2312" w:hAnsi="仿宋_GB2312" w:cs="仿宋_GB2312" w:eastAsia="仿宋_GB2312"/>
                <w:sz w:val="30"/>
                <w:b/>
              </w:rPr>
              <w:t>西环线</w:t>
            </w:r>
            <w:r>
              <w:rPr>
                <w:rFonts w:ascii="仿宋_GB2312" w:hAnsi="仿宋_GB2312" w:cs="仿宋_GB2312" w:eastAsia="仿宋_GB2312"/>
                <w:sz w:val="30"/>
                <w:b/>
              </w:rPr>
              <w:t>二级导视（全线导览图指示牌）</w:t>
            </w:r>
          </w:p>
          <w:p>
            <w:pPr>
              <w:pStyle w:val="null3"/>
              <w:spacing w:before="120" w:after="120"/>
            </w:pPr>
            <w:r>
              <w:rPr>
                <w:rFonts w:ascii="仿宋_GB2312" w:hAnsi="仿宋_GB2312" w:cs="仿宋_GB2312" w:eastAsia="仿宋_GB2312"/>
                <w:sz w:val="22"/>
              </w:rPr>
              <w:t>1.  ▲设置数量：共计</w:t>
            </w:r>
            <w:r>
              <w:rPr>
                <w:rFonts w:ascii="仿宋_GB2312" w:hAnsi="仿宋_GB2312" w:cs="仿宋_GB2312" w:eastAsia="仿宋_GB2312"/>
                <w:sz w:val="22"/>
              </w:rPr>
              <w:t>4</w:t>
            </w:r>
            <w:r>
              <w:rPr>
                <w:rFonts w:ascii="仿宋_GB2312" w:hAnsi="仿宋_GB2312" w:cs="仿宋_GB2312" w:eastAsia="仿宋_GB2312"/>
                <w:sz w:val="22"/>
              </w:rPr>
              <w:t>组，南郑区</w:t>
            </w:r>
            <w:r>
              <w:rPr>
                <w:rFonts w:ascii="仿宋_GB2312" w:hAnsi="仿宋_GB2312" w:cs="仿宋_GB2312" w:eastAsia="仿宋_GB2312"/>
                <w:sz w:val="22"/>
              </w:rPr>
              <w:t>汉山街道</w:t>
            </w:r>
            <w:r>
              <w:rPr>
                <w:rFonts w:ascii="仿宋_GB2312" w:hAnsi="仿宋_GB2312" w:cs="仿宋_GB2312" w:eastAsia="仿宋_GB2312"/>
                <w:sz w:val="22"/>
              </w:rPr>
              <w:t>、</w:t>
            </w:r>
            <w:r>
              <w:rPr>
                <w:rFonts w:ascii="仿宋_GB2312" w:hAnsi="仿宋_GB2312" w:cs="仿宋_GB2312" w:eastAsia="仿宋_GB2312"/>
                <w:sz w:val="22"/>
              </w:rPr>
              <w:t>阳春镇、高台</w:t>
            </w:r>
            <w:r>
              <w:rPr>
                <w:rFonts w:ascii="仿宋_GB2312" w:hAnsi="仿宋_GB2312" w:cs="仿宋_GB2312" w:eastAsia="仿宋_GB2312"/>
                <w:sz w:val="22"/>
              </w:rPr>
              <w:t>镇、</w:t>
            </w:r>
            <w:r>
              <w:rPr>
                <w:rFonts w:ascii="仿宋_GB2312" w:hAnsi="仿宋_GB2312" w:cs="仿宋_GB2312" w:eastAsia="仿宋_GB2312"/>
                <w:sz w:val="22"/>
              </w:rPr>
              <w:t>新集镇</w:t>
            </w:r>
            <w:r>
              <w:rPr>
                <w:rFonts w:ascii="仿宋_GB2312" w:hAnsi="仿宋_GB2312" w:cs="仿宋_GB2312" w:eastAsia="仿宋_GB2312"/>
                <w:sz w:val="22"/>
              </w:rPr>
              <w:t>按实际需求合理分布。</w:t>
            </w:r>
          </w:p>
          <w:p>
            <w:pPr>
              <w:pStyle w:val="null3"/>
              <w:spacing w:before="120" w:after="120"/>
            </w:pPr>
            <w:r>
              <w:rPr>
                <w:rFonts w:ascii="仿宋_GB2312" w:hAnsi="仿宋_GB2312" w:cs="仿宋_GB2312" w:eastAsia="仿宋_GB2312"/>
                <w:sz w:val="22"/>
              </w:rPr>
              <w:t>2.  ▲设计尺寸：宽度≥</w:t>
            </w:r>
            <w:r>
              <w:rPr>
                <w:rFonts w:ascii="仿宋_GB2312" w:hAnsi="仿宋_GB2312" w:cs="仿宋_GB2312" w:eastAsia="仿宋_GB2312"/>
                <w:sz w:val="22"/>
              </w:rPr>
              <w:t>3M，高度</w:t>
            </w:r>
            <w:r>
              <w:rPr>
                <w:rFonts w:ascii="仿宋_GB2312" w:hAnsi="仿宋_GB2312" w:cs="仿宋_GB2312" w:eastAsia="仿宋_GB2312"/>
                <w:sz w:val="22"/>
              </w:rPr>
              <w:t>≥</w:t>
            </w:r>
            <w:r>
              <w:rPr>
                <w:rFonts w:ascii="仿宋_GB2312" w:hAnsi="仿宋_GB2312" w:cs="仿宋_GB2312" w:eastAsia="仿宋_GB2312"/>
                <w:sz w:val="22"/>
              </w:rPr>
              <w:t>3M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4</w:t>
            </w:r>
            <w:r>
              <w:rPr>
                <w:rFonts w:ascii="仿宋_GB2312" w:hAnsi="仿宋_GB2312" w:cs="仿宋_GB2312" w:eastAsia="仿宋_GB2312"/>
                <w:sz w:val="22"/>
              </w:rPr>
              <w:t>组样式统一，采用金属造型底板，设计风格契合南郑区乡村旅游文化特色，辨识度高，地图信息准确无误，采用文旅手绘地图的风格样式，清晰标注南郑区乡村旅游</w:t>
            </w:r>
            <w:r>
              <w:rPr>
                <w:rFonts w:ascii="仿宋_GB2312" w:hAnsi="仿宋_GB2312" w:cs="仿宋_GB2312" w:eastAsia="仿宋_GB2312"/>
                <w:sz w:val="22"/>
              </w:rPr>
              <w:t>西环线</w:t>
            </w:r>
            <w:r>
              <w:rPr>
                <w:rFonts w:ascii="仿宋_GB2312" w:hAnsi="仿宋_GB2312" w:cs="仿宋_GB2312" w:eastAsia="仿宋_GB2312"/>
                <w:sz w:val="22"/>
              </w:rPr>
              <w:t>五个乡镇的主要道路分布、主要相关节点（观景点、停车场）等核心信息，导览逻辑清晰，便于游客快速获取信息；地图采用高清</w:t>
            </w:r>
            <w:r>
              <w:rPr>
                <w:rFonts w:ascii="仿宋_GB2312" w:hAnsi="仿宋_GB2312" w:cs="仿宋_GB2312" w:eastAsia="仿宋_GB2312"/>
                <w:sz w:val="22"/>
              </w:rPr>
              <w:t>UV</w:t>
            </w:r>
            <w:r>
              <w:rPr>
                <w:rFonts w:ascii="仿宋_GB2312" w:hAnsi="仿宋_GB2312" w:cs="仿宋_GB2312" w:eastAsia="仿宋_GB2312"/>
                <w:sz w:val="22"/>
              </w:rPr>
              <w:t>工艺，色彩还原度高，不易褪色。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要求：须采用螺纹钢筋焊接预埋框架、</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120" w:after="120"/>
            </w:pPr>
            <w:r>
              <w:rPr>
                <w:rFonts w:ascii="仿宋_GB2312" w:hAnsi="仿宋_GB2312" w:cs="仿宋_GB2312" w:eastAsia="仿宋_GB2312"/>
                <w:sz w:val="30"/>
                <w:b/>
              </w:rPr>
              <w:t>（四）南郑区乡村旅游</w:t>
            </w:r>
            <w:r>
              <w:rPr>
                <w:rFonts w:ascii="仿宋_GB2312" w:hAnsi="仿宋_GB2312" w:cs="仿宋_GB2312" w:eastAsia="仿宋_GB2312"/>
                <w:sz w:val="30"/>
                <w:b/>
              </w:rPr>
              <w:t>西环线</w:t>
            </w:r>
            <w:r>
              <w:rPr>
                <w:rFonts w:ascii="仿宋_GB2312" w:hAnsi="仿宋_GB2312" w:cs="仿宋_GB2312" w:eastAsia="仿宋_GB2312"/>
                <w:sz w:val="30"/>
                <w:b/>
              </w:rPr>
              <w:t>三级导视（停车场标识指示牌）</w:t>
            </w:r>
          </w:p>
          <w:p>
            <w:pPr>
              <w:pStyle w:val="null3"/>
              <w:spacing w:before="120" w:after="120"/>
            </w:pPr>
            <w:r>
              <w:rPr>
                <w:rFonts w:ascii="仿宋_GB2312" w:hAnsi="仿宋_GB2312" w:cs="仿宋_GB2312" w:eastAsia="仿宋_GB2312"/>
                <w:sz w:val="22"/>
              </w:rPr>
              <w:t>1.  ▲设置数量：共计</w:t>
            </w:r>
            <w:r>
              <w:rPr>
                <w:rFonts w:ascii="仿宋_GB2312" w:hAnsi="仿宋_GB2312" w:cs="仿宋_GB2312" w:eastAsia="仿宋_GB2312"/>
                <w:sz w:val="22"/>
              </w:rPr>
              <w:t>6</w:t>
            </w:r>
            <w:r>
              <w:rPr>
                <w:rFonts w:ascii="仿宋_GB2312" w:hAnsi="仿宋_GB2312" w:cs="仿宋_GB2312" w:eastAsia="仿宋_GB2312"/>
                <w:sz w:val="22"/>
              </w:rPr>
              <w:t>组，南郑区</w:t>
            </w:r>
            <w:r>
              <w:rPr>
                <w:rFonts w:ascii="仿宋_GB2312" w:hAnsi="仿宋_GB2312" w:cs="仿宋_GB2312" w:eastAsia="仿宋_GB2312"/>
                <w:sz w:val="22"/>
              </w:rPr>
              <w:t>阳春镇、高台</w:t>
            </w:r>
            <w:r>
              <w:rPr>
                <w:rFonts w:ascii="仿宋_GB2312" w:hAnsi="仿宋_GB2312" w:cs="仿宋_GB2312" w:eastAsia="仿宋_GB2312"/>
                <w:sz w:val="22"/>
              </w:rPr>
              <w:t>镇、</w:t>
            </w:r>
            <w:r>
              <w:rPr>
                <w:rFonts w:ascii="仿宋_GB2312" w:hAnsi="仿宋_GB2312" w:cs="仿宋_GB2312" w:eastAsia="仿宋_GB2312"/>
                <w:sz w:val="22"/>
              </w:rPr>
              <w:t>新集镇、两河</w:t>
            </w:r>
            <w:r>
              <w:rPr>
                <w:rFonts w:ascii="仿宋_GB2312" w:hAnsi="仿宋_GB2312" w:cs="仿宋_GB2312" w:eastAsia="仿宋_GB2312"/>
                <w:sz w:val="22"/>
              </w:rPr>
              <w:t>镇按实际需求合理分布。</w:t>
            </w:r>
          </w:p>
          <w:p>
            <w:pPr>
              <w:pStyle w:val="null3"/>
              <w:spacing w:before="120" w:after="120"/>
            </w:pPr>
            <w:r>
              <w:rPr>
                <w:rFonts w:ascii="仿宋_GB2312" w:hAnsi="仿宋_GB2312" w:cs="仿宋_GB2312" w:eastAsia="仿宋_GB2312"/>
                <w:sz w:val="22"/>
              </w:rPr>
              <w:t>2.  ▲设计尺寸：宽度≥</w:t>
            </w:r>
            <w:r>
              <w:rPr>
                <w:rFonts w:ascii="仿宋_GB2312" w:hAnsi="仿宋_GB2312" w:cs="仿宋_GB2312" w:eastAsia="仿宋_GB2312"/>
                <w:sz w:val="22"/>
              </w:rPr>
              <w:t>0.5M，高度</w:t>
            </w:r>
            <w:r>
              <w:rPr>
                <w:rFonts w:ascii="仿宋_GB2312" w:hAnsi="仿宋_GB2312" w:cs="仿宋_GB2312" w:eastAsia="仿宋_GB2312"/>
                <w:sz w:val="22"/>
              </w:rPr>
              <w:t>≥</w:t>
            </w:r>
            <w:r>
              <w:rPr>
                <w:rFonts w:ascii="仿宋_GB2312" w:hAnsi="仿宋_GB2312" w:cs="仿宋_GB2312" w:eastAsia="仿宋_GB2312"/>
                <w:sz w:val="22"/>
              </w:rPr>
              <w:t>2.5M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6</w:t>
            </w:r>
            <w:r>
              <w:rPr>
                <w:rFonts w:ascii="仿宋_GB2312" w:hAnsi="仿宋_GB2312" w:cs="仿宋_GB2312" w:eastAsia="仿宋_GB2312"/>
                <w:sz w:val="22"/>
              </w:rPr>
              <w:t>组样式统一，采用金属造型外框，设计风格契合南郑区乡村旅游文化特色，辨识度高，停车场标识、名称及方向指引信息标注清晰且准确无误，画面根据实际点位情况考虑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（五）南郑区乡村旅游</w:t>
            </w:r>
            <w:r>
              <w:rPr>
                <w:rFonts w:ascii="仿宋_GB2312" w:hAnsi="仿宋_GB2312" w:cs="仿宋_GB2312" w:eastAsia="仿宋_GB2312"/>
                <w:sz w:val="30"/>
                <w:b/>
              </w:rPr>
              <w:t>西环线</w:t>
            </w:r>
            <w:r>
              <w:rPr>
                <w:rFonts w:ascii="仿宋_GB2312" w:hAnsi="仿宋_GB2312" w:cs="仿宋_GB2312" w:eastAsia="仿宋_GB2312"/>
                <w:sz w:val="30"/>
                <w:b/>
              </w:rPr>
              <w:t>三级导视（卫生间标识指示牌）</w:t>
            </w:r>
          </w:p>
          <w:p>
            <w:pPr>
              <w:pStyle w:val="null3"/>
              <w:spacing w:before="120" w:after="120"/>
            </w:pPr>
            <w:r>
              <w:rPr>
                <w:rFonts w:ascii="仿宋_GB2312" w:hAnsi="仿宋_GB2312" w:cs="仿宋_GB2312" w:eastAsia="仿宋_GB2312"/>
                <w:sz w:val="22"/>
              </w:rPr>
              <w:t>1.  ▲设置数量：共计</w:t>
            </w:r>
            <w:r>
              <w:rPr>
                <w:rFonts w:ascii="仿宋_GB2312" w:hAnsi="仿宋_GB2312" w:cs="仿宋_GB2312" w:eastAsia="仿宋_GB2312"/>
                <w:sz w:val="22"/>
              </w:rPr>
              <w:t>3</w:t>
            </w:r>
            <w:r>
              <w:rPr>
                <w:rFonts w:ascii="仿宋_GB2312" w:hAnsi="仿宋_GB2312" w:cs="仿宋_GB2312" w:eastAsia="仿宋_GB2312"/>
                <w:sz w:val="22"/>
              </w:rPr>
              <w:t>组，南郑区</w:t>
            </w:r>
            <w:r>
              <w:rPr>
                <w:rFonts w:ascii="仿宋_GB2312" w:hAnsi="仿宋_GB2312" w:cs="仿宋_GB2312" w:eastAsia="仿宋_GB2312"/>
                <w:sz w:val="22"/>
              </w:rPr>
              <w:t>汉山</w:t>
            </w:r>
            <w:r>
              <w:rPr>
                <w:rFonts w:ascii="仿宋_GB2312" w:hAnsi="仿宋_GB2312" w:cs="仿宋_GB2312" w:eastAsia="仿宋_GB2312"/>
                <w:sz w:val="22"/>
              </w:rPr>
              <w:t>镇</w:t>
            </w:r>
            <w:r>
              <w:rPr>
                <w:rFonts w:ascii="仿宋_GB2312" w:hAnsi="仿宋_GB2312" w:cs="仿宋_GB2312" w:eastAsia="仿宋_GB2312"/>
                <w:sz w:val="22"/>
              </w:rPr>
              <w:t>、</w:t>
            </w:r>
            <w:r>
              <w:rPr>
                <w:rFonts w:ascii="仿宋_GB2312" w:hAnsi="仿宋_GB2312" w:cs="仿宋_GB2312" w:eastAsia="仿宋_GB2312"/>
                <w:sz w:val="22"/>
              </w:rPr>
              <w:t>高台镇</w:t>
            </w:r>
            <w:r>
              <w:rPr>
                <w:rFonts w:ascii="仿宋_GB2312" w:hAnsi="仿宋_GB2312" w:cs="仿宋_GB2312" w:eastAsia="仿宋_GB2312"/>
                <w:sz w:val="22"/>
              </w:rPr>
              <w:t>按实际需求合理分布。</w:t>
            </w:r>
          </w:p>
          <w:p>
            <w:pPr>
              <w:pStyle w:val="null3"/>
              <w:spacing w:before="120" w:after="120"/>
            </w:pPr>
            <w:r>
              <w:rPr>
                <w:rFonts w:ascii="仿宋_GB2312" w:hAnsi="仿宋_GB2312" w:cs="仿宋_GB2312" w:eastAsia="仿宋_GB2312"/>
                <w:sz w:val="22"/>
              </w:rPr>
              <w:t>2.  ▲设计尺寸：宽度≥</w:t>
            </w:r>
            <w:r>
              <w:rPr>
                <w:rFonts w:ascii="仿宋_GB2312" w:hAnsi="仿宋_GB2312" w:cs="仿宋_GB2312" w:eastAsia="仿宋_GB2312"/>
                <w:sz w:val="22"/>
              </w:rPr>
              <w:t>0.5M，高度</w:t>
            </w:r>
            <w:r>
              <w:rPr>
                <w:rFonts w:ascii="仿宋_GB2312" w:hAnsi="仿宋_GB2312" w:cs="仿宋_GB2312" w:eastAsia="仿宋_GB2312"/>
                <w:sz w:val="22"/>
              </w:rPr>
              <w:t>≥</w:t>
            </w:r>
            <w:r>
              <w:rPr>
                <w:rFonts w:ascii="仿宋_GB2312" w:hAnsi="仿宋_GB2312" w:cs="仿宋_GB2312" w:eastAsia="仿宋_GB2312"/>
                <w:sz w:val="22"/>
              </w:rPr>
              <w:t>2M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3</w:t>
            </w:r>
            <w:r>
              <w:rPr>
                <w:rFonts w:ascii="仿宋_GB2312" w:hAnsi="仿宋_GB2312" w:cs="仿宋_GB2312" w:eastAsia="仿宋_GB2312"/>
                <w:sz w:val="22"/>
              </w:rPr>
              <w:t>组样式统一，采用金属造型外框，设计风格契合南郑区乡村旅游文化特色，辨识度高，卫生间标识、名称及方向指引信息标注清晰且准确无误，画面根据实际点位情况考虑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（六）南郑区乡村旅游</w:t>
            </w:r>
            <w:r>
              <w:rPr>
                <w:rFonts w:ascii="仿宋_GB2312" w:hAnsi="仿宋_GB2312" w:cs="仿宋_GB2312" w:eastAsia="仿宋_GB2312"/>
                <w:sz w:val="30"/>
                <w:b/>
              </w:rPr>
              <w:t>西环线</w:t>
            </w:r>
            <w:r>
              <w:rPr>
                <w:rFonts w:ascii="仿宋_GB2312" w:hAnsi="仿宋_GB2312" w:cs="仿宋_GB2312" w:eastAsia="仿宋_GB2312"/>
                <w:sz w:val="30"/>
                <w:b/>
              </w:rPr>
              <w:t>三级导视（线路指引标识牌）</w:t>
            </w:r>
          </w:p>
          <w:p>
            <w:pPr>
              <w:pStyle w:val="null3"/>
              <w:spacing w:before="120" w:after="120"/>
            </w:pPr>
            <w:r>
              <w:rPr>
                <w:rFonts w:ascii="仿宋_GB2312" w:hAnsi="仿宋_GB2312" w:cs="仿宋_GB2312" w:eastAsia="仿宋_GB2312"/>
                <w:sz w:val="22"/>
              </w:rPr>
              <w:t>1.  ▲设置数量：共计</w:t>
            </w:r>
            <w:r>
              <w:rPr>
                <w:rFonts w:ascii="仿宋_GB2312" w:hAnsi="仿宋_GB2312" w:cs="仿宋_GB2312" w:eastAsia="仿宋_GB2312"/>
                <w:sz w:val="22"/>
              </w:rPr>
              <w:t>18</w:t>
            </w:r>
            <w:r>
              <w:rPr>
                <w:rFonts w:ascii="仿宋_GB2312" w:hAnsi="仿宋_GB2312" w:cs="仿宋_GB2312" w:eastAsia="仿宋_GB2312"/>
                <w:sz w:val="22"/>
              </w:rPr>
              <w:t>组，南郑区</w:t>
            </w:r>
            <w:r>
              <w:rPr>
                <w:rFonts w:ascii="仿宋_GB2312" w:hAnsi="仿宋_GB2312" w:cs="仿宋_GB2312" w:eastAsia="仿宋_GB2312"/>
                <w:sz w:val="22"/>
              </w:rPr>
              <w:t>梁山镇、汉山街道</w:t>
            </w:r>
            <w:r>
              <w:rPr>
                <w:rFonts w:ascii="仿宋_GB2312" w:hAnsi="仿宋_GB2312" w:cs="仿宋_GB2312" w:eastAsia="仿宋_GB2312"/>
                <w:sz w:val="22"/>
              </w:rPr>
              <w:t>、</w:t>
            </w:r>
            <w:r>
              <w:rPr>
                <w:rFonts w:ascii="仿宋_GB2312" w:hAnsi="仿宋_GB2312" w:cs="仿宋_GB2312" w:eastAsia="仿宋_GB2312"/>
                <w:sz w:val="22"/>
              </w:rPr>
              <w:t>阳春镇、高台</w:t>
            </w:r>
            <w:r>
              <w:rPr>
                <w:rFonts w:ascii="仿宋_GB2312" w:hAnsi="仿宋_GB2312" w:cs="仿宋_GB2312" w:eastAsia="仿宋_GB2312"/>
                <w:sz w:val="22"/>
              </w:rPr>
              <w:t>镇、</w:t>
            </w:r>
            <w:r>
              <w:rPr>
                <w:rFonts w:ascii="仿宋_GB2312" w:hAnsi="仿宋_GB2312" w:cs="仿宋_GB2312" w:eastAsia="仿宋_GB2312"/>
                <w:sz w:val="22"/>
              </w:rPr>
              <w:t>新集镇、两河</w:t>
            </w:r>
            <w:r>
              <w:rPr>
                <w:rFonts w:ascii="仿宋_GB2312" w:hAnsi="仿宋_GB2312" w:cs="仿宋_GB2312" w:eastAsia="仿宋_GB2312"/>
                <w:sz w:val="22"/>
              </w:rPr>
              <w:t>镇按实际需求合理分布。</w:t>
            </w:r>
          </w:p>
          <w:p>
            <w:pPr>
              <w:pStyle w:val="null3"/>
              <w:spacing w:before="120" w:after="120"/>
            </w:pPr>
            <w:r>
              <w:rPr>
                <w:rFonts w:ascii="仿宋_GB2312" w:hAnsi="仿宋_GB2312" w:cs="仿宋_GB2312" w:eastAsia="仿宋_GB2312"/>
                <w:sz w:val="22"/>
              </w:rPr>
              <w:t>2. ▲设计尺寸：宽度≥</w:t>
            </w:r>
            <w:r>
              <w:rPr>
                <w:rFonts w:ascii="仿宋_GB2312" w:hAnsi="仿宋_GB2312" w:cs="仿宋_GB2312" w:eastAsia="仿宋_GB2312"/>
                <w:sz w:val="22"/>
              </w:rPr>
              <w:t>0.5M，高度</w:t>
            </w:r>
            <w:r>
              <w:rPr>
                <w:rFonts w:ascii="仿宋_GB2312" w:hAnsi="仿宋_GB2312" w:cs="仿宋_GB2312" w:eastAsia="仿宋_GB2312"/>
                <w:sz w:val="22"/>
              </w:rPr>
              <w:t>≥</w:t>
            </w:r>
            <w:r>
              <w:rPr>
                <w:rFonts w:ascii="仿宋_GB2312" w:hAnsi="仿宋_GB2312" w:cs="仿宋_GB2312" w:eastAsia="仿宋_GB2312"/>
                <w:sz w:val="22"/>
              </w:rPr>
              <w:t>2.5M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18</w:t>
            </w:r>
            <w:r>
              <w:rPr>
                <w:rFonts w:ascii="仿宋_GB2312" w:hAnsi="仿宋_GB2312" w:cs="仿宋_GB2312" w:eastAsia="仿宋_GB2312"/>
                <w:sz w:val="22"/>
              </w:rPr>
              <w:t>组样式统一，采用金属造型外框，设计风格契合南郑区乡村旅游文化特色，辨识度高，线路名称及方向指引信息标注清晰且准确无误，画面根据实际点位情况考虑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（七）南郑区乡村旅游</w:t>
            </w:r>
            <w:r>
              <w:rPr>
                <w:rFonts w:ascii="仿宋_GB2312" w:hAnsi="仿宋_GB2312" w:cs="仿宋_GB2312" w:eastAsia="仿宋_GB2312"/>
                <w:sz w:val="30"/>
                <w:b/>
              </w:rPr>
              <w:t>西环线</w:t>
            </w:r>
            <w:r>
              <w:rPr>
                <w:rFonts w:ascii="仿宋_GB2312" w:hAnsi="仿宋_GB2312" w:cs="仿宋_GB2312" w:eastAsia="仿宋_GB2312"/>
                <w:sz w:val="30"/>
                <w:b/>
              </w:rPr>
              <w:t>三级导视（观景点标识指示牌）</w:t>
            </w:r>
          </w:p>
          <w:p>
            <w:pPr>
              <w:pStyle w:val="null3"/>
              <w:spacing w:before="120" w:after="120"/>
            </w:pPr>
            <w:r>
              <w:rPr>
                <w:rFonts w:ascii="仿宋_GB2312" w:hAnsi="仿宋_GB2312" w:cs="仿宋_GB2312" w:eastAsia="仿宋_GB2312"/>
                <w:sz w:val="22"/>
              </w:rPr>
              <w:t>1.  ▲设置数量：共计</w:t>
            </w:r>
            <w:r>
              <w:rPr>
                <w:rFonts w:ascii="仿宋_GB2312" w:hAnsi="仿宋_GB2312" w:cs="仿宋_GB2312" w:eastAsia="仿宋_GB2312"/>
                <w:sz w:val="22"/>
              </w:rPr>
              <w:t>4</w:t>
            </w:r>
            <w:r>
              <w:rPr>
                <w:rFonts w:ascii="仿宋_GB2312" w:hAnsi="仿宋_GB2312" w:cs="仿宋_GB2312" w:eastAsia="仿宋_GB2312"/>
                <w:sz w:val="22"/>
              </w:rPr>
              <w:t>组，南郑区</w:t>
            </w:r>
            <w:r>
              <w:rPr>
                <w:rFonts w:ascii="仿宋_GB2312" w:hAnsi="仿宋_GB2312" w:cs="仿宋_GB2312" w:eastAsia="仿宋_GB2312"/>
                <w:sz w:val="22"/>
              </w:rPr>
              <w:t>高台</w:t>
            </w:r>
            <w:r>
              <w:rPr>
                <w:rFonts w:ascii="仿宋_GB2312" w:hAnsi="仿宋_GB2312" w:cs="仿宋_GB2312" w:eastAsia="仿宋_GB2312"/>
                <w:sz w:val="22"/>
              </w:rPr>
              <w:t>镇、</w:t>
            </w:r>
            <w:r>
              <w:rPr>
                <w:rFonts w:ascii="仿宋_GB2312" w:hAnsi="仿宋_GB2312" w:cs="仿宋_GB2312" w:eastAsia="仿宋_GB2312"/>
                <w:sz w:val="22"/>
              </w:rPr>
              <w:t>新集镇、两河</w:t>
            </w:r>
            <w:r>
              <w:rPr>
                <w:rFonts w:ascii="仿宋_GB2312" w:hAnsi="仿宋_GB2312" w:cs="仿宋_GB2312" w:eastAsia="仿宋_GB2312"/>
                <w:sz w:val="22"/>
              </w:rPr>
              <w:t>镇按实际需求合理分布。</w:t>
            </w:r>
          </w:p>
          <w:p>
            <w:pPr>
              <w:pStyle w:val="null3"/>
              <w:spacing w:before="120" w:after="120"/>
            </w:pPr>
            <w:r>
              <w:rPr>
                <w:rFonts w:ascii="仿宋_GB2312" w:hAnsi="仿宋_GB2312" w:cs="仿宋_GB2312" w:eastAsia="仿宋_GB2312"/>
                <w:sz w:val="22"/>
              </w:rPr>
              <w:t>2.  ▲设计尺寸：宽度≥</w:t>
            </w:r>
            <w:r>
              <w:rPr>
                <w:rFonts w:ascii="仿宋_GB2312" w:hAnsi="仿宋_GB2312" w:cs="仿宋_GB2312" w:eastAsia="仿宋_GB2312"/>
                <w:sz w:val="22"/>
              </w:rPr>
              <w:t>1.2M，高度</w:t>
            </w:r>
            <w:r>
              <w:rPr>
                <w:rFonts w:ascii="仿宋_GB2312" w:hAnsi="仿宋_GB2312" w:cs="仿宋_GB2312" w:eastAsia="仿宋_GB2312"/>
                <w:sz w:val="22"/>
              </w:rPr>
              <w:t>≥</w:t>
            </w:r>
            <w:r>
              <w:rPr>
                <w:rFonts w:ascii="仿宋_GB2312" w:hAnsi="仿宋_GB2312" w:cs="仿宋_GB2312" w:eastAsia="仿宋_GB2312"/>
                <w:sz w:val="22"/>
              </w:rPr>
              <w:t>3M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4</w:t>
            </w:r>
            <w:r>
              <w:rPr>
                <w:rFonts w:ascii="仿宋_GB2312" w:hAnsi="仿宋_GB2312" w:cs="仿宋_GB2312" w:eastAsia="仿宋_GB2312"/>
                <w:sz w:val="22"/>
              </w:rPr>
              <w:t>组样式统一，采用金属造型加方管立柱形式，设计风格契合南郑区乡村旅游文化特色，辨识度高，观景点名称及方向指引信息标注清晰且准确无误，画面根据实际点位情况考虑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p>
            <w:pPr>
              <w:pStyle w:val="null3"/>
              <w:spacing w:before="300" w:after="120"/>
            </w:pPr>
            <w:r>
              <w:rPr>
                <w:rFonts w:ascii="仿宋_GB2312" w:hAnsi="仿宋_GB2312" w:cs="仿宋_GB2312" w:eastAsia="仿宋_GB2312"/>
                <w:sz w:val="30"/>
                <w:b/>
              </w:rPr>
              <w:t>（八）南郑区乡村旅游</w:t>
            </w:r>
            <w:r>
              <w:rPr>
                <w:rFonts w:ascii="仿宋_GB2312" w:hAnsi="仿宋_GB2312" w:cs="仿宋_GB2312" w:eastAsia="仿宋_GB2312"/>
                <w:sz w:val="30"/>
                <w:b/>
              </w:rPr>
              <w:t>西环线</w:t>
            </w:r>
            <w:r>
              <w:rPr>
                <w:rFonts w:ascii="仿宋_GB2312" w:hAnsi="仿宋_GB2312" w:cs="仿宋_GB2312" w:eastAsia="仿宋_GB2312"/>
                <w:sz w:val="30"/>
                <w:b/>
              </w:rPr>
              <w:t>四级导视（行为指示标识牌）</w:t>
            </w:r>
          </w:p>
          <w:p>
            <w:pPr>
              <w:pStyle w:val="null3"/>
              <w:spacing w:before="120" w:after="120"/>
            </w:pPr>
            <w:r>
              <w:rPr>
                <w:rFonts w:ascii="仿宋_GB2312" w:hAnsi="仿宋_GB2312" w:cs="仿宋_GB2312" w:eastAsia="仿宋_GB2312"/>
                <w:sz w:val="22"/>
              </w:rPr>
              <w:t>1.  ▲设置数量：共计</w:t>
            </w:r>
            <w:r>
              <w:rPr>
                <w:rFonts w:ascii="仿宋_GB2312" w:hAnsi="仿宋_GB2312" w:cs="仿宋_GB2312" w:eastAsia="仿宋_GB2312"/>
                <w:sz w:val="22"/>
              </w:rPr>
              <w:t>14</w:t>
            </w:r>
            <w:r>
              <w:rPr>
                <w:rFonts w:ascii="仿宋_GB2312" w:hAnsi="仿宋_GB2312" w:cs="仿宋_GB2312" w:eastAsia="仿宋_GB2312"/>
                <w:sz w:val="22"/>
              </w:rPr>
              <w:t>组，南郑区</w:t>
            </w:r>
            <w:r>
              <w:rPr>
                <w:rFonts w:ascii="仿宋_GB2312" w:hAnsi="仿宋_GB2312" w:cs="仿宋_GB2312" w:eastAsia="仿宋_GB2312"/>
                <w:sz w:val="22"/>
              </w:rPr>
              <w:t>梁山镇、汉山街道</w:t>
            </w:r>
            <w:r>
              <w:rPr>
                <w:rFonts w:ascii="仿宋_GB2312" w:hAnsi="仿宋_GB2312" w:cs="仿宋_GB2312" w:eastAsia="仿宋_GB2312"/>
                <w:sz w:val="22"/>
              </w:rPr>
              <w:t>、</w:t>
            </w:r>
            <w:r>
              <w:rPr>
                <w:rFonts w:ascii="仿宋_GB2312" w:hAnsi="仿宋_GB2312" w:cs="仿宋_GB2312" w:eastAsia="仿宋_GB2312"/>
                <w:sz w:val="22"/>
              </w:rPr>
              <w:t>阳春镇、高台</w:t>
            </w:r>
            <w:r>
              <w:rPr>
                <w:rFonts w:ascii="仿宋_GB2312" w:hAnsi="仿宋_GB2312" w:cs="仿宋_GB2312" w:eastAsia="仿宋_GB2312"/>
                <w:sz w:val="22"/>
              </w:rPr>
              <w:t>镇、</w:t>
            </w:r>
            <w:r>
              <w:rPr>
                <w:rFonts w:ascii="仿宋_GB2312" w:hAnsi="仿宋_GB2312" w:cs="仿宋_GB2312" w:eastAsia="仿宋_GB2312"/>
                <w:sz w:val="22"/>
              </w:rPr>
              <w:t>新集镇、两河</w:t>
            </w:r>
            <w:r>
              <w:rPr>
                <w:rFonts w:ascii="仿宋_GB2312" w:hAnsi="仿宋_GB2312" w:cs="仿宋_GB2312" w:eastAsia="仿宋_GB2312"/>
                <w:sz w:val="22"/>
              </w:rPr>
              <w:t>镇按实际需求合理分布。</w:t>
            </w:r>
          </w:p>
          <w:p>
            <w:pPr>
              <w:pStyle w:val="null3"/>
              <w:spacing w:before="120" w:after="120"/>
            </w:pPr>
            <w:r>
              <w:rPr>
                <w:rFonts w:ascii="仿宋_GB2312" w:hAnsi="仿宋_GB2312" w:cs="仿宋_GB2312" w:eastAsia="仿宋_GB2312"/>
                <w:sz w:val="22"/>
              </w:rPr>
              <w:t>2.  ▲设计尺寸：宽度≥</w:t>
            </w:r>
            <w:r>
              <w:rPr>
                <w:rFonts w:ascii="仿宋_GB2312" w:hAnsi="仿宋_GB2312" w:cs="仿宋_GB2312" w:eastAsia="仿宋_GB2312"/>
                <w:sz w:val="22"/>
              </w:rPr>
              <w:t>0.3M，高度</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，具体厚度及细节结合设计方案确定，整体结构稳固，适配户外安装场景。主体图文面板尺寸适配整体比例，便于游客远距离识别。</w:t>
            </w:r>
          </w:p>
          <w:p>
            <w:pPr>
              <w:pStyle w:val="null3"/>
              <w:spacing w:before="120" w:after="120"/>
            </w:pPr>
            <w:r>
              <w:rPr>
                <w:rFonts w:ascii="仿宋_GB2312" w:hAnsi="仿宋_GB2312" w:cs="仿宋_GB2312" w:eastAsia="仿宋_GB2312"/>
                <w:sz w:val="22"/>
              </w:rPr>
              <w:t>3.  设计要求：</w:t>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组样式统一，采用金属造型加方管立柱形式，设计风格契合南郑区乡村旅游文化特色，辨识度高，行为指示标识及内容信息标注清晰且准确无误，画面根据实际点位情况考虑</w:t>
            </w:r>
            <w:r>
              <w:rPr>
                <w:rFonts w:ascii="仿宋_GB2312" w:hAnsi="仿宋_GB2312" w:cs="仿宋_GB2312" w:eastAsia="仿宋_GB2312"/>
                <w:sz w:val="22"/>
              </w:rPr>
              <w:t>“单</w:t>
            </w:r>
            <w:r>
              <w:rPr>
                <w:rFonts w:ascii="仿宋_GB2312" w:hAnsi="仿宋_GB2312" w:cs="仿宋_GB2312" w:eastAsia="仿宋_GB2312"/>
                <w:sz w:val="22"/>
              </w:rPr>
              <w:t>/</w:t>
            </w:r>
            <w:r>
              <w:rPr>
                <w:rFonts w:ascii="仿宋_GB2312" w:hAnsi="仿宋_GB2312" w:cs="仿宋_GB2312" w:eastAsia="仿宋_GB2312"/>
                <w:sz w:val="22"/>
              </w:rPr>
              <w:t>双面</w:t>
            </w:r>
            <w:r>
              <w:rPr>
                <w:rFonts w:ascii="仿宋_GB2312" w:hAnsi="仿宋_GB2312" w:cs="仿宋_GB2312" w:eastAsia="仿宋_GB2312"/>
                <w:sz w:val="22"/>
              </w:rPr>
              <w:t>”问题，便于游客快速获取信息；色彩还原度高，不易褪色。</w:t>
            </w:r>
          </w:p>
          <w:p>
            <w:pPr>
              <w:pStyle w:val="null3"/>
              <w:spacing w:before="120" w:after="120"/>
            </w:pPr>
            <w:r>
              <w:rPr>
                <w:rFonts w:ascii="仿宋_GB2312" w:hAnsi="仿宋_GB2312" w:cs="仿宋_GB2312" w:eastAsia="仿宋_GB2312"/>
                <w:sz w:val="22"/>
              </w:rPr>
              <w:t>4.</w:t>
            </w:r>
            <w:r>
              <w:rPr>
                <w:rFonts w:ascii="仿宋_GB2312" w:hAnsi="仿宋_GB2312" w:cs="仿宋_GB2312" w:eastAsia="仿宋_GB2312"/>
              </w:rPr>
              <w:t xml:space="preserve">  </w:t>
            </w:r>
            <w:r>
              <w:rPr>
                <w:rFonts w:ascii="仿宋_GB2312" w:hAnsi="仿宋_GB2312" w:cs="仿宋_GB2312" w:eastAsia="仿宋_GB2312"/>
                <w:sz w:val="22"/>
              </w:rPr>
              <w:t>安装</w:t>
            </w:r>
            <w:r>
              <w:rPr>
                <w:rFonts w:ascii="仿宋_GB2312" w:hAnsi="仿宋_GB2312" w:cs="仿宋_GB2312" w:eastAsia="仿宋_GB2312"/>
                <w:sz w:val="22"/>
              </w:rPr>
              <w:t>要求：须采用直埋、</w:t>
            </w:r>
            <w:r>
              <w:rPr>
                <w:rFonts w:ascii="仿宋_GB2312" w:hAnsi="仿宋_GB2312" w:cs="仿宋_GB2312" w:eastAsia="仿宋_GB2312"/>
                <w:sz w:val="22"/>
              </w:rPr>
              <w:t>混凝土</w:t>
            </w:r>
            <w:r>
              <w:rPr>
                <w:rFonts w:ascii="仿宋_GB2312" w:hAnsi="仿宋_GB2312" w:cs="仿宋_GB2312" w:eastAsia="仿宋_GB2312"/>
                <w:sz w:val="22"/>
              </w:rPr>
              <w:t>浇灌、膨胀螺丝固定等方式进行安装，必须满足户外安装稳定性要求。</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供应商需组建专业的服务团队，团队成员具备相应的设计、制作能力，能够确保服务质量与效率。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具有履行本项目所必需的专业设备和技术能力。</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自合同签订后30日内完成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南郑区</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提供的景区驿站、旅游标识一体化设计、制作、安装全流程服务成果，严格遵循景区需求、文旅标识行业规范及双方确认设计方案；配套现场勘测、安装调试、现场清理等配套服务全部完成，标识设施外观完好、文字规范、安装稳固，配套技术资料完整交付。 验收方法：乙方完成全部服务工作后提交书面验收申请及全套服务资料，甲方 3 个工作日组织现场履约验收；存在瑕疵由乙方免费整改并重新验收，验收合格签署履约验收单，当日完成整体服务交付。</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预付款，合同签订后，达到付款条件起5个工作日内，支付合同总金额的30.0%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进度款，项目整体提交验收报告，采购人验收合格后，达到付款条件起5个工作日内，支付合同总金额的65.0%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进度款，项目实施完成后1年，质保合格，达到付款条件起5个工作日内，支付合同总金额的5.0%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乙方未按约定期限完成全部服务，每逾期一日按合同总价款万分之三支付违约金；服务成果多次整改仍不达标，甲方有权暂缓结算、解除合同并索赔。甲方逾期支付服务款项，按同期活期存款利率支付逾期利息。 争议解决：合同履行产生分歧优先友好协商；协商不成，提交项目所在地人民法院诉讼解决。</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拟参与本项目的供应商应按照汉中市财政局《关于全面推行政府采购供应商基本资格条件承诺制的通知》 (汉财办采管〔2024〕 20号)文件要求， 提供《汉中市政府采购供应商资格承诺函》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营业执照或相关证明文件</w:t>
            </w:r>
          </w:p>
        </w:tc>
        <w:tc>
          <w:tcPr>
            <w:tcW w:type="dxa" w:w="3322"/>
          </w:tcPr>
          <w:p>
            <w:pPr>
              <w:pStyle w:val="null3"/>
            </w:pPr>
            <w:r>
              <w:rPr>
                <w:rFonts w:ascii="仿宋_GB2312" w:hAnsi="仿宋_GB2312" w:cs="仿宋_GB2312" w:eastAsia="仿宋_GB2312"/>
              </w:rPr>
              <w:t>供应商须为独立承担民事责任能力的法人或其他组织或自然人。其中企业法人应提供有效的统一社会信用代码的营业执照， 事业法人应提供事业单位法人证、组织机构代码证等证明文件， 其他组织应提供相应的合法证明文件， 自然人提供身份证明文件。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法定代表⼈⾝份证或授权委托书</w:t>
            </w:r>
          </w:p>
        </w:tc>
        <w:tc>
          <w:tcPr>
            <w:tcW w:type="dxa" w:w="3322"/>
          </w:tcPr>
          <w:p>
            <w:pPr>
              <w:pStyle w:val="null3"/>
            </w:pPr>
            <w:r>
              <w:rPr>
                <w:rFonts w:ascii="仿宋_GB2312" w:hAnsi="仿宋_GB2312" w:cs="仿宋_GB2312" w:eastAsia="仿宋_GB2312"/>
              </w:rPr>
              <w:t>非法定代表人参加的，须提供法定代表人委托授权书，法定代表人参加时,只须提供法定代表人身份证明。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 、具有依法缴纳税收和社会保障资金的良好记录， 参加本项目采购活动前三年内在经营活动中无重大违法活动记录， 未列入在信用中国网站 “失信被执行人 ” 、“重大税收违法案件当事人名单 ” 中(www.creditchina.gov.cn)， 未列入中国政府采购网 “政府采购严重违法失信行为记录名单 ” 中（www.ccgp.gov.cn）， 供应商需提供加盖公章的《汉中市政府采购供应商资格承诺函》。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本项目专门面向中小企业采购， 供应商应为中小微企业， 须提供《中小企业声明函》并对真实性负责。</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技术参数与性能指标</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服务期限、服务地点</w:t>
            </w:r>
          </w:p>
        </w:tc>
        <w:tc>
          <w:tcPr>
            <w:tcW w:type="dxa" w:w="3322"/>
          </w:tcPr>
          <w:p>
            <w:pPr>
              <w:pStyle w:val="null3"/>
            </w:pPr>
            <w:r>
              <w:rPr>
                <w:rFonts w:ascii="仿宋_GB2312" w:hAnsi="仿宋_GB2312" w:cs="仿宋_GB2312" w:eastAsia="仿宋_GB2312"/>
              </w:rPr>
              <w:t>服务期限、服务地点</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磋商报价报价唯一，且不高于采购预算或最高限价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法律法规和磋商文件规定的其他无效情形的</w:t>
            </w:r>
          </w:p>
        </w:tc>
        <w:tc>
          <w:tcPr>
            <w:tcW w:type="dxa" w:w="1661"/>
          </w:tcPr>
          <w:p>
            <w:pPr>
              <w:pStyle w:val="null3"/>
            </w:pPr>
            <w:r>
              <w:rPr>
                <w:rFonts w:ascii="仿宋_GB2312" w:hAnsi="仿宋_GB2312" w:cs="仿宋_GB2312" w:eastAsia="仿宋_GB2312"/>
              </w:rPr>
              <w:t>中小企业声明函 商务应答表 服务内容及服务要求应答表 报价表 项目实施方案.docx 响应文件封面 供应商应提交的相关资格证明材料.docx 残疾人福利性单位声明函 供应商认为需要提交的其他材料.docx 标的清单 对本项目的理解与重难点分析.docx 项目质量保障方案.docx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供应商提供2023年7月至今（以合同签订时间为准）完成的类似项目业绩， 须提供完整合同协议书复印件， 每提供一份得2.5分， 此项最高得5分；未提供或提供不完整不得分 。</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供应商配齐服务团队，包含项目负责人、文旅设计师、现场勘测专员、现场安装负责人、竣工资料专员等人员组成， 所有人员须提供身份证正反面、毕业证书等相关复印件。 评分规则：每有一个岗位人员配置及证书资料符合要求得2.5分， 本项满分15分 ； 同一人员兼任多个岗位、持有多本证书的， 仅按一个岗位计分， 不重复加分； 岗位人员缺配或证书材料不符合要求的， 该岗位不予计分。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售后运维服务硬性承诺</w:t>
            </w:r>
          </w:p>
        </w:tc>
        <w:tc>
          <w:tcPr>
            <w:tcW w:type="dxa" w:w="2492"/>
          </w:tcPr>
          <w:p>
            <w:pPr>
              <w:pStyle w:val="null3"/>
            </w:pPr>
            <w:r>
              <w:rPr>
                <w:rFonts w:ascii="仿宋_GB2312" w:hAnsi="仿宋_GB2312" w:cs="仿宋_GB2312" w:eastAsia="仿宋_GB2312"/>
              </w:rPr>
              <w:t>1.基础承诺：服务成果整体免费维保1年（满足采购需求标准）得2分；承诺免费维保 1 年及以上得3分；维保期低于1年本项0分； 2.报修响应承诺：接到甲方运维通知24小时内上门处置，提供终身优惠成本运维服务，完善承诺得2分，未承诺不得分。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贴合本项目实际、针对性强、落地可行的提出专业合理化建议（可围绕点位勘测优化、环线导视布局优化、现场施工服务优化、后期运维管护、文旅标识长效运营任意维度），匹配南郑乡村旅游东环线导视系统服务需求，每提供1条得3分，本项目最多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采购需求技术服务条款响应</w:t>
            </w:r>
          </w:p>
        </w:tc>
        <w:tc>
          <w:tcPr>
            <w:tcW w:type="dxa" w:w="2492"/>
          </w:tcPr>
          <w:p>
            <w:pPr>
              <w:pStyle w:val="null3"/>
            </w:pPr>
            <w:r>
              <w:rPr>
                <w:rFonts w:ascii="仿宋_GB2312" w:hAnsi="仿宋_GB2312" w:cs="仿宋_GB2312" w:eastAsia="仿宋_GB2312"/>
              </w:rPr>
              <w:t>根据采购需求技术服务条款响应情况打分 1.完全满足采购服务要求的，得分10分；2.标记"▲"为重要参数，每负偏离一小项扣0.5分，最多扣8分；3.无标识参数为一般参数，每负偏离一项扣0.2分，最多扣2分。注：以服务内容及服务要求应答表为准。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安装所需设备投入</w:t>
            </w:r>
          </w:p>
        </w:tc>
        <w:tc>
          <w:tcPr>
            <w:tcW w:type="dxa" w:w="2492"/>
          </w:tcPr>
          <w:p>
            <w:pPr>
              <w:pStyle w:val="null3"/>
            </w:pPr>
            <w:r>
              <w:rPr>
                <w:rFonts w:ascii="仿宋_GB2312" w:hAnsi="仿宋_GB2312" w:cs="仿宋_GB2312" w:eastAsia="仿宋_GB2312"/>
              </w:rPr>
              <w:t>供应商按需配置自有运输车辆、户外施工配套工具、设计制图设备，每提供一份车辆行驶证或设备实拍佐证材料计 3 分，该项满分 9 分。注：若车辆、机具、设备所有权归属企业，佐证材料需提供载有企业名称页的复印件；若所有权归属自然人，须同步提交权属材料复印件及对应租赁合同复印件。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供应商认为需要提交的其他材料.docx</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根据投标供应商提供的项目实施方案（①技术方案、②调查组织、③时间安排、④基础资料收集、⑤后勤保障措施），内容完整、符合项目实际情况得15分，每有一项缺项的扣3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项目实施方案.docx</w:t>
            </w:r>
          </w:p>
        </w:tc>
      </w:tr>
      <w:tr>
        <w:tc>
          <w:tcPr>
            <w:tcW w:type="dxa" w:w="831"/>
            <w:vMerge/>
          </w:tcPr>
          <w:p/>
        </w:tc>
        <w:tc>
          <w:tcPr>
            <w:tcW w:type="dxa" w:w="1661"/>
          </w:tcPr>
          <w:p>
            <w:pPr>
              <w:pStyle w:val="null3"/>
            </w:pPr>
            <w:r>
              <w:rPr>
                <w:rFonts w:ascii="仿宋_GB2312" w:hAnsi="仿宋_GB2312" w:cs="仿宋_GB2312" w:eastAsia="仿宋_GB2312"/>
              </w:rPr>
              <w:t>项目质量保障方案</w:t>
            </w:r>
          </w:p>
        </w:tc>
        <w:tc>
          <w:tcPr>
            <w:tcW w:type="dxa" w:w="2492"/>
          </w:tcPr>
          <w:p>
            <w:pPr>
              <w:pStyle w:val="null3"/>
            </w:pPr>
            <w:r>
              <w:rPr>
                <w:rFonts w:ascii="仿宋_GB2312" w:hAnsi="仿宋_GB2312" w:cs="仿宋_GB2312" w:eastAsia="仿宋_GB2312"/>
              </w:rPr>
              <w:t>根据投标供应商提供的项目质量保障方案（①服务措施、②质量保障措施③安全保证措施），内容完整、符合项目实际情况得15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项目质量保障方案.docx</w:t>
            </w:r>
          </w:p>
        </w:tc>
      </w:tr>
      <w:tr>
        <w:tc>
          <w:tcPr>
            <w:tcW w:type="dxa" w:w="831"/>
            <w:vMerge/>
          </w:tcPr>
          <w:p/>
        </w:tc>
        <w:tc>
          <w:tcPr>
            <w:tcW w:type="dxa" w:w="1661"/>
          </w:tcPr>
          <w:p>
            <w:pPr>
              <w:pStyle w:val="null3"/>
            </w:pPr>
            <w:r>
              <w:rPr>
                <w:rFonts w:ascii="仿宋_GB2312" w:hAnsi="仿宋_GB2312" w:cs="仿宋_GB2312" w:eastAsia="仿宋_GB2312"/>
              </w:rPr>
              <w:t>对本项目的理解与重难点分析</w:t>
            </w:r>
          </w:p>
        </w:tc>
        <w:tc>
          <w:tcPr>
            <w:tcW w:type="dxa" w:w="2492"/>
          </w:tcPr>
          <w:p>
            <w:pPr>
              <w:pStyle w:val="null3"/>
            </w:pPr>
            <w:r>
              <w:rPr>
                <w:rFonts w:ascii="仿宋_GB2312" w:hAnsi="仿宋_GB2312" w:cs="仿宋_GB2312" w:eastAsia="仿宋_GB2312"/>
              </w:rPr>
              <w:t>根据投标供应商对本项目的理解与重难点分析（①对项目的理解、认识及预期目标、②服务难点及解决方案），内容完整、符合项目实际情况得10分，每有一项缺项的扣5分，每有一处内容有缺陷的扣1分，扣完为止，未提供不得分。 注：缺陷是指存在不适用项目实际情况的情形、 凭空编造、内容前后不一致、前后逻辑错误、地点区域错误、与项目实施特点不匹配、描述简单、表述不清晰、内容不完整、常识性错误以及不可能实现的夸大情形等任意一种情况）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对本项目的理解与重难点分析.docx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供应商认为需要提交的其他材料.docx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 87 号）的有关规定 ： 价格分采用低价优先法计算，即满足磋商文件要求且投标价格最低的投标报价为评标基准价，其价格分为满分。其他供应商的价格分统一按照下列公式计算： 报价得分=（评标基准价/投标报价）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详见附件：对本项目的理解与重难点分析.docx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详见附件：项目实施方案.docx</w:t>
      </w:r>
    </w:p>
    <w:p>
      <w:pPr>
        <w:pStyle w:val="null3"/>
        <w:ind w:firstLine="960"/>
      </w:pPr>
      <w:r>
        <w:rPr>
          <w:rFonts w:ascii="仿宋_GB2312" w:hAnsi="仿宋_GB2312" w:cs="仿宋_GB2312" w:eastAsia="仿宋_GB2312"/>
        </w:rPr>
        <w:t>详见附件：供应商认为需要提交的其他材料.docx</w:t>
      </w:r>
    </w:p>
    <w:p>
      <w:pPr>
        <w:pStyle w:val="null3"/>
        <w:ind w:firstLine="960"/>
      </w:pPr>
      <w:r>
        <w:rPr>
          <w:rFonts w:ascii="仿宋_GB2312" w:hAnsi="仿宋_GB2312" w:cs="仿宋_GB2312" w:eastAsia="仿宋_GB2312"/>
        </w:rPr>
        <w:t>详见附件：项目质量保障方案.docx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