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34E4A3">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jc w:val="center"/>
        <w:textAlignment w:val="auto"/>
        <w:rPr>
          <w:rFonts w:hint="default" w:ascii="仿宋_GB2312" w:hAnsi="仿宋_GB2312" w:eastAsia="仿宋_GB2312" w:cs="仿宋_GB2312"/>
          <w:b/>
          <w:bCs/>
          <w:kern w:val="0"/>
          <w:sz w:val="30"/>
          <w:szCs w:val="30"/>
          <w:lang w:val="en-US" w:eastAsia="zh-CN"/>
        </w:rPr>
      </w:pPr>
      <w:r>
        <w:rPr>
          <w:rFonts w:hint="eastAsia" w:ascii="仿宋_GB2312" w:hAnsi="仿宋_GB2312" w:eastAsia="仿宋_GB2312" w:cs="仿宋_GB2312"/>
          <w:b/>
          <w:bCs/>
          <w:kern w:val="0"/>
          <w:sz w:val="30"/>
          <w:szCs w:val="30"/>
          <w:lang w:val="en-US" w:eastAsia="zh-CN"/>
        </w:rPr>
        <w:t>采购需求</w:t>
      </w:r>
    </w:p>
    <w:p w14:paraId="032000CF">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jc w:val="left"/>
        <w:textAlignment w:val="auto"/>
        <w:rPr>
          <w:rFonts w:hint="default" w:ascii="仿宋_GB2312" w:hAnsi="仿宋_GB2312" w:eastAsia="仿宋_GB2312" w:cs="仿宋_GB2312"/>
          <w:b/>
          <w:bCs/>
          <w:kern w:val="0"/>
          <w:sz w:val="20"/>
          <w:lang w:val="en-US" w:eastAsia="zh-CN"/>
        </w:rPr>
      </w:pPr>
      <w:r>
        <w:rPr>
          <w:rFonts w:hint="eastAsia" w:ascii="仿宋_GB2312" w:hAnsi="仿宋_GB2312" w:eastAsia="仿宋_GB2312" w:cs="仿宋_GB2312"/>
          <w:b/>
          <w:bCs/>
          <w:kern w:val="0"/>
          <w:sz w:val="20"/>
          <w:lang w:val="en-US" w:eastAsia="zh-CN"/>
        </w:rPr>
        <w:t>一、项目基本情况</w:t>
      </w:r>
    </w:p>
    <w:p w14:paraId="60DE983E">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kern w:val="0"/>
          <w:sz w:val="20"/>
          <w:lang w:val="en-US" w:eastAsia="zh-CN"/>
        </w:rPr>
      </w:pPr>
      <w:r>
        <w:rPr>
          <w:rFonts w:hint="eastAsia" w:ascii="仿宋_GB2312" w:hAnsi="仿宋_GB2312" w:eastAsia="仿宋_GB2312" w:cs="仿宋_GB2312"/>
          <w:kern w:val="0"/>
          <w:sz w:val="20"/>
          <w:lang w:val="en-US" w:eastAsia="zh-CN"/>
        </w:rPr>
        <w:t xml:space="preserve">（一）采购项目概况：以年度国土变更调查成果为基础，依据国家相关法律法规及政策文件，对因巩固脱贫攻坚成果和“三调”前占用耕地种树、种果、种茶等历史原因造成的耕地流失问题进行全面排查，按照“实事求是、分类施策、稳妥有序”的原则，对全区历史流失耕地进行分类处置，逐步消化存量、坚决遏制增量，切实守住耕地和永久基本农田保护红线和底线，保障国家粮食安全。 </w:t>
      </w:r>
    </w:p>
    <w:p w14:paraId="7007F308">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kern w:val="0"/>
          <w:sz w:val="20"/>
          <w:lang w:val="en-US" w:eastAsia="zh-CN"/>
        </w:rPr>
      </w:pPr>
      <w:r>
        <w:rPr>
          <w:rFonts w:hint="eastAsia" w:ascii="仿宋_GB2312" w:hAnsi="仿宋_GB2312" w:eastAsia="仿宋_GB2312" w:cs="仿宋_GB2312"/>
          <w:kern w:val="0"/>
          <w:sz w:val="20"/>
          <w:lang w:val="en-US" w:eastAsia="zh-CN"/>
        </w:rPr>
        <w:t xml:space="preserve">（二）采购项目实施必要性论述：耕地是保障国家粮食安全、支撑乡村振兴与区域发展的核心战略资源，严守耕地和永久基本农田保护红线是法定刚性职责。辖区现存“三调”前遗留的耕地种树、种果、种茶等非农化、非粮化流失存量问题，因成因复杂、底数不清，长期未得到系统整治，存在突破耕地保护红线风险，严重影响土地规范利用和国土空间规划落地。根据国家、省、市关于耕地保护及历史遗留问题整改的相关政策要求，需全面排查处置历史流失耕地、化解存量隐患、严控新增问题。通过开展长安区2025年耕地保护暨历史流失耕地分类处置工作，可精准摸清辖区历史流失耕地底数，规范开展分类处置，健全耕地长效监管机制，有效化解历史遗留问题，筑牢区域耕地保护与粮食安全底线。 </w:t>
      </w:r>
    </w:p>
    <w:p w14:paraId="3F23D365">
      <w:pPr>
        <w:pStyle w:val="2"/>
        <w:keepNext w:val="0"/>
        <w:keepLines w:val="0"/>
        <w:pageBreakBefore w:val="0"/>
        <w:widowControl/>
        <w:kinsoku/>
        <w:wordWrap/>
        <w:overflowPunct/>
        <w:topLinePunct w:val="0"/>
        <w:autoSpaceDE/>
        <w:autoSpaceDN/>
        <w:bidi w:val="0"/>
        <w:adjustRightInd w:val="0"/>
        <w:snapToGrid w:val="0"/>
        <w:spacing w:after="0" w:line="324" w:lineRule="auto"/>
        <w:ind w:firstLine="400" w:firstLineChars="200"/>
        <w:jc w:val="left"/>
        <w:textAlignment w:val="auto"/>
        <w:rPr>
          <w:rFonts w:hint="eastAsia" w:ascii="仿宋_GB2312" w:hAnsi="仿宋_GB2312" w:eastAsia="仿宋_GB2312" w:cs="仿宋_GB2312"/>
          <w:kern w:val="0"/>
          <w:sz w:val="20"/>
          <w:lang w:val="en-US" w:eastAsia="zh-CN"/>
        </w:rPr>
      </w:pPr>
      <w:r>
        <w:rPr>
          <w:rFonts w:hint="eastAsia" w:ascii="仿宋_GB2312" w:hAnsi="仿宋_GB2312" w:eastAsia="仿宋_GB2312" w:cs="仿宋_GB2312"/>
          <w:kern w:val="0"/>
          <w:sz w:val="20"/>
          <w:lang w:val="en-US" w:eastAsia="zh-CN"/>
        </w:rPr>
        <w:t>（三）采购项目实施依据：《永久基本农田保护红线管理办法》（自然资源部、农业农村部第17号令）、《自然资源部 国家林业和草原局关于优化年度国土变更规范调查成果应用的通知》（自然资发〔2025〕128号）、《自然资源部办公厅关于严肃开展耕地和永久基本农田划定成果核实处置工作的通知》（自然资办发〔2023〕25号）、《自然资源部关于在全国开展“三区三线”划定工作的函》（自然资办函〔2022〕47号）、《陕西省自然资源厅 陕西省农业农村厅关于建立全省永久基本农田储备库制度及有关工作的通知》（陕自然资发〔2025〕838号）、《陕西省自然资源厅关于做好建立永久基本农田储备库有关工作的通知》（陕自然资耕函〔2025〕899号）。</w:t>
      </w:r>
    </w:p>
    <w:p w14:paraId="30FA6774">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kern w:val="0"/>
          <w:sz w:val="20"/>
          <w:lang w:val="en-US" w:eastAsia="zh-CN"/>
        </w:rPr>
      </w:pPr>
      <w:r>
        <w:rPr>
          <w:rFonts w:hint="eastAsia" w:ascii="仿宋_GB2312" w:hAnsi="仿宋_GB2312" w:eastAsia="仿宋_GB2312" w:cs="仿宋_GB2312"/>
          <w:kern w:val="0"/>
          <w:sz w:val="20"/>
          <w:lang w:val="en-US" w:eastAsia="zh-CN"/>
        </w:rPr>
        <w:t>（四）采购项目需实现目标：一是对长安区耕地和永久基本农田保护现状进行全面摸底调查，精准核实流失地块位置、面积、成因及利用现状，建立详实准确的历史流失耕地台账；二是按照不低于“三区三线”划定永久基本农田保护目标1%的比例原则落实永久基本农田储备区划定工作，做好耕地潜力分析，合理测算长安区2025年度需划定永久基本农田储备区规模；三是按照自然资发〔2025〕128号文件明确的“认定一批、恢复一批、置换一批”的方式，针对“非粮化”“非农化”不同情形非耕地流失图斑，逐一进行研判，在确保完成2025年度耕地目标责任考核的前提下，编制长安区历史流失耕地分类处置方案。</w:t>
      </w:r>
    </w:p>
    <w:p w14:paraId="37D8A6EE">
      <w:pPr>
        <w:keepNext w:val="0"/>
        <w:keepLines w:val="0"/>
        <w:pageBreakBefore w:val="0"/>
        <w:widowControl/>
        <w:kinsoku/>
        <w:wordWrap/>
        <w:overflowPunct/>
        <w:topLinePunct w:val="0"/>
        <w:autoSpaceDE/>
        <w:autoSpaceDN/>
        <w:bidi w:val="0"/>
        <w:snapToGrid w:val="0"/>
        <w:spacing w:line="324" w:lineRule="auto"/>
        <w:jc w:val="left"/>
        <w:textAlignment w:val="auto"/>
        <w:rPr>
          <w:rFonts w:hint="eastAsia" w:ascii="仿宋_GB2312" w:hAnsi="仿宋_GB2312" w:eastAsia="仿宋_GB2312" w:cs="仿宋_GB2312"/>
          <w:b/>
          <w:bCs/>
          <w:kern w:val="0"/>
          <w:sz w:val="20"/>
          <w:lang w:val="en-US" w:eastAsia="zh-Hans"/>
        </w:rPr>
      </w:pPr>
      <w:r>
        <w:rPr>
          <w:rFonts w:hint="eastAsia" w:ascii="仿宋_GB2312" w:hAnsi="仿宋_GB2312" w:eastAsia="仿宋_GB2312" w:cs="仿宋_GB2312"/>
          <w:b/>
          <w:bCs/>
          <w:kern w:val="0"/>
          <w:sz w:val="20"/>
          <w:lang w:val="en-US" w:eastAsia="zh-Hans"/>
        </w:rPr>
        <w:t>二、主要技术依据</w:t>
      </w:r>
    </w:p>
    <w:p w14:paraId="3E132B75">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1、《永久基本农田保护红线管理办法》（自然资源部、农业农村部第17号令）</w:t>
      </w:r>
    </w:p>
    <w:p w14:paraId="64A91FFB">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2、《自然资源部 国家林业和草原局关于优化年度国土变更规范调查成果应用的通知》（自然资发〔2025〕128号）</w:t>
      </w:r>
    </w:p>
    <w:p w14:paraId="364FACF5">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3、《陕西省自然资源厅 陕西省农业农村厅关于建立全省永久基本农田储备库制度及有关工作的通知》（陕自然资发〔2025〕838号）</w:t>
      </w:r>
    </w:p>
    <w:p w14:paraId="218131C5">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4、《陕西省自然资源厅关于做好建立永久基本农田储备库有关工作的通知》（陕自然资耕函〔2025〕899号）。</w:t>
      </w:r>
    </w:p>
    <w:p w14:paraId="3EEE74ED">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jc w:val="left"/>
        <w:textAlignment w:val="auto"/>
        <w:rPr>
          <w:rFonts w:hint="eastAsia" w:ascii="仿宋_GB2312" w:hAnsi="仿宋_GB2312" w:eastAsia="仿宋_GB2312" w:cs="仿宋_GB2312"/>
          <w:b/>
          <w:bCs/>
          <w:color w:val="000000" w:themeColor="text1"/>
          <w:kern w:val="0"/>
          <w:sz w:val="20"/>
          <w:lang w:val="en-US" w:eastAsia="zh-CN"/>
          <w14:textFill>
            <w14:solidFill>
              <w14:schemeClr w14:val="tx1"/>
            </w14:solidFill>
          </w14:textFill>
        </w:rPr>
      </w:pPr>
      <w:r>
        <w:rPr>
          <w:rFonts w:hint="eastAsia" w:ascii="仿宋_GB2312" w:hAnsi="仿宋_GB2312" w:eastAsia="仿宋_GB2312" w:cs="仿宋_GB2312"/>
          <w:b/>
          <w:bCs/>
          <w:color w:val="000000" w:themeColor="text1"/>
          <w:kern w:val="0"/>
          <w:sz w:val="20"/>
          <w:lang w:val="en-US" w:eastAsia="zh-CN"/>
          <w14:textFill>
            <w14:solidFill>
              <w14:schemeClr w14:val="tx1"/>
            </w14:solidFill>
          </w14:textFill>
        </w:rPr>
        <w:t>三、成果要求</w:t>
      </w:r>
    </w:p>
    <w:p w14:paraId="2EE59359">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本项目成果严格按照国家及陕西省历史流失耕地分类处置相关政策标准编制，确保图、数、表、库、现场一致，满足县、市、省三级审核入库及验收要求，交付成果如下：</w:t>
      </w:r>
    </w:p>
    <w:p w14:paraId="75F30C82">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（一）长安区耕地和永久基本农田摸底调查成果</w:t>
      </w:r>
    </w:p>
    <w:p w14:paraId="416245B7">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1、长安区永久基本农田摸底数据库</w:t>
      </w:r>
    </w:p>
    <w:p w14:paraId="72195824">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包含永久基本农田摸底数据层（YJJBNTMDSJ）、永久基本农田保护图斑潜力数据层（YJJBNTBHQL）、耕地补充潜力数据层（GDBCQL）。</w:t>
      </w:r>
    </w:p>
    <w:p w14:paraId="5157550A">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2、长安区耕地和永久基本农田摸底数据表格</w:t>
      </w:r>
    </w:p>
    <w:p w14:paraId="51C4524D">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包含永久基本农田2024年数据库非耕地地块调整需求摸底表、永久基本农田2024年数据库耕地地块调整需求摸底表、耕地补充及永久基本农田补划潜力摸底表。</w:t>
      </w:r>
    </w:p>
    <w:p w14:paraId="59B7BF03">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3、长安区耕地和永久基本农田摸底分布图</w:t>
      </w:r>
    </w:p>
    <w:p w14:paraId="5D38547E">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包含长安区耕地和永久基本农田流失现状图、一般耕地置换潜力图。</w:t>
      </w:r>
    </w:p>
    <w:p w14:paraId="5B4899D2">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4、长安区耕地和永久基本农田摸底分析报告。</w:t>
      </w:r>
    </w:p>
    <w:p w14:paraId="5CFB6BB9">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（二）长安区永久基本农田储备区划定成果</w:t>
      </w:r>
    </w:p>
    <w:p w14:paraId="15E0C3BD">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1、长安区永久基本农田储备库建立文字报告</w:t>
      </w:r>
    </w:p>
    <w:p w14:paraId="6F82D577">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包含长安区永久基本农田储备库建立方案、长安区永久基本农田储备库成果自检报告、长安区建立永久基本农田储备库工作总结报告。</w:t>
      </w:r>
    </w:p>
    <w:p w14:paraId="193CE010">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2、长安区永久基本农田储备库图表成果</w:t>
      </w:r>
    </w:p>
    <w:p w14:paraId="416E71E7">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包含长安区永久基本农田储备库分类型统计表、长安区永久基本农田储备区分布图。</w:t>
      </w:r>
    </w:p>
    <w:p w14:paraId="63C5D2C3">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3、长安区永久基本农田储备区数据库；</w:t>
      </w:r>
    </w:p>
    <w:p w14:paraId="35CB5307">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4、其他举证材料。</w:t>
      </w:r>
    </w:p>
    <w:p w14:paraId="46C24163">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（三）长安区历史流失耕地分类处置成果</w:t>
      </w:r>
    </w:p>
    <w:p w14:paraId="136B3D29">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1、长安区历史流失耕地分类处置台账；</w:t>
      </w:r>
    </w:p>
    <w:p w14:paraId="256B4CC5">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2、长安区历史流失耕地分类处置数据库；</w:t>
      </w:r>
    </w:p>
    <w:p w14:paraId="2AC7430D">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rFonts w:hint="eastAsia" w:ascii="仿宋_GB2312" w:hAnsi="仿宋_GB2312" w:eastAsia="仿宋_GB2312" w:cs="仿宋_GB2312"/>
          <w:color w:val="auto"/>
          <w:kern w:val="0"/>
          <w:sz w:val="20"/>
          <w:lang w:val="en-US" w:eastAsia="zh-CN"/>
        </w:rPr>
      </w:pPr>
      <w:r>
        <w:rPr>
          <w:rFonts w:hint="eastAsia" w:ascii="仿宋_GB2312" w:hAnsi="仿宋_GB2312" w:eastAsia="仿宋_GB2312" w:cs="仿宋_GB2312"/>
          <w:color w:val="auto"/>
          <w:kern w:val="0"/>
          <w:sz w:val="20"/>
          <w:lang w:val="en-US" w:eastAsia="zh-CN"/>
        </w:rPr>
        <w:t>3、长安区历史流失耕地分类处置分布图；</w:t>
      </w:r>
    </w:p>
    <w:p w14:paraId="67ED7B07">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both"/>
        <w:textAlignment w:val="auto"/>
        <w:rPr>
          <w:color w:val="auto"/>
          <w:spacing w:val="-2"/>
          <w:lang w:eastAsia="zh-CN"/>
        </w:rPr>
      </w:pPr>
      <w:r>
        <w:rPr>
          <w:rFonts w:hint="eastAsia" w:ascii="仿宋_GB2312" w:hAnsi="仿宋_GB2312" w:eastAsia="仿宋_GB2312" w:cs="仿宋_GB2312"/>
          <w:color w:val="auto"/>
          <w:kern w:val="0"/>
          <w:sz w:val="20"/>
          <w:lang w:val="en-US" w:eastAsia="zh-CN"/>
        </w:rPr>
        <w:t>4、长安区历史流失耕地分类处置方案。</w:t>
      </w:r>
    </w:p>
    <w:p w14:paraId="336B0521">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jc w:val="left"/>
        <w:textAlignment w:val="auto"/>
        <w:rPr>
          <w:rFonts w:hint="eastAsia" w:ascii="仿宋_GB2312" w:hAnsi="仿宋_GB2312" w:eastAsia="仿宋_GB2312" w:cs="仿宋_GB2312"/>
          <w:b/>
          <w:bCs/>
          <w:kern w:val="0"/>
          <w:sz w:val="20"/>
          <w:lang w:val="en-US" w:eastAsia="zh-CN"/>
        </w:rPr>
      </w:pPr>
      <w:r>
        <w:rPr>
          <w:rFonts w:hint="eastAsia" w:ascii="仿宋_GB2312" w:hAnsi="仿宋_GB2312" w:eastAsia="仿宋_GB2312" w:cs="仿宋_GB2312"/>
          <w:b/>
          <w:bCs/>
          <w:kern w:val="0"/>
          <w:sz w:val="20"/>
          <w:lang w:val="en-US" w:eastAsia="zh-CN"/>
        </w:rPr>
        <w:t>四、其他要求</w:t>
      </w:r>
      <w:bookmarkStart w:id="0" w:name="_GoBack"/>
      <w:bookmarkEnd w:id="0"/>
    </w:p>
    <w:p w14:paraId="4649334F">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b w:val="0"/>
          <w:bCs w:val="0"/>
          <w:kern w:val="0"/>
          <w:sz w:val="20"/>
          <w:lang w:val="en-US" w:eastAsia="zh-CN"/>
        </w:rPr>
      </w:pPr>
      <w:r>
        <w:rPr>
          <w:rFonts w:hint="eastAsia" w:ascii="仿宋_GB2312" w:hAnsi="仿宋_GB2312" w:eastAsia="仿宋_GB2312" w:cs="仿宋_GB2312"/>
          <w:b w:val="0"/>
          <w:bCs w:val="0"/>
          <w:kern w:val="0"/>
          <w:sz w:val="20"/>
          <w:lang w:val="en-US" w:eastAsia="zh-CN"/>
        </w:rPr>
        <w:t>（1）质量要求：符合要求和标准规范。</w:t>
      </w:r>
    </w:p>
    <w:p w14:paraId="02553599">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b w:val="0"/>
          <w:bCs w:val="0"/>
          <w:kern w:val="0"/>
          <w:sz w:val="20"/>
          <w:lang w:val="en-US" w:eastAsia="zh-CN"/>
        </w:rPr>
      </w:pPr>
      <w:r>
        <w:rPr>
          <w:rFonts w:hint="eastAsia" w:ascii="仿宋_GB2312" w:hAnsi="仿宋_GB2312" w:eastAsia="仿宋_GB2312" w:cs="仿宋_GB2312"/>
          <w:b w:val="0"/>
          <w:bCs w:val="0"/>
          <w:kern w:val="0"/>
          <w:sz w:val="20"/>
          <w:lang w:val="en-US" w:eastAsia="zh-CN"/>
        </w:rPr>
        <w:t>（2）服务期：自合同签订之日起60天内完成。</w:t>
      </w:r>
    </w:p>
    <w:p w14:paraId="2D644E77">
      <w:pPr>
        <w:keepNext w:val="0"/>
        <w:keepLines w:val="0"/>
        <w:pageBreakBefore w:val="0"/>
        <w:widowControl/>
        <w:numPr>
          <w:ilvl w:val="0"/>
          <w:numId w:val="0"/>
        </w:numPr>
        <w:kinsoku/>
        <w:wordWrap/>
        <w:overflowPunct/>
        <w:topLinePunct w:val="0"/>
        <w:autoSpaceDE/>
        <w:autoSpaceDN/>
        <w:bidi w:val="0"/>
        <w:adjustRightInd w:val="0"/>
        <w:snapToGrid w:val="0"/>
        <w:spacing w:line="324" w:lineRule="auto"/>
        <w:ind w:firstLine="400" w:firstLineChars="200"/>
        <w:jc w:val="left"/>
        <w:textAlignment w:val="auto"/>
        <w:rPr>
          <w:rFonts w:hint="eastAsia" w:ascii="仿宋_GB2312" w:hAnsi="仿宋_GB2312" w:eastAsia="仿宋_GB2312" w:cs="仿宋_GB2312"/>
          <w:b w:val="0"/>
          <w:bCs w:val="0"/>
          <w:kern w:val="0"/>
          <w:sz w:val="20"/>
          <w:lang w:val="en-US" w:eastAsia="zh-CN"/>
        </w:rPr>
      </w:pPr>
      <w:r>
        <w:rPr>
          <w:rFonts w:hint="eastAsia" w:ascii="仿宋_GB2312" w:hAnsi="仿宋_GB2312" w:eastAsia="仿宋_GB2312" w:cs="仿宋_GB2312"/>
          <w:b w:val="0"/>
          <w:bCs w:val="0"/>
          <w:kern w:val="0"/>
          <w:sz w:val="20"/>
          <w:lang w:val="en-US" w:eastAsia="zh-CN"/>
        </w:rPr>
        <w:t>（3）履约验收标准：按照国家、省、市相关规定，提交的所有资料必须符合相关规定及上报要求。</w:t>
      </w:r>
    </w:p>
    <w:p w14:paraId="5423630C">
      <w:pPr>
        <w:keepNext w:val="0"/>
        <w:keepLines w:val="0"/>
        <w:pageBreakBefore w:val="0"/>
        <w:widowControl/>
        <w:kinsoku/>
        <w:wordWrap/>
        <w:overflowPunct/>
        <w:topLinePunct w:val="0"/>
        <w:autoSpaceDE/>
        <w:autoSpaceDN/>
        <w:bidi w:val="0"/>
        <w:snapToGrid w:val="0"/>
        <w:spacing w:line="324" w:lineRule="auto"/>
        <w:ind w:firstLine="400" w:firstLineChars="200"/>
        <w:textAlignment w:val="auto"/>
      </w:pPr>
      <w:r>
        <w:rPr>
          <w:rFonts w:hint="eastAsia" w:ascii="仿宋_GB2312" w:hAnsi="仿宋_GB2312" w:eastAsia="仿宋_GB2312" w:cs="仿宋_GB2312"/>
          <w:b w:val="0"/>
          <w:bCs w:val="0"/>
          <w:kern w:val="0"/>
          <w:sz w:val="20"/>
          <w:lang w:val="en-US" w:eastAsia="zh-CN"/>
        </w:rPr>
        <w:t>（4）履约验收时间：按照国家、省、市相关规定，提交的所有资料必须符合相关规定及上报要求后进行验收。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7D049C"/>
    <w:rsid w:val="6F7D0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0"/>
      <w:sz w:val="2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2026-07-21T09:14:00Z</dcterms:created>
  <dc:creator> Are you crazy？</dc:creator>
  <cp:lastModifiedBy> Are you crazy？</cp:lastModifiedBy>
  <cp:lastPrinted>2026-07-21T09:15:52Z</cp:lastPrinted>
  <dcterms:modified xsi:type="dcterms:W3CDTF">2026-07-21T09:16:54Z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1E9FDE7D5B5A41EFB79348C8FA1E9C51_11</vt:lpwstr>
  </property>
  <property fmtid="{D5CDD505-2E9C-101B-9397-08002B2CF9AE}" pid="4" name="KSOTemplateDocerSaveRecord">
    <vt:lpwstr>eyJoZGlkIjoiMTczNWNjYWQ2MjE5OGRjMzNiZDE2NjA0YzljZjI1MzMiLCJ1c2VySWQiOiI5ODczNjQzNTgifQ==</vt:lpwstr>
  </property>
</Properties>
</file>