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764FE" w14:textId="4789101A" w:rsidR="005216DC" w:rsidRPr="00422153" w:rsidRDefault="005216DC" w:rsidP="005216DC">
      <w:pPr>
        <w:spacing w:line="360" w:lineRule="auto"/>
        <w:jc w:val="center"/>
        <w:rPr>
          <w:rFonts w:ascii="宋体" w:eastAsia="宋体" w:hAnsi="宋体" w:hint="eastAsia"/>
          <w:b/>
          <w:bCs/>
          <w:sz w:val="30"/>
          <w:szCs w:val="30"/>
        </w:rPr>
      </w:pPr>
      <w:r w:rsidRPr="00422153">
        <w:rPr>
          <w:rFonts w:ascii="宋体" w:eastAsia="宋体" w:hAnsi="宋体" w:hint="eastAsia"/>
          <w:b/>
          <w:bCs/>
          <w:sz w:val="30"/>
          <w:szCs w:val="30"/>
        </w:rPr>
        <w:t>设计说明</w:t>
      </w:r>
    </w:p>
    <w:p w14:paraId="585A54F7"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一、工程概况</w:t>
      </w:r>
    </w:p>
    <w:p w14:paraId="1C7A68C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1、建设单位</w:t>
      </w:r>
      <w:r w:rsidRPr="00422153">
        <w:rPr>
          <w:rFonts w:ascii="宋体" w:eastAsia="宋体" w:hAnsi="宋体" w:hint="eastAsia"/>
          <w:sz w:val="24"/>
          <w:szCs w:val="24"/>
        </w:rPr>
        <w:t>：</w:t>
      </w:r>
      <w:r w:rsidRPr="00422153">
        <w:rPr>
          <w:rFonts w:ascii="宋体" w:eastAsia="宋体" w:hAnsi="宋体"/>
          <w:sz w:val="24"/>
          <w:szCs w:val="24"/>
        </w:rPr>
        <w:t>八路军西安办事处纪念馆</w:t>
      </w:r>
    </w:p>
    <w:p w14:paraId="1F11E34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2、建设地点</w:t>
      </w:r>
      <w:r w:rsidRPr="00422153">
        <w:rPr>
          <w:rFonts w:ascii="宋体" w:eastAsia="宋体" w:hAnsi="宋体" w:hint="eastAsia"/>
          <w:sz w:val="24"/>
          <w:szCs w:val="24"/>
        </w:rPr>
        <w:t>：西安市北新街七贤庄一号</w:t>
      </w:r>
    </w:p>
    <w:p w14:paraId="0C49A80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3、总占地面积</w:t>
      </w:r>
      <w:r w:rsidRPr="00422153">
        <w:rPr>
          <w:rFonts w:ascii="宋体" w:eastAsia="宋体" w:hAnsi="宋体" w:hint="eastAsia"/>
          <w:sz w:val="24"/>
          <w:szCs w:val="24"/>
        </w:rPr>
        <w:t>：</w:t>
      </w:r>
      <w:r w:rsidRPr="00422153">
        <w:rPr>
          <w:rFonts w:ascii="宋体" w:eastAsia="宋体" w:hAnsi="宋体"/>
          <w:sz w:val="24"/>
          <w:szCs w:val="24"/>
        </w:rPr>
        <w:t>13600m2</w:t>
      </w:r>
      <w:r w:rsidRPr="00422153">
        <w:rPr>
          <w:rFonts w:ascii="宋体" w:eastAsia="宋体" w:hAnsi="宋体" w:hint="eastAsia"/>
          <w:sz w:val="24"/>
          <w:szCs w:val="24"/>
        </w:rPr>
        <w:t>；</w:t>
      </w:r>
      <w:r w:rsidRPr="00422153">
        <w:rPr>
          <w:rFonts w:ascii="宋体" w:eastAsia="宋体" w:hAnsi="宋体"/>
          <w:sz w:val="24"/>
          <w:szCs w:val="24"/>
        </w:rPr>
        <w:t>建筑高度</w:t>
      </w:r>
      <w:r w:rsidRPr="00422153">
        <w:rPr>
          <w:rFonts w:ascii="宋体" w:eastAsia="宋体" w:hAnsi="宋体" w:hint="eastAsia"/>
          <w:sz w:val="24"/>
          <w:szCs w:val="24"/>
        </w:rPr>
        <w:t>：</w:t>
      </w:r>
      <w:r w:rsidRPr="00422153">
        <w:rPr>
          <w:rFonts w:ascii="宋体" w:eastAsia="宋体" w:hAnsi="宋体"/>
          <w:sz w:val="24"/>
          <w:szCs w:val="24"/>
        </w:rPr>
        <w:t>5.1m</w:t>
      </w:r>
      <w:r w:rsidRPr="00422153">
        <w:rPr>
          <w:rFonts w:ascii="宋体" w:eastAsia="宋体" w:hAnsi="宋体" w:hint="eastAsia"/>
          <w:sz w:val="24"/>
          <w:szCs w:val="24"/>
        </w:rPr>
        <w:t>；</w:t>
      </w:r>
      <w:r w:rsidRPr="00422153">
        <w:rPr>
          <w:rFonts w:ascii="宋体" w:eastAsia="宋体" w:hAnsi="宋体"/>
          <w:sz w:val="24"/>
          <w:szCs w:val="24"/>
        </w:rPr>
        <w:t>建筑层数</w:t>
      </w:r>
      <w:r w:rsidRPr="00422153">
        <w:rPr>
          <w:rFonts w:ascii="宋体" w:eastAsia="宋体" w:hAnsi="宋体" w:hint="eastAsia"/>
          <w:sz w:val="24"/>
          <w:szCs w:val="24"/>
        </w:rPr>
        <w:t>：</w:t>
      </w:r>
      <w:r w:rsidRPr="00422153">
        <w:rPr>
          <w:rFonts w:ascii="宋体" w:eastAsia="宋体" w:hAnsi="宋体"/>
          <w:sz w:val="24"/>
          <w:szCs w:val="24"/>
        </w:rPr>
        <w:t>地上一层。建筑性质</w:t>
      </w:r>
      <w:r w:rsidRPr="00422153">
        <w:rPr>
          <w:rFonts w:ascii="宋体" w:eastAsia="宋体" w:hAnsi="宋体" w:hint="eastAsia"/>
          <w:sz w:val="24"/>
          <w:szCs w:val="24"/>
        </w:rPr>
        <w:t>：单层公共建筑，局部有地下室。</w:t>
      </w:r>
    </w:p>
    <w:p w14:paraId="00BF46E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二、设计依据</w:t>
      </w:r>
    </w:p>
    <w:p w14:paraId="4510785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1、国家现行的主要规范、规程及相关行业标准：</w:t>
      </w:r>
    </w:p>
    <w:p w14:paraId="23E4983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《中华人民共和国文物保护法》</w:t>
      </w:r>
    </w:p>
    <w:p w14:paraId="13AF49C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《关于加强全园重点文物保护单位防护工程申报审批与管理工作的通知》</w:t>
      </w:r>
      <w:proofErr w:type="gramStart"/>
      <w:r w:rsidRPr="00422153">
        <w:rPr>
          <w:rFonts w:ascii="宋体" w:eastAsia="宋体" w:hAnsi="宋体"/>
          <w:sz w:val="24"/>
          <w:szCs w:val="24"/>
        </w:rPr>
        <w:t>(文物</w:t>
      </w:r>
      <w:proofErr w:type="gramEnd"/>
      <w:r w:rsidRPr="00422153">
        <w:rPr>
          <w:rFonts w:ascii="宋体" w:eastAsia="宋体" w:hAnsi="宋体"/>
          <w:sz w:val="24"/>
          <w:szCs w:val="24"/>
        </w:rPr>
        <w:t xml:space="preserve">督发【2014】37 </w:t>
      </w:r>
      <w:proofErr w:type="gramStart"/>
      <w:r w:rsidRPr="00422153">
        <w:rPr>
          <w:rFonts w:ascii="宋体" w:eastAsia="宋体" w:hAnsi="宋体"/>
          <w:sz w:val="24"/>
          <w:szCs w:val="24"/>
        </w:rPr>
        <w:t>号)</w:t>
      </w:r>
      <w:proofErr w:type="gramEnd"/>
    </w:p>
    <w:p w14:paraId="46AEE137"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《关于印发</w:t>
      </w:r>
      <w:proofErr w:type="gramStart"/>
      <w:r w:rsidRPr="00422153">
        <w:rPr>
          <w:rFonts w:ascii="宋体" w:eastAsia="宋体" w:hAnsi="宋体"/>
          <w:sz w:val="24"/>
          <w:szCs w:val="24"/>
        </w:rPr>
        <w:t>&lt;文物</w:t>
      </w:r>
      <w:proofErr w:type="gramEnd"/>
      <w:r w:rsidRPr="00422153">
        <w:rPr>
          <w:rFonts w:ascii="宋体" w:eastAsia="宋体" w:hAnsi="宋体"/>
          <w:sz w:val="24"/>
          <w:szCs w:val="24"/>
        </w:rPr>
        <w:t>建筑防火设计导则</w:t>
      </w:r>
      <w:proofErr w:type="gramStart"/>
      <w:r w:rsidRPr="00422153">
        <w:rPr>
          <w:rFonts w:ascii="宋体" w:eastAsia="宋体" w:hAnsi="宋体"/>
          <w:sz w:val="24"/>
          <w:szCs w:val="24"/>
        </w:rPr>
        <w:t>(试行)</w:t>
      </w:r>
      <w:proofErr w:type="gramEnd"/>
      <w:r w:rsidRPr="00422153">
        <w:rPr>
          <w:rFonts w:ascii="宋体" w:eastAsia="宋体" w:hAnsi="宋体"/>
          <w:sz w:val="24"/>
          <w:szCs w:val="24"/>
        </w:rPr>
        <w:t>&gt;的通知》</w:t>
      </w:r>
      <w:proofErr w:type="gramStart"/>
      <w:r w:rsidRPr="00422153">
        <w:rPr>
          <w:rFonts w:ascii="宋体" w:eastAsia="宋体" w:hAnsi="宋体"/>
          <w:sz w:val="24"/>
          <w:szCs w:val="24"/>
        </w:rPr>
        <w:t>(文物</w:t>
      </w:r>
      <w:proofErr w:type="gramEnd"/>
      <w:r w:rsidRPr="00422153">
        <w:rPr>
          <w:rFonts w:ascii="宋体" w:eastAsia="宋体" w:hAnsi="宋体"/>
          <w:sz w:val="24"/>
          <w:szCs w:val="24"/>
        </w:rPr>
        <w:t>督发【2015】371号)</w:t>
      </w:r>
    </w:p>
    <w:p w14:paraId="3E02C71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《八路军西安办事处纪念馆电气线路改造工程立项的批复意见》</w:t>
      </w:r>
    </w:p>
    <w:p w14:paraId="0B9D45A2"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《八路军西安办事处纪念馆电气线路改造工程设计任务书》</w:t>
      </w:r>
    </w:p>
    <w:p w14:paraId="2B84FDC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《民用建筑电气设计标准》</w:t>
      </w:r>
      <w:r w:rsidRPr="00422153">
        <w:rPr>
          <w:rFonts w:ascii="宋体" w:eastAsia="宋体" w:hAnsi="宋体"/>
          <w:sz w:val="24"/>
          <w:szCs w:val="24"/>
        </w:rPr>
        <w:t>GB51348-2019</w:t>
      </w:r>
    </w:p>
    <w:p w14:paraId="28081E99"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《低压配电设计规范》</w:t>
      </w:r>
      <w:r w:rsidRPr="00422153">
        <w:rPr>
          <w:rFonts w:ascii="宋体" w:eastAsia="宋体" w:hAnsi="宋体"/>
          <w:sz w:val="24"/>
          <w:szCs w:val="24"/>
        </w:rPr>
        <w:t>GB50054-2011</w:t>
      </w:r>
    </w:p>
    <w:p w14:paraId="5A8A979E"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《供配电系统设计规范》</w:t>
      </w:r>
      <w:r w:rsidRPr="00422153">
        <w:rPr>
          <w:rFonts w:ascii="宋体" w:eastAsia="宋体" w:hAnsi="宋体"/>
          <w:sz w:val="24"/>
          <w:szCs w:val="24"/>
        </w:rPr>
        <w:t xml:space="preserve"> GB50052-2009</w:t>
      </w:r>
    </w:p>
    <w:p w14:paraId="11E75F8B"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《建筑照明设计标准》</w:t>
      </w:r>
      <w:r w:rsidRPr="00422153">
        <w:rPr>
          <w:rFonts w:ascii="宋体" w:eastAsia="宋体" w:hAnsi="宋体"/>
          <w:sz w:val="24"/>
          <w:szCs w:val="24"/>
        </w:rPr>
        <w:t xml:space="preserve"> GB50034-2013</w:t>
      </w:r>
    </w:p>
    <w:p w14:paraId="7449147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《通用用电设备配电设计规范》</w:t>
      </w:r>
      <w:r w:rsidRPr="00422153">
        <w:rPr>
          <w:rFonts w:ascii="宋体" w:eastAsia="宋体" w:hAnsi="宋体"/>
          <w:sz w:val="24"/>
          <w:szCs w:val="24"/>
        </w:rPr>
        <w:t>GB 50055-2011</w:t>
      </w:r>
    </w:p>
    <w:p w14:paraId="32A3D3B5"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《建筑设计防火规范》</w:t>
      </w:r>
      <w:r w:rsidRPr="00422153">
        <w:rPr>
          <w:rFonts w:ascii="宋体" w:eastAsia="宋体" w:hAnsi="宋体"/>
          <w:sz w:val="24"/>
          <w:szCs w:val="24"/>
        </w:rPr>
        <w:t xml:space="preserve"> GB50016-2014（2018版）</w:t>
      </w:r>
    </w:p>
    <w:p w14:paraId="51FD879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《民用建筑设计统一标准》</w:t>
      </w:r>
      <w:r w:rsidRPr="00422153">
        <w:rPr>
          <w:rFonts w:ascii="宋体" w:eastAsia="宋体" w:hAnsi="宋体"/>
          <w:sz w:val="24"/>
          <w:szCs w:val="24"/>
        </w:rPr>
        <w:t>GB 50352-2019</w:t>
      </w:r>
    </w:p>
    <w:p w14:paraId="0646A417"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《电力工程电缆设计标准》</w:t>
      </w:r>
      <w:r w:rsidRPr="00422153">
        <w:rPr>
          <w:rFonts w:ascii="宋体" w:eastAsia="宋体" w:hAnsi="宋体"/>
          <w:sz w:val="24"/>
          <w:szCs w:val="24"/>
        </w:rPr>
        <w:t xml:space="preserve"> GB50217-2018</w:t>
      </w:r>
    </w:p>
    <w:p w14:paraId="5F11B4B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《建筑电气与智能化通用规范》</w:t>
      </w:r>
      <w:r w:rsidRPr="00422153">
        <w:rPr>
          <w:rFonts w:ascii="宋体" w:eastAsia="宋体" w:hAnsi="宋体"/>
          <w:sz w:val="24"/>
          <w:szCs w:val="24"/>
        </w:rPr>
        <w:t xml:space="preserve"> GB 55024-2022</w:t>
      </w:r>
    </w:p>
    <w:p w14:paraId="454F7AD8"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建设单位提供的设计任务书及设计要求</w:t>
      </w:r>
      <w:r w:rsidRPr="00422153">
        <w:rPr>
          <w:rFonts w:ascii="宋体" w:eastAsia="宋体" w:hAnsi="宋体" w:hint="eastAsia"/>
          <w:sz w:val="24"/>
          <w:szCs w:val="24"/>
        </w:rPr>
        <w:t>。</w:t>
      </w:r>
    </w:p>
    <w:p w14:paraId="1528958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w:t>
      </w:r>
      <w:r w:rsidRPr="00422153">
        <w:rPr>
          <w:rFonts w:ascii="宋体" w:eastAsia="宋体" w:hAnsi="宋体" w:hint="eastAsia"/>
          <w:sz w:val="24"/>
          <w:szCs w:val="24"/>
        </w:rPr>
        <w:t>、</w:t>
      </w:r>
      <w:r w:rsidRPr="00422153">
        <w:rPr>
          <w:rFonts w:ascii="宋体" w:eastAsia="宋体" w:hAnsi="宋体"/>
          <w:sz w:val="24"/>
          <w:szCs w:val="24"/>
        </w:rPr>
        <w:t>本工程建筑、结构、给排水、暖通专业提供的设计资料。</w:t>
      </w:r>
    </w:p>
    <w:p w14:paraId="50FDF6F9"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三、设计范围</w:t>
      </w:r>
    </w:p>
    <w:p w14:paraId="39F88380"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w:t>
      </w:r>
      <w:r w:rsidRPr="00422153">
        <w:rPr>
          <w:rFonts w:ascii="宋体" w:eastAsia="宋体" w:hAnsi="宋体" w:hint="eastAsia"/>
          <w:sz w:val="24"/>
          <w:szCs w:val="24"/>
        </w:rPr>
        <w:t>、</w:t>
      </w:r>
      <w:r w:rsidRPr="00422153">
        <w:rPr>
          <w:rFonts w:ascii="宋体" w:eastAsia="宋体" w:hAnsi="宋体"/>
          <w:sz w:val="24"/>
          <w:szCs w:val="24"/>
        </w:rPr>
        <w:t>本工程设计包括本楼以下电气系统：</w:t>
      </w:r>
    </w:p>
    <w:p w14:paraId="0DD9A590"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1）办事处馆内展示区和办公区配电系统</w:t>
      </w:r>
    </w:p>
    <w:p w14:paraId="71B1338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lastRenderedPageBreak/>
        <w:t>（2）馆内展示区和办公区照明系统</w:t>
      </w:r>
    </w:p>
    <w:p w14:paraId="3613381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（3）馆内展示区和办公区室外电力线路归置</w:t>
      </w:r>
    </w:p>
    <w:p w14:paraId="1A5C5122"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（4）馆内展示区和办公区室外弱电线路归置</w:t>
      </w:r>
    </w:p>
    <w:p w14:paraId="62A1395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5）更换办事处馆内1~10号院南院AL</w:t>
      </w:r>
      <w:r w:rsidRPr="00422153">
        <w:rPr>
          <w:rFonts w:ascii="宋体" w:eastAsia="宋体" w:hAnsi="宋体" w:hint="eastAsia"/>
          <w:sz w:val="24"/>
          <w:szCs w:val="24"/>
        </w:rPr>
        <w:t>1</w:t>
      </w:r>
      <w:r w:rsidRPr="00422153">
        <w:rPr>
          <w:rFonts w:ascii="宋体" w:eastAsia="宋体" w:hAnsi="宋体"/>
          <w:sz w:val="24"/>
          <w:szCs w:val="24"/>
        </w:rPr>
        <w:t>~AL</w:t>
      </w:r>
      <w:r w:rsidRPr="00422153">
        <w:rPr>
          <w:rFonts w:ascii="宋体" w:eastAsia="宋体" w:hAnsi="宋体" w:hint="eastAsia"/>
          <w:sz w:val="24"/>
          <w:szCs w:val="24"/>
        </w:rPr>
        <w:t>7</w:t>
      </w:r>
      <w:r w:rsidRPr="00422153">
        <w:rPr>
          <w:rFonts w:ascii="宋体" w:eastAsia="宋体" w:hAnsi="宋体"/>
          <w:sz w:val="24"/>
          <w:szCs w:val="24"/>
        </w:rPr>
        <w:t>配电箱至低压配电室上线线缆，采用穿管埋地敷设方式。</w:t>
      </w:r>
    </w:p>
    <w:p w14:paraId="5E220DC8"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6）</w:t>
      </w:r>
      <w:r>
        <w:rPr>
          <w:rFonts w:ascii="宋体" w:eastAsia="宋体" w:hAnsi="宋体" w:hint="eastAsia"/>
          <w:sz w:val="24"/>
          <w:szCs w:val="24"/>
        </w:rPr>
        <w:t>2~6号院北</w:t>
      </w:r>
      <w:r w:rsidRPr="00422153">
        <w:rPr>
          <w:rFonts w:ascii="宋体" w:eastAsia="宋体" w:hAnsi="宋体"/>
          <w:sz w:val="24"/>
          <w:szCs w:val="24"/>
        </w:rPr>
        <w:t>只更换</w:t>
      </w:r>
      <w:r w:rsidRPr="00422153">
        <w:rPr>
          <w:rFonts w:ascii="宋体" w:eastAsia="宋体" w:hAnsi="宋体" w:hint="eastAsia"/>
          <w:sz w:val="24"/>
          <w:szCs w:val="24"/>
        </w:rPr>
        <w:t>N</w:t>
      </w:r>
      <w:r w:rsidRPr="00422153">
        <w:rPr>
          <w:rFonts w:ascii="宋体" w:eastAsia="宋体" w:hAnsi="宋体"/>
          <w:sz w:val="24"/>
          <w:szCs w:val="24"/>
        </w:rPr>
        <w:t>AL2~</w:t>
      </w:r>
      <w:r w:rsidRPr="00422153">
        <w:rPr>
          <w:rFonts w:ascii="宋体" w:eastAsia="宋体" w:hAnsi="宋体" w:hint="eastAsia"/>
          <w:sz w:val="24"/>
          <w:szCs w:val="24"/>
        </w:rPr>
        <w:t>N</w:t>
      </w:r>
      <w:r w:rsidRPr="00422153">
        <w:rPr>
          <w:rFonts w:ascii="宋体" w:eastAsia="宋体" w:hAnsi="宋体"/>
          <w:sz w:val="24"/>
          <w:szCs w:val="24"/>
        </w:rPr>
        <w:t>AL6配电箱，施工单位按照原有配电箱一对一匹配去更换，此处不做设计。</w:t>
      </w:r>
    </w:p>
    <w:p w14:paraId="5B77948F"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与其它专业设计的范围分工：</w:t>
      </w:r>
    </w:p>
    <w:p w14:paraId="158B292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基于现场情况复杂，施工中现场电缆拆除、配管拆除、弱电线缆归置规范工艺需要的桥架，根据实际情况按现场最终完成量找相关单位确定工程量，本次设计对工程量仅作估算，具体工程量以实际发生为准</w:t>
      </w:r>
      <w:r w:rsidRPr="00422153">
        <w:rPr>
          <w:rFonts w:ascii="宋体" w:eastAsia="宋体" w:hAnsi="宋体"/>
          <w:sz w:val="24"/>
          <w:szCs w:val="24"/>
        </w:rPr>
        <w:t>。</w:t>
      </w:r>
    </w:p>
    <w:p w14:paraId="16B6E35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四、电力配电系统</w:t>
      </w:r>
    </w:p>
    <w:p w14:paraId="013D159F"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1、供电电源：本工程由</w:t>
      </w:r>
      <w:r w:rsidRPr="00422153">
        <w:rPr>
          <w:rFonts w:ascii="宋体" w:eastAsia="宋体" w:hAnsi="宋体" w:hint="eastAsia"/>
          <w:sz w:val="24"/>
          <w:szCs w:val="24"/>
        </w:rPr>
        <w:t>纪念馆内</w:t>
      </w:r>
      <w:r w:rsidRPr="00422153">
        <w:rPr>
          <w:rFonts w:ascii="宋体" w:eastAsia="宋体" w:hAnsi="宋体"/>
          <w:sz w:val="24"/>
          <w:szCs w:val="24"/>
        </w:rPr>
        <w:t>低压配电室引来380V电源。</w:t>
      </w:r>
    </w:p>
    <w:p w14:paraId="1F731608"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供电方式：本工程采用放射式与树干式相结合的供电方式，对于单台容量较大的负荷或重要负荷采用放射式供电；对于照明及一般负荷采用树</w:t>
      </w:r>
      <w:r w:rsidRPr="00422153">
        <w:rPr>
          <w:rFonts w:ascii="宋体" w:eastAsia="宋体" w:hAnsi="宋体" w:hint="eastAsia"/>
          <w:sz w:val="24"/>
          <w:szCs w:val="24"/>
        </w:rPr>
        <w:t>干式与放射式结合的方式。</w:t>
      </w:r>
    </w:p>
    <w:p w14:paraId="1D20FD43"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w:t>
      </w:r>
      <w:r w:rsidRPr="00422153">
        <w:rPr>
          <w:rFonts w:ascii="宋体" w:eastAsia="宋体" w:hAnsi="宋体" w:hint="eastAsia"/>
          <w:sz w:val="24"/>
          <w:szCs w:val="24"/>
        </w:rPr>
        <w:t>、</w:t>
      </w:r>
      <w:r w:rsidRPr="00422153">
        <w:rPr>
          <w:rFonts w:ascii="宋体" w:eastAsia="宋体" w:hAnsi="宋体"/>
          <w:sz w:val="24"/>
          <w:szCs w:val="24"/>
        </w:rPr>
        <w:t>供电制式为三相四线+PE线，供电电压为AC220/380V。三级负荷：单电源供电。</w:t>
      </w:r>
    </w:p>
    <w:p w14:paraId="15A0B5D7"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五、照明系统</w:t>
      </w:r>
    </w:p>
    <w:p w14:paraId="516CC7AB"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w:t>
      </w:r>
      <w:r w:rsidRPr="00422153">
        <w:rPr>
          <w:rFonts w:ascii="宋体" w:eastAsia="宋体" w:hAnsi="宋体" w:hint="eastAsia"/>
          <w:sz w:val="24"/>
          <w:szCs w:val="24"/>
        </w:rPr>
        <w:t>、</w:t>
      </w:r>
      <w:r w:rsidRPr="00422153">
        <w:rPr>
          <w:rFonts w:ascii="宋体" w:eastAsia="宋体" w:hAnsi="宋体"/>
          <w:sz w:val="24"/>
          <w:szCs w:val="24"/>
        </w:rPr>
        <w:t>照明种类：本工程照明种类可分为：正常照明、应急照明和疏散指示系统。</w:t>
      </w:r>
    </w:p>
    <w:p w14:paraId="5534C30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光源及灯具选择： 楼内照明均采用 I 类灯具。门厅采用节能型灯具，办公等选用节能LED荧光灯。卫生间、盥洗间采用防潮型灯具。</w:t>
      </w:r>
    </w:p>
    <w:p w14:paraId="642B964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w:t>
      </w:r>
      <w:r w:rsidRPr="00422153">
        <w:rPr>
          <w:rFonts w:ascii="宋体" w:eastAsia="宋体" w:hAnsi="宋体" w:hint="eastAsia"/>
          <w:sz w:val="24"/>
          <w:szCs w:val="24"/>
        </w:rPr>
        <w:t>、</w:t>
      </w:r>
      <w:r w:rsidRPr="00422153">
        <w:rPr>
          <w:rFonts w:ascii="宋体" w:eastAsia="宋体" w:hAnsi="宋体"/>
          <w:sz w:val="24"/>
          <w:szCs w:val="24"/>
        </w:rPr>
        <w:t>照明配电：照明、插座均由不同的支路供电；插座回路均设漏电断路器保护。</w:t>
      </w:r>
    </w:p>
    <w:p w14:paraId="7731D3DF"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4</w:t>
      </w:r>
      <w:r w:rsidRPr="00422153">
        <w:rPr>
          <w:rFonts w:ascii="宋体" w:eastAsia="宋体" w:hAnsi="宋体" w:hint="eastAsia"/>
          <w:sz w:val="24"/>
          <w:szCs w:val="24"/>
        </w:rPr>
        <w:t>、应急照明和疏散指示详见消防电气图纸。</w:t>
      </w:r>
    </w:p>
    <w:p w14:paraId="4D9A124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六、设备选择及安装</w:t>
      </w:r>
    </w:p>
    <w:p w14:paraId="2ABC7986"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w:t>
      </w:r>
      <w:r w:rsidRPr="00422153">
        <w:rPr>
          <w:rFonts w:ascii="宋体" w:eastAsia="宋体" w:hAnsi="宋体" w:hint="eastAsia"/>
          <w:sz w:val="24"/>
          <w:szCs w:val="24"/>
        </w:rPr>
        <w:t>、</w:t>
      </w:r>
      <w:r w:rsidRPr="00422153">
        <w:rPr>
          <w:rFonts w:ascii="宋体" w:eastAsia="宋体" w:hAnsi="宋体"/>
          <w:sz w:val="24"/>
          <w:szCs w:val="24"/>
        </w:rPr>
        <w:t>各配电箱、控制箱的安装高度参见配电箱系统图。</w:t>
      </w:r>
    </w:p>
    <w:p w14:paraId="1B8EDEF3"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电动力箱、控制箱箱体高度600mm以下，底边距地1.5m</w:t>
      </w:r>
      <w:r w:rsidRPr="00422153">
        <w:rPr>
          <w:rFonts w:ascii="宋体" w:eastAsia="宋体" w:hAnsi="宋体" w:hint="eastAsia"/>
          <w:sz w:val="24"/>
          <w:szCs w:val="24"/>
        </w:rPr>
        <w:t>。</w:t>
      </w:r>
      <w:r w:rsidRPr="00422153">
        <w:rPr>
          <w:rFonts w:ascii="宋体" w:eastAsia="宋体" w:hAnsi="宋体"/>
          <w:sz w:val="24"/>
          <w:szCs w:val="24"/>
        </w:rPr>
        <w:t>600~800mm高，</w:t>
      </w:r>
      <w:r w:rsidRPr="00422153">
        <w:rPr>
          <w:rFonts w:ascii="宋体" w:eastAsia="宋体" w:hAnsi="宋体"/>
          <w:sz w:val="24"/>
          <w:szCs w:val="24"/>
        </w:rPr>
        <w:lastRenderedPageBreak/>
        <w:t>底边距地1.2m</w:t>
      </w:r>
      <w:r w:rsidRPr="00422153">
        <w:rPr>
          <w:rFonts w:ascii="宋体" w:eastAsia="宋体" w:hAnsi="宋体" w:hint="eastAsia"/>
          <w:sz w:val="24"/>
          <w:szCs w:val="24"/>
        </w:rPr>
        <w:t>。</w:t>
      </w:r>
      <w:r w:rsidRPr="00422153">
        <w:rPr>
          <w:rFonts w:ascii="宋体" w:eastAsia="宋体" w:hAnsi="宋体"/>
          <w:sz w:val="24"/>
          <w:szCs w:val="24"/>
        </w:rPr>
        <w:t>800~1000mm高，底边距地1.0m</w:t>
      </w:r>
      <w:r w:rsidRPr="00422153">
        <w:rPr>
          <w:rFonts w:ascii="宋体" w:eastAsia="宋体" w:hAnsi="宋体" w:hint="eastAsia"/>
          <w:sz w:val="24"/>
          <w:szCs w:val="24"/>
        </w:rPr>
        <w:t>。</w:t>
      </w:r>
      <w:r w:rsidRPr="00422153">
        <w:rPr>
          <w:rFonts w:ascii="宋体" w:eastAsia="宋体" w:hAnsi="宋体"/>
          <w:sz w:val="24"/>
          <w:szCs w:val="24"/>
        </w:rPr>
        <w:t>1000mm~1200mm高，底边距地0.8m；1200mm以上，为落地式安装，</w:t>
      </w:r>
      <w:r w:rsidRPr="00422153">
        <w:rPr>
          <w:rFonts w:ascii="宋体" w:eastAsia="宋体" w:hAnsi="宋体" w:hint="eastAsia"/>
          <w:sz w:val="24"/>
          <w:szCs w:val="24"/>
        </w:rPr>
        <w:t>下设</w:t>
      </w:r>
      <w:r w:rsidRPr="00422153">
        <w:rPr>
          <w:rFonts w:ascii="宋体" w:eastAsia="宋体" w:hAnsi="宋体"/>
          <w:sz w:val="24"/>
          <w:szCs w:val="24"/>
        </w:rPr>
        <w:t>200mm基础。</w:t>
      </w:r>
    </w:p>
    <w:p w14:paraId="530BDEE0"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w:t>
      </w:r>
      <w:r w:rsidRPr="00422153">
        <w:rPr>
          <w:rFonts w:ascii="宋体" w:eastAsia="宋体" w:hAnsi="宋体" w:hint="eastAsia"/>
          <w:sz w:val="24"/>
          <w:szCs w:val="24"/>
        </w:rPr>
        <w:t>、</w:t>
      </w:r>
      <w:r w:rsidRPr="00422153">
        <w:rPr>
          <w:rFonts w:ascii="宋体" w:eastAsia="宋体" w:hAnsi="宋体"/>
          <w:sz w:val="24"/>
          <w:szCs w:val="24"/>
        </w:rPr>
        <w:t>消防的配电设备箱（柜）、控制箱（柜）等箱面应加“消防”明显标志，消防设备用房以外设置</w:t>
      </w:r>
      <w:r w:rsidRPr="00422153">
        <w:rPr>
          <w:rFonts w:ascii="宋体" w:eastAsia="宋体" w:hAnsi="宋体" w:hint="eastAsia"/>
          <w:sz w:val="24"/>
          <w:szCs w:val="24"/>
        </w:rPr>
        <w:t>的消防设备箱（柜）应为防火型。</w:t>
      </w:r>
    </w:p>
    <w:p w14:paraId="097225F9"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4</w:t>
      </w:r>
      <w:r w:rsidRPr="00422153">
        <w:rPr>
          <w:rFonts w:ascii="宋体" w:eastAsia="宋体" w:hAnsi="宋体" w:hint="eastAsia"/>
          <w:sz w:val="24"/>
          <w:szCs w:val="24"/>
        </w:rPr>
        <w:t>、</w:t>
      </w:r>
      <w:r w:rsidRPr="00422153">
        <w:rPr>
          <w:rFonts w:ascii="宋体" w:eastAsia="宋体" w:hAnsi="宋体"/>
          <w:sz w:val="24"/>
          <w:szCs w:val="24"/>
        </w:rPr>
        <w:t>除注明外，开关、插座分别距地1.3m、0.3m暗装，残疾人卫生间开关安装高度为1.0m,</w:t>
      </w:r>
      <w:r w:rsidRPr="00422153">
        <w:rPr>
          <w:rFonts w:hint="eastAsia"/>
        </w:rPr>
        <w:t xml:space="preserve"> </w:t>
      </w:r>
      <w:r w:rsidRPr="00422153">
        <w:rPr>
          <w:rFonts w:ascii="宋体" w:eastAsia="宋体" w:hAnsi="宋体" w:hint="eastAsia"/>
          <w:sz w:val="24"/>
          <w:szCs w:val="24"/>
        </w:rPr>
        <w:t>卫生间内开关、插座选用防潮、防溅型面板；电源插座距弱电插座距离不小于</w:t>
      </w:r>
      <w:r w:rsidRPr="00422153">
        <w:rPr>
          <w:rFonts w:ascii="宋体" w:eastAsia="宋体" w:hAnsi="宋体"/>
          <w:sz w:val="24"/>
          <w:szCs w:val="24"/>
        </w:rPr>
        <w:t>200mm。</w:t>
      </w:r>
      <w:r w:rsidRPr="00422153">
        <w:rPr>
          <w:rFonts w:ascii="宋体" w:eastAsia="宋体" w:hAnsi="宋体" w:hint="eastAsia"/>
          <w:sz w:val="24"/>
          <w:szCs w:val="24"/>
        </w:rPr>
        <w:t>本工程中的所有电源插座均为安全型。照明开关、普通插座均为暗装，均为</w:t>
      </w:r>
      <w:r w:rsidRPr="00422153">
        <w:rPr>
          <w:rFonts w:ascii="宋体" w:eastAsia="宋体" w:hAnsi="宋体"/>
          <w:sz w:val="24"/>
          <w:szCs w:val="24"/>
        </w:rPr>
        <w:t>~250V，10A。</w:t>
      </w:r>
      <w:r w:rsidRPr="00422153">
        <w:rPr>
          <w:rFonts w:ascii="宋体" w:eastAsia="宋体" w:hAnsi="宋体" w:hint="eastAsia"/>
          <w:sz w:val="24"/>
          <w:szCs w:val="24"/>
        </w:rPr>
        <w:t>普通插座均为单相两孔加三孔插座。</w:t>
      </w:r>
    </w:p>
    <w:p w14:paraId="7B2778D3"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5</w:t>
      </w:r>
      <w:r w:rsidRPr="00422153">
        <w:rPr>
          <w:rFonts w:ascii="宋体" w:eastAsia="宋体" w:hAnsi="宋体" w:hint="eastAsia"/>
          <w:sz w:val="24"/>
          <w:szCs w:val="24"/>
        </w:rPr>
        <w:t>、</w:t>
      </w:r>
      <w:r w:rsidRPr="00422153">
        <w:rPr>
          <w:rFonts w:ascii="宋体" w:eastAsia="宋体" w:hAnsi="宋体"/>
          <w:sz w:val="24"/>
          <w:szCs w:val="24"/>
        </w:rPr>
        <w:t>开关、插座和照明灯具靠近可燃物时，应采取隔热、散热等防火措施。卤钨灯和额定功率不小于100W</w:t>
      </w:r>
      <w:r w:rsidRPr="00422153">
        <w:rPr>
          <w:rFonts w:ascii="宋体" w:eastAsia="宋体" w:hAnsi="宋体" w:hint="eastAsia"/>
          <w:sz w:val="24"/>
          <w:szCs w:val="24"/>
        </w:rPr>
        <w:t>的白炽灯泡的吸顶灯、槽灯、嵌入式灯，其引入线应采用瓷管、矿棉等不燃材料作隔热保护。额定功率不小于</w:t>
      </w:r>
      <w:r w:rsidRPr="00422153">
        <w:rPr>
          <w:rFonts w:ascii="宋体" w:eastAsia="宋体" w:hAnsi="宋体"/>
          <w:sz w:val="24"/>
          <w:szCs w:val="24"/>
        </w:rPr>
        <w:t>60W 的白炽灯、卤</w:t>
      </w:r>
      <w:r>
        <w:rPr>
          <w:rFonts w:ascii="宋体" w:eastAsia="宋体" w:hAnsi="宋体" w:hint="eastAsia"/>
          <w:sz w:val="24"/>
          <w:szCs w:val="24"/>
        </w:rPr>
        <w:t>素</w:t>
      </w:r>
      <w:r w:rsidRPr="00422153">
        <w:rPr>
          <w:rFonts w:ascii="宋体" w:eastAsia="宋体" w:hAnsi="宋体"/>
          <w:sz w:val="24"/>
          <w:szCs w:val="24"/>
        </w:rPr>
        <w:t>灯、高压纳灯、金属卤化物灯、荧光高压汞灯</w:t>
      </w:r>
      <w:proofErr w:type="gramStart"/>
      <w:r w:rsidRPr="00422153">
        <w:rPr>
          <w:rFonts w:ascii="宋体" w:eastAsia="宋体" w:hAnsi="宋体"/>
          <w:sz w:val="24"/>
          <w:szCs w:val="24"/>
        </w:rPr>
        <w:t>(包括电感镇流器)</w:t>
      </w:r>
      <w:proofErr w:type="gramEnd"/>
      <w:r w:rsidRPr="00422153">
        <w:rPr>
          <w:rFonts w:ascii="宋体" w:eastAsia="宋体" w:hAnsi="宋体"/>
          <w:sz w:val="24"/>
          <w:szCs w:val="24"/>
        </w:rPr>
        <w:t>等，不应直接安装在可燃物体上或采取其他防火措施。</w:t>
      </w:r>
    </w:p>
    <w:p w14:paraId="34533FC6"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七、电缆、导线的选型及敷设</w:t>
      </w:r>
    </w:p>
    <w:p w14:paraId="78C251F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w:t>
      </w:r>
      <w:r w:rsidRPr="00422153">
        <w:rPr>
          <w:rFonts w:ascii="宋体" w:eastAsia="宋体" w:hAnsi="宋体" w:hint="eastAsia"/>
          <w:sz w:val="24"/>
          <w:szCs w:val="24"/>
        </w:rPr>
        <w:t>、</w:t>
      </w:r>
      <w:r w:rsidRPr="00422153">
        <w:rPr>
          <w:rFonts w:ascii="宋体" w:eastAsia="宋体" w:hAnsi="宋体"/>
          <w:sz w:val="24"/>
          <w:szCs w:val="24"/>
        </w:rPr>
        <w:t>电缆及导线选择</w:t>
      </w:r>
    </w:p>
    <w:p w14:paraId="51D0468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1）低压配电柜的馈电线路：非消防负荷回路的低压电缆采用燃烧性能B1级、烟气毒性为t1级、燃烧滴落物/微粒等级为d1级的铜芯低烟无卤阻</w:t>
      </w:r>
      <w:r w:rsidRPr="00422153">
        <w:rPr>
          <w:rFonts w:ascii="宋体" w:eastAsia="宋体" w:hAnsi="宋体" w:hint="eastAsia"/>
          <w:sz w:val="24"/>
          <w:szCs w:val="24"/>
        </w:rPr>
        <w:t>乙烯绝缘聚烯烃护套低烟无卤电力电缆，标注为</w:t>
      </w:r>
      <w:r w:rsidRPr="00422153">
        <w:rPr>
          <w:rFonts w:ascii="宋体" w:eastAsia="宋体" w:hAnsi="宋体"/>
          <w:sz w:val="24"/>
          <w:szCs w:val="24"/>
        </w:rPr>
        <w:t>WDZ-YJV22-0.6kV/1kV；消防负荷回路的低压电缆采用铜芯轧纹铜护套隔离型柔</w:t>
      </w:r>
      <w:r w:rsidRPr="00422153">
        <w:rPr>
          <w:rFonts w:ascii="宋体" w:eastAsia="宋体" w:hAnsi="宋体" w:hint="eastAsia"/>
          <w:sz w:val="24"/>
          <w:szCs w:val="24"/>
        </w:rPr>
        <w:t>性矿物绝缘电缆，标注为</w:t>
      </w:r>
      <w:r w:rsidRPr="00422153">
        <w:rPr>
          <w:rFonts w:ascii="宋体" w:eastAsia="宋体" w:hAnsi="宋体"/>
          <w:sz w:val="24"/>
          <w:szCs w:val="24"/>
        </w:rPr>
        <w:t>BTTR（0.6kV/1kV）；隔离型柔性矿物绝缘电缆应符合燃烧试验供火温度950℃，供火时间180min的要求。</w:t>
      </w:r>
    </w:p>
    <w:p w14:paraId="3E2F81F0"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2）图中未特别注明时，非消防负荷（照明、动力）回路的配电支线采用燃烧性能B1级、烟气毒性为t1级、燃烧滴落物/微粒等级为d1级的</w:t>
      </w:r>
      <w:r w:rsidRPr="00422153">
        <w:rPr>
          <w:rFonts w:ascii="宋体" w:eastAsia="宋体" w:hAnsi="宋体" w:hint="eastAsia"/>
          <w:sz w:val="24"/>
          <w:szCs w:val="24"/>
        </w:rPr>
        <w:t>铜芯交联聚烯烃绝缘电线，标注为</w:t>
      </w:r>
      <w:r w:rsidRPr="00422153">
        <w:rPr>
          <w:rFonts w:ascii="宋体" w:eastAsia="宋体" w:hAnsi="宋体"/>
          <w:sz w:val="24"/>
          <w:szCs w:val="24"/>
        </w:rPr>
        <w:t>WDZ-BYJ-450V/750V；消防负荷回路的配电支线采用燃烧性能B1级、烟气毒性为t1级、</w:t>
      </w:r>
      <w:r w:rsidRPr="00422153">
        <w:rPr>
          <w:rFonts w:ascii="宋体" w:eastAsia="宋体" w:hAnsi="宋体" w:hint="eastAsia"/>
          <w:sz w:val="24"/>
          <w:szCs w:val="24"/>
        </w:rPr>
        <w:t>燃烧滴落物</w:t>
      </w:r>
      <w:r w:rsidRPr="00422153">
        <w:rPr>
          <w:rFonts w:ascii="宋体" w:eastAsia="宋体" w:hAnsi="宋体"/>
          <w:sz w:val="24"/>
          <w:szCs w:val="24"/>
        </w:rPr>
        <w:t>/微粒等级为d1级的低烟无卤阻燃耐火铜芯交联聚烯烃绝缘电线，标注为WDZN-BYJ-450V/750V。</w:t>
      </w:r>
    </w:p>
    <w:p w14:paraId="3F98B18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3）火灾自动报警系统的报警总线，采用燃烧性能B1级的电线、电缆，消防联动总线及联动控制线采用耐火阻燃铜芯电线、电缆。</w:t>
      </w:r>
      <w:r w:rsidRPr="00422153">
        <w:rPr>
          <w:rFonts w:ascii="宋体" w:eastAsia="宋体" w:hAnsi="宋体" w:hint="eastAsia"/>
          <w:sz w:val="24"/>
          <w:szCs w:val="24"/>
        </w:rPr>
        <w:t>电线、电缆的燃烧性能应符合现行国家标准《电缆及光缆燃烧性能分级》</w:t>
      </w:r>
      <w:r w:rsidRPr="00422153">
        <w:rPr>
          <w:rFonts w:ascii="宋体" w:eastAsia="宋体" w:hAnsi="宋体"/>
          <w:sz w:val="24"/>
          <w:szCs w:val="24"/>
        </w:rPr>
        <w:t>GB31247-2014的规定。</w:t>
      </w:r>
    </w:p>
    <w:p w14:paraId="5FE02E23"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lastRenderedPageBreak/>
        <w:t>2</w:t>
      </w:r>
      <w:r w:rsidRPr="00422153">
        <w:rPr>
          <w:rFonts w:ascii="宋体" w:eastAsia="宋体" w:hAnsi="宋体" w:hint="eastAsia"/>
          <w:sz w:val="24"/>
          <w:szCs w:val="24"/>
        </w:rPr>
        <w:t>、</w:t>
      </w:r>
      <w:r w:rsidRPr="00422153">
        <w:rPr>
          <w:rFonts w:ascii="宋体" w:eastAsia="宋体" w:hAnsi="宋体"/>
          <w:sz w:val="24"/>
          <w:szCs w:val="24"/>
        </w:rPr>
        <w:t>电缆及导线敷设方式</w:t>
      </w:r>
    </w:p>
    <w:p w14:paraId="3656CC3B"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1）依据规范《20kV及以下变电所设计规范》GB 50053-2013要求，供给一级负荷用电的两回电源线路的电缆不宜通过同一电缆沟</w:t>
      </w:r>
      <w:r w:rsidRPr="00422153">
        <w:rPr>
          <w:rFonts w:ascii="宋体" w:eastAsia="宋体" w:hAnsi="宋体" w:hint="eastAsia"/>
          <w:sz w:val="24"/>
          <w:szCs w:val="24"/>
        </w:rPr>
        <w:t>。当无法分开时，应采用阻燃电缆，且应分别敷设在电缆沟或电缆夹层的不同侧的桥</w:t>
      </w:r>
      <w:proofErr w:type="gramStart"/>
      <w:r w:rsidRPr="00422153">
        <w:rPr>
          <w:rFonts w:ascii="宋体" w:eastAsia="宋体" w:hAnsi="宋体"/>
          <w:sz w:val="24"/>
          <w:szCs w:val="24"/>
        </w:rPr>
        <w:t>(支)</w:t>
      </w:r>
      <w:proofErr w:type="gramEnd"/>
      <w:r w:rsidRPr="00422153">
        <w:rPr>
          <w:rFonts w:ascii="宋体" w:eastAsia="宋体" w:hAnsi="宋体"/>
          <w:sz w:val="24"/>
          <w:szCs w:val="24"/>
        </w:rPr>
        <w:t>架上</w:t>
      </w:r>
      <w:r w:rsidRPr="00422153">
        <w:rPr>
          <w:rFonts w:ascii="宋体" w:eastAsia="宋体" w:hAnsi="宋体" w:hint="eastAsia"/>
          <w:sz w:val="24"/>
          <w:szCs w:val="24"/>
        </w:rPr>
        <w:t>。</w:t>
      </w:r>
      <w:r w:rsidRPr="00422153">
        <w:rPr>
          <w:rFonts w:ascii="宋体" w:eastAsia="宋体" w:hAnsi="宋体"/>
          <w:sz w:val="24"/>
          <w:szCs w:val="24"/>
        </w:rPr>
        <w:t>当敷设在同一侧的桥</w:t>
      </w:r>
      <w:proofErr w:type="gramStart"/>
      <w:r w:rsidRPr="00422153">
        <w:rPr>
          <w:rFonts w:ascii="宋体" w:eastAsia="宋体" w:hAnsi="宋体"/>
          <w:sz w:val="24"/>
          <w:szCs w:val="24"/>
        </w:rPr>
        <w:t>(支)</w:t>
      </w:r>
      <w:proofErr w:type="gramEnd"/>
      <w:r w:rsidRPr="00422153">
        <w:rPr>
          <w:rFonts w:ascii="宋体" w:eastAsia="宋体" w:hAnsi="宋体"/>
          <w:sz w:val="24"/>
          <w:szCs w:val="24"/>
        </w:rPr>
        <w:t>架上时，应采用防火隔板隔开。</w:t>
      </w:r>
    </w:p>
    <w:p w14:paraId="3AE5D34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2）消防配电线路应满足火灾时连续供电的需要，其敷设应符合下列规定：</w:t>
      </w:r>
    </w:p>
    <w:p w14:paraId="1DE6BDC2"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1）明敷时（包括敷设在吊顶内），应穿金属导管或采用封闭式金属槽盒保护，金属导管或封闭式金属槽盒应采取防火保护措施（采用的防火涂料，</w:t>
      </w:r>
      <w:r w:rsidRPr="00422153">
        <w:rPr>
          <w:rFonts w:ascii="宋体" w:eastAsia="宋体" w:hAnsi="宋体" w:hint="eastAsia"/>
          <w:sz w:val="24"/>
          <w:szCs w:val="24"/>
        </w:rPr>
        <w:t>耐火不小于</w:t>
      </w:r>
      <w:r w:rsidRPr="00422153">
        <w:rPr>
          <w:rFonts w:ascii="宋体" w:eastAsia="宋体" w:hAnsi="宋体"/>
          <w:sz w:val="24"/>
          <w:szCs w:val="24"/>
        </w:rPr>
        <w:t>3小时）；当采用阻燃或耐火电缆并敷设在电缆井、沟内时，可不穿金属导管或采用封闭式金属槽盒保护；当采用矿物绝缘类不燃性电</w:t>
      </w:r>
      <w:r w:rsidRPr="00422153">
        <w:rPr>
          <w:rFonts w:ascii="宋体" w:eastAsia="宋体" w:hAnsi="宋体" w:hint="eastAsia"/>
          <w:sz w:val="24"/>
          <w:szCs w:val="24"/>
        </w:rPr>
        <w:t>缆时，可直接明敷。</w:t>
      </w:r>
    </w:p>
    <w:p w14:paraId="380A7E17"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2）暗敷时，应穿管并应敷设在不燃性结构内且保护层厚度不应小于30mm。</w:t>
      </w:r>
    </w:p>
    <w:p w14:paraId="0593FE3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3）消防配电线路宜与其他配电线路分开敷设在不同的电缆井、沟内；确有困难需敷设在同一电缆井、沟内时，应分别布置在电缆井、沟的两侧，</w:t>
      </w:r>
      <w:r w:rsidRPr="00422153">
        <w:rPr>
          <w:rFonts w:ascii="宋体" w:eastAsia="宋体" w:hAnsi="宋体" w:hint="eastAsia"/>
          <w:sz w:val="24"/>
          <w:szCs w:val="24"/>
        </w:rPr>
        <w:t>且消防配电线路应采用矿物绝缘类不燃性电缆。</w:t>
      </w:r>
    </w:p>
    <w:p w14:paraId="198B5C5E"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4）明敷或暗敷于干燥场所的金属导管均采用管壁厚度不小于1.5mm的镀锌钢导管。</w:t>
      </w:r>
    </w:p>
    <w:p w14:paraId="12634F5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3）本工程所有在封闭吊顶内明敷的配电线路，应采用金属导管（KBG或JDG）或金属槽盒布线。</w:t>
      </w:r>
      <w:r w:rsidRPr="00422153">
        <w:rPr>
          <w:rFonts w:ascii="宋体" w:eastAsia="宋体" w:hAnsi="宋体" w:hint="eastAsia"/>
          <w:sz w:val="24"/>
          <w:szCs w:val="24"/>
        </w:rPr>
        <w:t>在有可燃物闷顶和吊顶内敷设电力线缆时，应采用不然材料的导管或电缆槽盒保护。要求导管和电缆槽盒内配电电线的总截面面积不应超过导管或电缆槽盒内截面面积的</w:t>
      </w:r>
      <w:r w:rsidRPr="00422153">
        <w:rPr>
          <w:rFonts w:ascii="宋体" w:eastAsia="宋体" w:hAnsi="宋体"/>
          <w:sz w:val="24"/>
          <w:szCs w:val="24"/>
        </w:rPr>
        <w:t>40%；电缆槽盒</w:t>
      </w:r>
      <w:r w:rsidRPr="00422153">
        <w:rPr>
          <w:rFonts w:ascii="宋体" w:eastAsia="宋体" w:hAnsi="宋体" w:hint="eastAsia"/>
          <w:sz w:val="24"/>
          <w:szCs w:val="24"/>
        </w:rPr>
        <w:t>内控制线缆的总截面面积不应超过电缆槽盒内截面面积的</w:t>
      </w:r>
      <w:r w:rsidRPr="00422153">
        <w:rPr>
          <w:rFonts w:ascii="宋体" w:eastAsia="宋体" w:hAnsi="宋体"/>
          <w:sz w:val="24"/>
          <w:szCs w:val="24"/>
        </w:rPr>
        <w:t>50%。</w:t>
      </w:r>
    </w:p>
    <w:p w14:paraId="06E7007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4）导线颜色选择应统一。接地线（PE）:黄绿双色相间导线；中性线（N）:浅蓝色导线；相线（L），L1相：黄色，L2相：绿色，L3</w:t>
      </w:r>
      <w:proofErr w:type="gramStart"/>
      <w:r w:rsidRPr="00422153">
        <w:rPr>
          <w:rFonts w:ascii="宋体" w:eastAsia="宋体" w:hAnsi="宋体"/>
          <w:sz w:val="24"/>
          <w:szCs w:val="24"/>
        </w:rPr>
        <w:t>相:</w:t>
      </w:r>
      <w:proofErr w:type="gramEnd"/>
      <w:r w:rsidRPr="00422153">
        <w:rPr>
          <w:rFonts w:ascii="宋体" w:eastAsia="宋体" w:hAnsi="宋体"/>
          <w:sz w:val="24"/>
          <w:szCs w:val="24"/>
        </w:rPr>
        <w:t>红色；应急照明消防强启专线：白色</w:t>
      </w:r>
      <w:r w:rsidRPr="00422153">
        <w:rPr>
          <w:rFonts w:ascii="宋体" w:eastAsia="宋体" w:hAnsi="宋体" w:hint="eastAsia"/>
          <w:sz w:val="24"/>
          <w:szCs w:val="24"/>
        </w:rPr>
        <w:t>。</w:t>
      </w:r>
    </w:p>
    <w:p w14:paraId="6708A7FF"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5）所穿楼板孔洞待电气设备安装完成后用防火堵料（无机防火堵料、有机防火堵料、电缆防火包）封堵具体做法详见国标图集12D101-5 P116、P117及06D105 P16~18、P19~26。</w:t>
      </w:r>
    </w:p>
    <w:p w14:paraId="5221BD46"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建筑内的电梯井等竖井应符合下列规定：</w:t>
      </w:r>
    </w:p>
    <w:p w14:paraId="736705E3"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 电缆井、管道井、排烟道、排气道、垃圾道等竖向井道，应分别独立设</w:t>
      </w:r>
      <w:r w:rsidRPr="00422153">
        <w:rPr>
          <w:rFonts w:ascii="宋体" w:eastAsia="宋体" w:hAnsi="宋体"/>
          <w:sz w:val="24"/>
          <w:szCs w:val="24"/>
        </w:rPr>
        <w:lastRenderedPageBreak/>
        <w:t>置。井壁的耐火极限不低于1.00h，井壁上的检查门应采用丙级防火门。</w:t>
      </w:r>
    </w:p>
    <w:p w14:paraId="5259BF0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2）建筑内的电缆井、管道井应在每层楼板处采用不低于楼板耐火极限的不燃材料或防火封堵材料封堵。</w:t>
      </w:r>
      <w:r w:rsidRPr="00422153">
        <w:rPr>
          <w:rFonts w:ascii="宋体" w:eastAsia="宋体" w:hAnsi="宋体" w:hint="eastAsia"/>
          <w:sz w:val="24"/>
          <w:szCs w:val="24"/>
        </w:rPr>
        <w:t>建筑内的电缆井、管道井与房间、走道等相连通的孔隙应采用防火封堵材料封堵。</w:t>
      </w:r>
    </w:p>
    <w:p w14:paraId="5802B9E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 xml:space="preserve">3）建筑内的垃圾道宜靠外墙设置，垃圾道的排气口应直接开向室外，垃圾斗应采用不燃烧材料制作，并应能自行关闭。   </w:t>
      </w:r>
    </w:p>
    <w:p w14:paraId="7BA38406"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4）电梯层门的耐火极限不应低于1.OOh，并应符合现行国家标准《电梯层门耐火试验 完整性、隔热性和热通量测定法》GB/T 27903规定的完整性和隔热性要求。</w:t>
      </w:r>
    </w:p>
    <w:p w14:paraId="4B0CCC98"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5）楼板处的封堵材料耐火极限不应低于楼板耐火极限。</w:t>
      </w:r>
    </w:p>
    <w:p w14:paraId="4511CB25"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6）暗敷设的金属导管管壁厚度不应小于1.5mm，暗敷于墙内或混凝土内的刚性塑料导管应采用燃烧性能等级B2级、壁厚1.8mm及以上的</w:t>
      </w:r>
      <w:r w:rsidRPr="00422153">
        <w:rPr>
          <w:rFonts w:ascii="宋体" w:eastAsia="宋体" w:hAnsi="宋体" w:hint="eastAsia"/>
          <w:sz w:val="24"/>
          <w:szCs w:val="24"/>
        </w:rPr>
        <w:t>导管；潮湿场所配电线路布线宜采用管壁厚度不小于</w:t>
      </w:r>
      <w:r w:rsidRPr="00422153">
        <w:rPr>
          <w:rFonts w:ascii="宋体" w:eastAsia="宋体" w:hAnsi="宋体"/>
          <w:sz w:val="24"/>
          <w:szCs w:val="24"/>
        </w:rPr>
        <w:t>2.0mm的金属导管，明敷的金属导管应做防腐、防潮处理。</w:t>
      </w:r>
    </w:p>
    <w:p w14:paraId="56AB21CF"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7）暗敷在楼板、墙体、柱内的缆线（有防火要求的缆线除外），其保护管的覆盖层不应小于15mm。</w:t>
      </w:r>
    </w:p>
    <w:p w14:paraId="7E3CD418"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8）穿管（金属管）布线要求：</w:t>
      </w:r>
    </w:p>
    <w:p w14:paraId="7EA18B02"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1）穿管布线的管路较长或有弯时，宜适当加装拉线盒，两个拉线点之间的距离应符合以下要求：</w:t>
      </w:r>
    </w:p>
    <w:p w14:paraId="165EDA51" w14:textId="77777777" w:rsidR="005216DC" w:rsidRPr="00422153" w:rsidRDefault="005216DC" w:rsidP="005216DC">
      <w:pPr>
        <w:pStyle w:val="a9"/>
        <w:numPr>
          <w:ilvl w:val="0"/>
          <w:numId w:val="1"/>
        </w:numPr>
        <w:spacing w:line="360" w:lineRule="auto"/>
        <w:contextualSpacing w:val="0"/>
        <w:rPr>
          <w:rFonts w:ascii="宋体" w:eastAsia="宋体" w:hAnsi="宋体" w:hint="eastAsia"/>
          <w:sz w:val="24"/>
          <w:szCs w:val="24"/>
        </w:rPr>
      </w:pPr>
      <w:r w:rsidRPr="00422153">
        <w:rPr>
          <w:rFonts w:ascii="宋体" w:eastAsia="宋体" w:hAnsi="宋体" w:hint="eastAsia"/>
          <w:sz w:val="24"/>
          <w:szCs w:val="24"/>
        </w:rPr>
        <w:t>对无弯的管路，不超过</w:t>
      </w:r>
      <w:r w:rsidRPr="00422153">
        <w:rPr>
          <w:rFonts w:ascii="宋体" w:eastAsia="宋体" w:hAnsi="宋体"/>
          <w:sz w:val="24"/>
          <w:szCs w:val="24"/>
        </w:rPr>
        <w:t xml:space="preserve">30m。                 </w:t>
      </w:r>
    </w:p>
    <w:p w14:paraId="4FEA2260" w14:textId="77777777" w:rsidR="005216DC" w:rsidRPr="00422153" w:rsidRDefault="005216DC" w:rsidP="005216DC">
      <w:pPr>
        <w:pStyle w:val="a9"/>
        <w:numPr>
          <w:ilvl w:val="0"/>
          <w:numId w:val="1"/>
        </w:numPr>
        <w:spacing w:line="360" w:lineRule="auto"/>
        <w:contextualSpacing w:val="0"/>
        <w:rPr>
          <w:rFonts w:ascii="宋体" w:eastAsia="宋体" w:hAnsi="宋体" w:hint="eastAsia"/>
          <w:sz w:val="24"/>
          <w:szCs w:val="24"/>
        </w:rPr>
      </w:pPr>
      <w:r w:rsidRPr="00422153">
        <w:rPr>
          <w:rFonts w:ascii="宋体" w:eastAsia="宋体" w:hAnsi="宋体"/>
          <w:sz w:val="24"/>
          <w:szCs w:val="24"/>
        </w:rPr>
        <w:t>两个拉线点之间有一个弯时，不超过20m。</w:t>
      </w:r>
    </w:p>
    <w:p w14:paraId="6435AB9E" w14:textId="77777777" w:rsidR="005216DC" w:rsidRPr="00422153" w:rsidRDefault="005216DC" w:rsidP="005216DC">
      <w:pPr>
        <w:pStyle w:val="a9"/>
        <w:numPr>
          <w:ilvl w:val="0"/>
          <w:numId w:val="1"/>
        </w:numPr>
        <w:spacing w:line="360" w:lineRule="auto"/>
        <w:contextualSpacing w:val="0"/>
        <w:rPr>
          <w:rFonts w:ascii="宋体" w:eastAsia="宋体" w:hAnsi="宋体" w:hint="eastAsia"/>
          <w:sz w:val="24"/>
          <w:szCs w:val="24"/>
        </w:rPr>
      </w:pPr>
      <w:r w:rsidRPr="00422153">
        <w:rPr>
          <w:rFonts w:ascii="宋体" w:eastAsia="宋体" w:hAnsi="宋体" w:hint="eastAsia"/>
          <w:sz w:val="24"/>
          <w:szCs w:val="24"/>
        </w:rPr>
        <w:t>两个拉线点之间有两个弯时，不超过</w:t>
      </w:r>
      <w:r w:rsidRPr="00422153">
        <w:rPr>
          <w:rFonts w:ascii="宋体" w:eastAsia="宋体" w:hAnsi="宋体"/>
          <w:sz w:val="24"/>
          <w:szCs w:val="24"/>
        </w:rPr>
        <w:t>15m。</w:t>
      </w:r>
    </w:p>
    <w:p w14:paraId="7A05B811" w14:textId="77777777" w:rsidR="005216DC" w:rsidRPr="00422153" w:rsidRDefault="005216DC" w:rsidP="005216DC">
      <w:pPr>
        <w:pStyle w:val="a9"/>
        <w:numPr>
          <w:ilvl w:val="0"/>
          <w:numId w:val="1"/>
        </w:numPr>
        <w:spacing w:line="360" w:lineRule="auto"/>
        <w:contextualSpacing w:val="0"/>
        <w:rPr>
          <w:rFonts w:ascii="宋体" w:eastAsia="宋体" w:hAnsi="宋体" w:hint="eastAsia"/>
          <w:sz w:val="24"/>
          <w:szCs w:val="24"/>
        </w:rPr>
      </w:pPr>
      <w:r w:rsidRPr="00422153">
        <w:rPr>
          <w:rFonts w:ascii="宋体" w:eastAsia="宋体" w:hAnsi="宋体" w:hint="eastAsia"/>
          <w:sz w:val="24"/>
          <w:szCs w:val="24"/>
        </w:rPr>
        <w:t>两个拉线点之间有三个弯时，不超过</w:t>
      </w:r>
      <w:r w:rsidRPr="00422153">
        <w:rPr>
          <w:rFonts w:ascii="宋体" w:eastAsia="宋体" w:hAnsi="宋体"/>
          <w:sz w:val="24"/>
          <w:szCs w:val="24"/>
        </w:rPr>
        <w:t xml:space="preserve"> 8m。</w:t>
      </w:r>
    </w:p>
    <w:p w14:paraId="4873650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2）铜芯绝缘导线穿管管径配合参见附表</w:t>
      </w:r>
      <w:r w:rsidRPr="00422153">
        <w:rPr>
          <w:rFonts w:ascii="宋体" w:eastAsia="宋体" w:hAnsi="宋体" w:hint="eastAsia"/>
          <w:sz w:val="24"/>
          <w:szCs w:val="24"/>
        </w:rPr>
        <w:t>：</w:t>
      </w:r>
    </w:p>
    <w:p w14:paraId="0DF88DC0" w14:textId="77777777" w:rsidR="005216DC" w:rsidRPr="00422153" w:rsidRDefault="005216DC" w:rsidP="005216DC">
      <w:pPr>
        <w:spacing w:line="360" w:lineRule="auto"/>
        <w:rPr>
          <w:rFonts w:ascii="宋体" w:eastAsia="宋体" w:hAnsi="宋体" w:hint="eastAsia"/>
          <w:sz w:val="24"/>
          <w:szCs w:val="24"/>
        </w:rPr>
      </w:pPr>
      <w:r w:rsidRPr="00422153">
        <w:rPr>
          <w:rFonts w:ascii="宋体" w:eastAsia="宋体" w:hAnsi="宋体"/>
          <w:sz w:val="24"/>
          <w:szCs w:val="24"/>
        </w:rPr>
        <w:tab/>
      </w:r>
      <w:r w:rsidRPr="00422153">
        <w:rPr>
          <w:rFonts w:ascii="宋体" w:eastAsia="宋体" w:hAnsi="宋体" w:hint="eastAsia"/>
          <w:sz w:val="24"/>
          <w:szCs w:val="24"/>
        </w:rPr>
        <w:t>WDZ-BYJ</w:t>
      </w:r>
      <w:proofErr w:type="gramStart"/>
      <w:r w:rsidRPr="00422153">
        <w:rPr>
          <w:rFonts w:ascii="宋体" w:eastAsia="宋体" w:hAnsi="宋体" w:hint="eastAsia"/>
          <w:sz w:val="24"/>
          <w:szCs w:val="24"/>
        </w:rPr>
        <w:t>(BV)</w:t>
      </w:r>
      <w:proofErr w:type="gramEnd"/>
      <w:r w:rsidRPr="00422153">
        <w:rPr>
          <w:rFonts w:ascii="宋体" w:eastAsia="宋体" w:hAnsi="宋体" w:hint="eastAsia"/>
          <w:sz w:val="24"/>
          <w:szCs w:val="24"/>
        </w:rPr>
        <w:t>型绝缘线穿SC钢管管径选择 单位：mm</w:t>
      </w:r>
    </w:p>
    <w:tbl>
      <w:tblPr>
        <w:tblStyle w:val="af2"/>
        <w:tblW w:w="0" w:type="auto"/>
        <w:jc w:val="center"/>
        <w:tblLook w:val="04A0" w:firstRow="1" w:lastRow="0" w:firstColumn="1" w:lastColumn="0" w:noHBand="0" w:noVBand="1"/>
      </w:tblPr>
      <w:tblGrid>
        <w:gridCol w:w="1280"/>
        <w:gridCol w:w="842"/>
        <w:gridCol w:w="850"/>
        <w:gridCol w:w="709"/>
        <w:gridCol w:w="709"/>
        <w:gridCol w:w="708"/>
        <w:gridCol w:w="709"/>
        <w:gridCol w:w="709"/>
      </w:tblGrid>
      <w:tr w:rsidR="005216DC" w:rsidRPr="00422153" w14:paraId="4433DB36" w14:textId="77777777" w:rsidTr="00257ED3">
        <w:trPr>
          <w:jc w:val="center"/>
        </w:trPr>
        <w:tc>
          <w:tcPr>
            <w:tcW w:w="1280" w:type="dxa"/>
          </w:tcPr>
          <w:p w14:paraId="1362B30E"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导线截面</w:t>
            </w:r>
          </w:p>
        </w:tc>
        <w:tc>
          <w:tcPr>
            <w:tcW w:w="5236" w:type="dxa"/>
            <w:gridSpan w:val="7"/>
          </w:tcPr>
          <w:p w14:paraId="4C7BCB52"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导 线 根 数</w:t>
            </w:r>
          </w:p>
        </w:tc>
      </w:tr>
      <w:tr w:rsidR="005216DC" w:rsidRPr="00422153" w14:paraId="7AB16217" w14:textId="77777777" w:rsidTr="00257ED3">
        <w:trPr>
          <w:jc w:val="center"/>
        </w:trPr>
        <w:tc>
          <w:tcPr>
            <w:tcW w:w="1280" w:type="dxa"/>
          </w:tcPr>
          <w:p w14:paraId="146D78F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（mm²）</w:t>
            </w:r>
          </w:p>
        </w:tc>
        <w:tc>
          <w:tcPr>
            <w:tcW w:w="842" w:type="dxa"/>
          </w:tcPr>
          <w:p w14:paraId="46C6671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w:t>
            </w:r>
          </w:p>
        </w:tc>
        <w:tc>
          <w:tcPr>
            <w:tcW w:w="850" w:type="dxa"/>
          </w:tcPr>
          <w:p w14:paraId="446E6CA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3</w:t>
            </w:r>
          </w:p>
        </w:tc>
        <w:tc>
          <w:tcPr>
            <w:tcW w:w="709" w:type="dxa"/>
          </w:tcPr>
          <w:p w14:paraId="5B4BD19B"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4</w:t>
            </w:r>
          </w:p>
        </w:tc>
        <w:tc>
          <w:tcPr>
            <w:tcW w:w="709" w:type="dxa"/>
          </w:tcPr>
          <w:p w14:paraId="06B52052"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5</w:t>
            </w:r>
          </w:p>
        </w:tc>
        <w:tc>
          <w:tcPr>
            <w:tcW w:w="708" w:type="dxa"/>
          </w:tcPr>
          <w:p w14:paraId="6DA5AAAD"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6</w:t>
            </w:r>
          </w:p>
        </w:tc>
        <w:tc>
          <w:tcPr>
            <w:tcW w:w="709" w:type="dxa"/>
          </w:tcPr>
          <w:p w14:paraId="0791943B"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7</w:t>
            </w:r>
          </w:p>
        </w:tc>
        <w:tc>
          <w:tcPr>
            <w:tcW w:w="709" w:type="dxa"/>
          </w:tcPr>
          <w:p w14:paraId="76F045C4"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8</w:t>
            </w:r>
          </w:p>
        </w:tc>
      </w:tr>
      <w:tr w:rsidR="005216DC" w:rsidRPr="00422153" w14:paraId="135042A9" w14:textId="77777777" w:rsidTr="00257ED3">
        <w:trPr>
          <w:jc w:val="center"/>
        </w:trPr>
        <w:tc>
          <w:tcPr>
            <w:tcW w:w="1280" w:type="dxa"/>
          </w:tcPr>
          <w:p w14:paraId="020D102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2.5</w:t>
            </w:r>
          </w:p>
        </w:tc>
        <w:tc>
          <w:tcPr>
            <w:tcW w:w="1692" w:type="dxa"/>
            <w:gridSpan w:val="2"/>
          </w:tcPr>
          <w:p w14:paraId="4A31957D"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15</w:t>
            </w:r>
          </w:p>
        </w:tc>
        <w:tc>
          <w:tcPr>
            <w:tcW w:w="1418" w:type="dxa"/>
            <w:gridSpan w:val="2"/>
          </w:tcPr>
          <w:p w14:paraId="6B40B6C6"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2126" w:type="dxa"/>
            <w:gridSpan w:val="3"/>
          </w:tcPr>
          <w:p w14:paraId="2CB0BD0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25</w:t>
            </w:r>
          </w:p>
        </w:tc>
      </w:tr>
      <w:tr w:rsidR="005216DC" w:rsidRPr="00422153" w14:paraId="461A0AA7" w14:textId="77777777" w:rsidTr="00257ED3">
        <w:trPr>
          <w:jc w:val="center"/>
        </w:trPr>
        <w:tc>
          <w:tcPr>
            <w:tcW w:w="1280" w:type="dxa"/>
          </w:tcPr>
          <w:p w14:paraId="0919F8B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4.0</w:t>
            </w:r>
          </w:p>
        </w:tc>
        <w:tc>
          <w:tcPr>
            <w:tcW w:w="842" w:type="dxa"/>
          </w:tcPr>
          <w:p w14:paraId="4466EAC8"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1559" w:type="dxa"/>
            <w:gridSpan w:val="2"/>
          </w:tcPr>
          <w:p w14:paraId="3B49C8E2"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2126" w:type="dxa"/>
            <w:gridSpan w:val="3"/>
          </w:tcPr>
          <w:p w14:paraId="18AC51DB"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25</w:t>
            </w:r>
          </w:p>
        </w:tc>
        <w:tc>
          <w:tcPr>
            <w:tcW w:w="709" w:type="dxa"/>
          </w:tcPr>
          <w:p w14:paraId="25CD0A8A"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32</w:t>
            </w:r>
          </w:p>
        </w:tc>
      </w:tr>
    </w:tbl>
    <w:p w14:paraId="70177D2F" w14:textId="77777777" w:rsidR="005216DC" w:rsidRPr="00422153" w:rsidRDefault="005216DC" w:rsidP="005216DC">
      <w:pPr>
        <w:spacing w:line="360" w:lineRule="auto"/>
        <w:rPr>
          <w:rFonts w:ascii="宋体" w:eastAsia="宋体" w:hAnsi="宋体" w:hint="eastAsia"/>
          <w:sz w:val="24"/>
          <w:szCs w:val="24"/>
        </w:rPr>
      </w:pPr>
      <w:r w:rsidRPr="00422153">
        <w:rPr>
          <w:rFonts w:ascii="宋体" w:eastAsia="宋体" w:hAnsi="宋体"/>
          <w:sz w:val="24"/>
          <w:szCs w:val="24"/>
        </w:rPr>
        <w:lastRenderedPageBreak/>
        <w:tab/>
      </w:r>
      <w:r w:rsidRPr="00422153">
        <w:rPr>
          <w:rFonts w:ascii="宋体" w:eastAsia="宋体" w:hAnsi="宋体" w:hint="eastAsia"/>
          <w:sz w:val="24"/>
          <w:szCs w:val="24"/>
        </w:rPr>
        <w:t>WDZ-BYJ</w:t>
      </w:r>
      <w:proofErr w:type="gramStart"/>
      <w:r w:rsidRPr="00422153">
        <w:rPr>
          <w:rFonts w:ascii="宋体" w:eastAsia="宋体" w:hAnsi="宋体" w:hint="eastAsia"/>
          <w:sz w:val="24"/>
          <w:szCs w:val="24"/>
        </w:rPr>
        <w:t>(BV)</w:t>
      </w:r>
      <w:proofErr w:type="gramEnd"/>
      <w:r w:rsidRPr="00422153">
        <w:rPr>
          <w:rFonts w:ascii="宋体" w:eastAsia="宋体" w:hAnsi="宋体" w:hint="eastAsia"/>
          <w:sz w:val="24"/>
          <w:szCs w:val="24"/>
        </w:rPr>
        <w:t>型绝缘线穿PC钢管管径选择 单位：mm</w:t>
      </w:r>
    </w:p>
    <w:tbl>
      <w:tblPr>
        <w:tblStyle w:val="af2"/>
        <w:tblW w:w="0" w:type="auto"/>
        <w:jc w:val="center"/>
        <w:tblLook w:val="04A0" w:firstRow="1" w:lastRow="0" w:firstColumn="1" w:lastColumn="0" w:noHBand="0" w:noVBand="1"/>
      </w:tblPr>
      <w:tblGrid>
        <w:gridCol w:w="1280"/>
        <w:gridCol w:w="842"/>
        <w:gridCol w:w="850"/>
        <w:gridCol w:w="709"/>
        <w:gridCol w:w="709"/>
        <w:gridCol w:w="708"/>
        <w:gridCol w:w="709"/>
        <w:gridCol w:w="709"/>
      </w:tblGrid>
      <w:tr w:rsidR="005216DC" w:rsidRPr="00422153" w14:paraId="2396F99E" w14:textId="77777777" w:rsidTr="00257ED3">
        <w:trPr>
          <w:jc w:val="center"/>
        </w:trPr>
        <w:tc>
          <w:tcPr>
            <w:tcW w:w="1280" w:type="dxa"/>
          </w:tcPr>
          <w:p w14:paraId="502A7014"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导线截面</w:t>
            </w:r>
          </w:p>
        </w:tc>
        <w:tc>
          <w:tcPr>
            <w:tcW w:w="5236" w:type="dxa"/>
            <w:gridSpan w:val="7"/>
          </w:tcPr>
          <w:p w14:paraId="071AA0C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导 线 根 数</w:t>
            </w:r>
          </w:p>
        </w:tc>
      </w:tr>
      <w:tr w:rsidR="005216DC" w:rsidRPr="00422153" w14:paraId="07AFF4E1" w14:textId="77777777" w:rsidTr="00257ED3">
        <w:trPr>
          <w:jc w:val="center"/>
        </w:trPr>
        <w:tc>
          <w:tcPr>
            <w:tcW w:w="1280" w:type="dxa"/>
          </w:tcPr>
          <w:p w14:paraId="71F2D78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（mm²）</w:t>
            </w:r>
          </w:p>
        </w:tc>
        <w:tc>
          <w:tcPr>
            <w:tcW w:w="842" w:type="dxa"/>
          </w:tcPr>
          <w:p w14:paraId="0C43013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w:t>
            </w:r>
          </w:p>
        </w:tc>
        <w:tc>
          <w:tcPr>
            <w:tcW w:w="850" w:type="dxa"/>
          </w:tcPr>
          <w:p w14:paraId="0191F35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3</w:t>
            </w:r>
          </w:p>
        </w:tc>
        <w:tc>
          <w:tcPr>
            <w:tcW w:w="709" w:type="dxa"/>
          </w:tcPr>
          <w:p w14:paraId="57314D6F"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4</w:t>
            </w:r>
          </w:p>
        </w:tc>
        <w:tc>
          <w:tcPr>
            <w:tcW w:w="709" w:type="dxa"/>
          </w:tcPr>
          <w:p w14:paraId="19748CB2"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5</w:t>
            </w:r>
          </w:p>
        </w:tc>
        <w:tc>
          <w:tcPr>
            <w:tcW w:w="708" w:type="dxa"/>
          </w:tcPr>
          <w:p w14:paraId="274640CA"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6</w:t>
            </w:r>
          </w:p>
        </w:tc>
        <w:tc>
          <w:tcPr>
            <w:tcW w:w="709" w:type="dxa"/>
          </w:tcPr>
          <w:p w14:paraId="4D303ABB"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7</w:t>
            </w:r>
          </w:p>
        </w:tc>
        <w:tc>
          <w:tcPr>
            <w:tcW w:w="709" w:type="dxa"/>
          </w:tcPr>
          <w:p w14:paraId="4E49FE5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8</w:t>
            </w:r>
          </w:p>
        </w:tc>
      </w:tr>
      <w:tr w:rsidR="005216DC" w:rsidRPr="00422153" w14:paraId="72E697BA" w14:textId="77777777" w:rsidTr="00257ED3">
        <w:trPr>
          <w:jc w:val="center"/>
        </w:trPr>
        <w:tc>
          <w:tcPr>
            <w:tcW w:w="1280" w:type="dxa"/>
          </w:tcPr>
          <w:p w14:paraId="04520CF8"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2.5</w:t>
            </w:r>
          </w:p>
        </w:tc>
        <w:tc>
          <w:tcPr>
            <w:tcW w:w="842" w:type="dxa"/>
          </w:tcPr>
          <w:p w14:paraId="5AC84688"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16</w:t>
            </w:r>
          </w:p>
        </w:tc>
        <w:tc>
          <w:tcPr>
            <w:tcW w:w="850" w:type="dxa"/>
          </w:tcPr>
          <w:p w14:paraId="5046B156"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2126" w:type="dxa"/>
            <w:gridSpan w:val="3"/>
          </w:tcPr>
          <w:p w14:paraId="430E199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1418" w:type="dxa"/>
            <w:gridSpan w:val="2"/>
          </w:tcPr>
          <w:p w14:paraId="0EF89E8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25</w:t>
            </w:r>
          </w:p>
        </w:tc>
      </w:tr>
      <w:tr w:rsidR="005216DC" w:rsidRPr="00422153" w14:paraId="386F5B06" w14:textId="77777777" w:rsidTr="00257ED3">
        <w:trPr>
          <w:jc w:val="center"/>
        </w:trPr>
        <w:tc>
          <w:tcPr>
            <w:tcW w:w="1280" w:type="dxa"/>
          </w:tcPr>
          <w:p w14:paraId="1357AFF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4.0</w:t>
            </w:r>
          </w:p>
        </w:tc>
        <w:tc>
          <w:tcPr>
            <w:tcW w:w="842" w:type="dxa"/>
          </w:tcPr>
          <w:p w14:paraId="2607224D"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1559" w:type="dxa"/>
            <w:gridSpan w:val="2"/>
          </w:tcPr>
          <w:p w14:paraId="7ABBAFF2"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20</w:t>
            </w:r>
          </w:p>
        </w:tc>
        <w:tc>
          <w:tcPr>
            <w:tcW w:w="2126" w:type="dxa"/>
            <w:gridSpan w:val="3"/>
          </w:tcPr>
          <w:p w14:paraId="0D59DE2A"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25</w:t>
            </w:r>
          </w:p>
        </w:tc>
        <w:tc>
          <w:tcPr>
            <w:tcW w:w="709" w:type="dxa"/>
          </w:tcPr>
          <w:p w14:paraId="4BAC9F7D"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32</w:t>
            </w:r>
          </w:p>
        </w:tc>
      </w:tr>
    </w:tbl>
    <w:p w14:paraId="2303BC2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3）电缆桥架布线要求：</w:t>
      </w:r>
    </w:p>
    <w:p w14:paraId="6155651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a</w:t>
      </w:r>
      <w:r w:rsidRPr="00422153">
        <w:rPr>
          <w:rFonts w:ascii="宋体" w:eastAsia="宋体" w:hAnsi="宋体" w:hint="eastAsia"/>
          <w:sz w:val="24"/>
          <w:szCs w:val="24"/>
        </w:rPr>
        <w:t>、</w:t>
      </w:r>
      <w:r w:rsidRPr="00422153">
        <w:rPr>
          <w:rFonts w:ascii="宋体" w:eastAsia="宋体" w:hAnsi="宋体"/>
          <w:sz w:val="24"/>
          <w:szCs w:val="24"/>
        </w:rPr>
        <w:t>电缆桥架水平敷设时，跨距宜为1.5~3.0m。垂直敷设时，其固定点间距不宜大2.0m。</w:t>
      </w:r>
    </w:p>
    <w:p w14:paraId="24138C5B"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b</w:t>
      </w:r>
      <w:r w:rsidRPr="00422153">
        <w:rPr>
          <w:rFonts w:ascii="宋体" w:eastAsia="宋体" w:hAnsi="宋体" w:hint="eastAsia"/>
          <w:sz w:val="24"/>
          <w:szCs w:val="24"/>
        </w:rPr>
        <w:t>、</w:t>
      </w:r>
      <w:r w:rsidRPr="00422153">
        <w:rPr>
          <w:rFonts w:ascii="宋体" w:eastAsia="宋体" w:hAnsi="宋体"/>
          <w:sz w:val="24"/>
          <w:szCs w:val="24"/>
        </w:rPr>
        <w:t>电缆桥架内的电缆应在下列部位进行固定：垂直敷设时，电缆的上端及每隔1.5~2m处；水平敷设时，电缆的首、尾两端、转弯及</w:t>
      </w:r>
      <w:r w:rsidRPr="00422153">
        <w:rPr>
          <w:rFonts w:ascii="宋体" w:eastAsia="宋体" w:hAnsi="宋体" w:hint="eastAsia"/>
          <w:sz w:val="24"/>
          <w:szCs w:val="24"/>
        </w:rPr>
        <w:t>每隔</w:t>
      </w:r>
      <w:r w:rsidRPr="00422153">
        <w:rPr>
          <w:rFonts w:ascii="宋体" w:eastAsia="宋体" w:hAnsi="宋体"/>
          <w:sz w:val="24"/>
          <w:szCs w:val="24"/>
        </w:rPr>
        <w:t>5~10m处；大于45°倾斜敷设时，电缆的上端及每隔2m处。</w:t>
      </w:r>
    </w:p>
    <w:p w14:paraId="1CFC3B9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c、</w:t>
      </w:r>
      <w:r w:rsidRPr="00422153">
        <w:rPr>
          <w:rFonts w:ascii="宋体" w:eastAsia="宋体" w:hAnsi="宋体"/>
          <w:sz w:val="24"/>
          <w:szCs w:val="24"/>
        </w:rPr>
        <w:t>钢制电缆桥架当直线段长度超过30m时，或当电缆桥架经过建筑伸缩（沉降）缝时应留补偿余量，并采用伸缩连接板连接。</w:t>
      </w:r>
    </w:p>
    <w:p w14:paraId="138753C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d</w:t>
      </w:r>
      <w:r w:rsidRPr="00422153">
        <w:rPr>
          <w:rFonts w:ascii="宋体" w:eastAsia="宋体" w:hAnsi="宋体" w:hint="eastAsia"/>
          <w:sz w:val="24"/>
          <w:szCs w:val="24"/>
        </w:rPr>
        <w:t>、</w:t>
      </w:r>
      <w:r w:rsidRPr="00422153">
        <w:rPr>
          <w:rFonts w:ascii="宋体" w:eastAsia="宋体" w:hAnsi="宋体"/>
          <w:sz w:val="24"/>
          <w:szCs w:val="24"/>
        </w:rPr>
        <w:t>金属电缆桥架及其支架和引入或引出电缆的金属管应可靠接地，全长应不少于2处与接地干线相连。</w:t>
      </w:r>
    </w:p>
    <w:p w14:paraId="49A66C36"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e</w:t>
      </w:r>
      <w:r w:rsidRPr="00422153">
        <w:rPr>
          <w:rFonts w:ascii="宋体" w:eastAsia="宋体" w:hAnsi="宋体" w:hint="eastAsia"/>
          <w:sz w:val="24"/>
          <w:szCs w:val="24"/>
        </w:rPr>
        <w:t>、</w:t>
      </w:r>
      <w:r w:rsidRPr="00422153">
        <w:rPr>
          <w:rFonts w:ascii="宋体" w:eastAsia="宋体" w:hAnsi="宋体"/>
          <w:sz w:val="24"/>
          <w:szCs w:val="24"/>
        </w:rPr>
        <w:t>线路敷设方式、敷设部位以及灯具安装方式的标注方式参见附表：</w:t>
      </w:r>
    </w:p>
    <w:p w14:paraId="109228D0" w14:textId="77777777" w:rsidR="005216DC" w:rsidRPr="00422153" w:rsidRDefault="005216DC" w:rsidP="005216DC">
      <w:pPr>
        <w:spacing w:line="360" w:lineRule="auto"/>
        <w:ind w:firstLineChars="200" w:firstLine="420"/>
        <w:jc w:val="center"/>
        <w:rPr>
          <w:rFonts w:ascii="宋体" w:eastAsia="宋体" w:hAnsi="宋体" w:hint="eastAsia"/>
          <w:szCs w:val="21"/>
        </w:rPr>
      </w:pPr>
      <w:r w:rsidRPr="00422153">
        <w:rPr>
          <w:rFonts w:ascii="宋体" w:eastAsia="宋体" w:hAnsi="宋体" w:hint="eastAsia"/>
          <w:szCs w:val="21"/>
        </w:rPr>
        <w:t>线缆敷设方式的标注</w:t>
      </w:r>
    </w:p>
    <w:tbl>
      <w:tblPr>
        <w:tblStyle w:val="af2"/>
        <w:tblW w:w="0" w:type="auto"/>
        <w:jc w:val="center"/>
        <w:tblLook w:val="04A0" w:firstRow="1" w:lastRow="0" w:firstColumn="1" w:lastColumn="0" w:noHBand="0" w:noVBand="1"/>
      </w:tblPr>
      <w:tblGrid>
        <w:gridCol w:w="887"/>
        <w:gridCol w:w="2144"/>
        <w:gridCol w:w="1249"/>
        <w:gridCol w:w="756"/>
        <w:gridCol w:w="2030"/>
        <w:gridCol w:w="1230"/>
      </w:tblGrid>
      <w:tr w:rsidR="005216DC" w:rsidRPr="00422153" w14:paraId="1BA921C6" w14:textId="77777777" w:rsidTr="00257ED3">
        <w:trPr>
          <w:jc w:val="center"/>
        </w:trPr>
        <w:tc>
          <w:tcPr>
            <w:tcW w:w="992" w:type="dxa"/>
          </w:tcPr>
          <w:p w14:paraId="52347B31"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序号</w:t>
            </w:r>
          </w:p>
        </w:tc>
        <w:tc>
          <w:tcPr>
            <w:tcW w:w="2552" w:type="dxa"/>
          </w:tcPr>
          <w:p w14:paraId="4266F984" w14:textId="77777777" w:rsidR="005216DC" w:rsidRPr="00422153" w:rsidRDefault="005216DC" w:rsidP="00257ED3">
            <w:pPr>
              <w:spacing w:line="360" w:lineRule="auto"/>
              <w:jc w:val="center"/>
              <w:rPr>
                <w:rFonts w:ascii="宋体" w:eastAsia="宋体" w:hAnsi="宋体" w:hint="eastAsia"/>
                <w:sz w:val="24"/>
                <w:szCs w:val="24"/>
              </w:rPr>
            </w:pPr>
            <w:proofErr w:type="gramStart"/>
            <w:r w:rsidRPr="00422153">
              <w:rPr>
                <w:rFonts w:ascii="宋体" w:eastAsia="宋体" w:hAnsi="宋体" w:hint="eastAsia"/>
                <w:sz w:val="24"/>
                <w:szCs w:val="24"/>
              </w:rPr>
              <w:t>名  称</w:t>
            </w:r>
            <w:proofErr w:type="gramEnd"/>
          </w:p>
        </w:tc>
        <w:tc>
          <w:tcPr>
            <w:tcW w:w="1440" w:type="dxa"/>
          </w:tcPr>
          <w:p w14:paraId="037F1A51"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标注符号</w:t>
            </w:r>
          </w:p>
        </w:tc>
        <w:tc>
          <w:tcPr>
            <w:tcW w:w="828" w:type="dxa"/>
          </w:tcPr>
          <w:p w14:paraId="3E21555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序号</w:t>
            </w:r>
          </w:p>
        </w:tc>
        <w:tc>
          <w:tcPr>
            <w:tcW w:w="2410" w:type="dxa"/>
          </w:tcPr>
          <w:p w14:paraId="1FD3C220" w14:textId="77777777" w:rsidR="005216DC" w:rsidRPr="00422153" w:rsidRDefault="005216DC" w:rsidP="00257ED3">
            <w:pPr>
              <w:spacing w:line="360" w:lineRule="auto"/>
              <w:jc w:val="center"/>
              <w:rPr>
                <w:rFonts w:ascii="宋体" w:eastAsia="宋体" w:hAnsi="宋体" w:hint="eastAsia"/>
                <w:sz w:val="24"/>
                <w:szCs w:val="24"/>
              </w:rPr>
            </w:pPr>
            <w:proofErr w:type="gramStart"/>
            <w:r w:rsidRPr="00422153">
              <w:rPr>
                <w:rFonts w:ascii="宋体" w:eastAsia="宋体" w:hAnsi="宋体" w:hint="eastAsia"/>
                <w:sz w:val="24"/>
                <w:szCs w:val="24"/>
              </w:rPr>
              <w:t>名  称</w:t>
            </w:r>
            <w:proofErr w:type="gramEnd"/>
          </w:p>
        </w:tc>
        <w:tc>
          <w:tcPr>
            <w:tcW w:w="1417" w:type="dxa"/>
          </w:tcPr>
          <w:p w14:paraId="19CAFF1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标注符号</w:t>
            </w:r>
          </w:p>
        </w:tc>
      </w:tr>
      <w:tr w:rsidR="005216DC" w:rsidRPr="00422153" w14:paraId="493D7DCE" w14:textId="77777777" w:rsidTr="00257ED3">
        <w:trPr>
          <w:jc w:val="center"/>
        </w:trPr>
        <w:tc>
          <w:tcPr>
            <w:tcW w:w="992" w:type="dxa"/>
          </w:tcPr>
          <w:p w14:paraId="42816B8B"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1</w:t>
            </w:r>
          </w:p>
        </w:tc>
        <w:tc>
          <w:tcPr>
            <w:tcW w:w="2552" w:type="dxa"/>
          </w:tcPr>
          <w:p w14:paraId="7A077953" w14:textId="77777777" w:rsidR="005216DC" w:rsidRPr="00755DD7" w:rsidRDefault="005216DC" w:rsidP="00257ED3">
            <w:pPr>
              <w:jc w:val="center"/>
              <w:rPr>
                <w:rFonts w:ascii="宋体" w:eastAsia="宋体" w:hAnsi="宋体" w:hint="eastAsia"/>
                <w:sz w:val="24"/>
                <w:szCs w:val="24"/>
              </w:rPr>
            </w:pPr>
            <w:r w:rsidRPr="00755DD7">
              <w:rPr>
                <w:rFonts w:ascii="宋体" w:eastAsia="宋体" w:hAnsi="宋体"/>
                <w:sz w:val="24"/>
                <w:szCs w:val="24"/>
              </w:rPr>
              <w:t>穿焊接钢管或镀锌钢管敷设</w:t>
            </w:r>
          </w:p>
        </w:tc>
        <w:tc>
          <w:tcPr>
            <w:tcW w:w="1440" w:type="dxa"/>
          </w:tcPr>
          <w:p w14:paraId="0BC67073"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SC</w:t>
            </w:r>
          </w:p>
        </w:tc>
        <w:tc>
          <w:tcPr>
            <w:tcW w:w="828" w:type="dxa"/>
          </w:tcPr>
          <w:p w14:paraId="56D492AA"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w:t>
            </w:r>
          </w:p>
        </w:tc>
        <w:tc>
          <w:tcPr>
            <w:tcW w:w="2410" w:type="dxa"/>
          </w:tcPr>
          <w:p w14:paraId="340B6803"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金属线槽敷设</w:t>
            </w:r>
          </w:p>
        </w:tc>
        <w:tc>
          <w:tcPr>
            <w:tcW w:w="1417" w:type="dxa"/>
          </w:tcPr>
          <w:p w14:paraId="34A2164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MR</w:t>
            </w:r>
          </w:p>
        </w:tc>
      </w:tr>
      <w:tr w:rsidR="005216DC" w:rsidRPr="00422153" w14:paraId="18E8E678" w14:textId="77777777" w:rsidTr="00257ED3">
        <w:trPr>
          <w:jc w:val="center"/>
        </w:trPr>
        <w:tc>
          <w:tcPr>
            <w:tcW w:w="992" w:type="dxa"/>
          </w:tcPr>
          <w:p w14:paraId="571023C6"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3</w:t>
            </w:r>
          </w:p>
        </w:tc>
        <w:tc>
          <w:tcPr>
            <w:tcW w:w="2552" w:type="dxa"/>
          </w:tcPr>
          <w:p w14:paraId="213937E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穿电线专用PC管敷设</w:t>
            </w:r>
          </w:p>
        </w:tc>
        <w:tc>
          <w:tcPr>
            <w:tcW w:w="1440" w:type="dxa"/>
          </w:tcPr>
          <w:p w14:paraId="2B224BA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PC</w:t>
            </w:r>
          </w:p>
        </w:tc>
        <w:tc>
          <w:tcPr>
            <w:tcW w:w="828" w:type="dxa"/>
          </w:tcPr>
          <w:p w14:paraId="5DBCD1A8"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4</w:t>
            </w:r>
          </w:p>
        </w:tc>
        <w:tc>
          <w:tcPr>
            <w:tcW w:w="2410" w:type="dxa"/>
          </w:tcPr>
          <w:p w14:paraId="2FC3F64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电缆桥架敷设</w:t>
            </w:r>
          </w:p>
        </w:tc>
        <w:tc>
          <w:tcPr>
            <w:tcW w:w="1417" w:type="dxa"/>
          </w:tcPr>
          <w:p w14:paraId="0BCB7F8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CT</w:t>
            </w:r>
          </w:p>
        </w:tc>
      </w:tr>
    </w:tbl>
    <w:p w14:paraId="39DE3D72" w14:textId="77777777" w:rsidR="005216DC" w:rsidRPr="00422153" w:rsidRDefault="005216DC" w:rsidP="005216DC">
      <w:pPr>
        <w:spacing w:line="360" w:lineRule="auto"/>
        <w:ind w:firstLineChars="200" w:firstLine="420"/>
        <w:jc w:val="center"/>
        <w:rPr>
          <w:rFonts w:ascii="宋体" w:eastAsia="宋体" w:hAnsi="宋体" w:hint="eastAsia"/>
          <w:szCs w:val="21"/>
        </w:rPr>
      </w:pPr>
      <w:r w:rsidRPr="00422153">
        <w:rPr>
          <w:rFonts w:ascii="宋体" w:eastAsia="宋体" w:hAnsi="宋体" w:hint="eastAsia"/>
          <w:szCs w:val="21"/>
        </w:rPr>
        <w:t>线缆敷设部位的标注</w:t>
      </w:r>
    </w:p>
    <w:tbl>
      <w:tblPr>
        <w:tblStyle w:val="af2"/>
        <w:tblW w:w="0" w:type="auto"/>
        <w:jc w:val="center"/>
        <w:tblLook w:val="04A0" w:firstRow="1" w:lastRow="0" w:firstColumn="1" w:lastColumn="0" w:noHBand="0" w:noVBand="1"/>
      </w:tblPr>
      <w:tblGrid>
        <w:gridCol w:w="887"/>
        <w:gridCol w:w="2144"/>
        <w:gridCol w:w="1249"/>
        <w:gridCol w:w="756"/>
        <w:gridCol w:w="2030"/>
        <w:gridCol w:w="1230"/>
      </w:tblGrid>
      <w:tr w:rsidR="005216DC" w:rsidRPr="00422153" w14:paraId="10521E80" w14:textId="77777777" w:rsidTr="00257ED3">
        <w:trPr>
          <w:jc w:val="center"/>
        </w:trPr>
        <w:tc>
          <w:tcPr>
            <w:tcW w:w="992" w:type="dxa"/>
          </w:tcPr>
          <w:p w14:paraId="1DE80C91"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序号</w:t>
            </w:r>
          </w:p>
        </w:tc>
        <w:tc>
          <w:tcPr>
            <w:tcW w:w="2552" w:type="dxa"/>
          </w:tcPr>
          <w:p w14:paraId="6A36DB75" w14:textId="77777777" w:rsidR="005216DC" w:rsidRPr="00422153" w:rsidRDefault="005216DC" w:rsidP="00257ED3">
            <w:pPr>
              <w:spacing w:line="360" w:lineRule="auto"/>
              <w:jc w:val="center"/>
              <w:rPr>
                <w:rFonts w:ascii="宋体" w:eastAsia="宋体" w:hAnsi="宋体" w:hint="eastAsia"/>
                <w:sz w:val="24"/>
                <w:szCs w:val="24"/>
              </w:rPr>
            </w:pPr>
            <w:proofErr w:type="gramStart"/>
            <w:r w:rsidRPr="00422153">
              <w:rPr>
                <w:rFonts w:ascii="宋体" w:eastAsia="宋体" w:hAnsi="宋体" w:hint="eastAsia"/>
                <w:sz w:val="24"/>
                <w:szCs w:val="24"/>
              </w:rPr>
              <w:t>名  称</w:t>
            </w:r>
            <w:proofErr w:type="gramEnd"/>
          </w:p>
        </w:tc>
        <w:tc>
          <w:tcPr>
            <w:tcW w:w="1440" w:type="dxa"/>
          </w:tcPr>
          <w:p w14:paraId="558E0DF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标注符号</w:t>
            </w:r>
          </w:p>
        </w:tc>
        <w:tc>
          <w:tcPr>
            <w:tcW w:w="828" w:type="dxa"/>
          </w:tcPr>
          <w:p w14:paraId="45BA9D3D"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序号</w:t>
            </w:r>
          </w:p>
        </w:tc>
        <w:tc>
          <w:tcPr>
            <w:tcW w:w="2410" w:type="dxa"/>
          </w:tcPr>
          <w:p w14:paraId="232F0534" w14:textId="77777777" w:rsidR="005216DC" w:rsidRPr="00422153" w:rsidRDefault="005216DC" w:rsidP="00257ED3">
            <w:pPr>
              <w:spacing w:line="360" w:lineRule="auto"/>
              <w:jc w:val="center"/>
              <w:rPr>
                <w:rFonts w:ascii="宋体" w:eastAsia="宋体" w:hAnsi="宋体" w:hint="eastAsia"/>
                <w:sz w:val="24"/>
                <w:szCs w:val="24"/>
              </w:rPr>
            </w:pPr>
            <w:proofErr w:type="gramStart"/>
            <w:r w:rsidRPr="00422153">
              <w:rPr>
                <w:rFonts w:ascii="宋体" w:eastAsia="宋体" w:hAnsi="宋体" w:hint="eastAsia"/>
                <w:sz w:val="24"/>
                <w:szCs w:val="24"/>
              </w:rPr>
              <w:t>名  称</w:t>
            </w:r>
            <w:proofErr w:type="gramEnd"/>
          </w:p>
        </w:tc>
        <w:tc>
          <w:tcPr>
            <w:tcW w:w="1417" w:type="dxa"/>
          </w:tcPr>
          <w:p w14:paraId="5DE75FC6"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标注符号</w:t>
            </w:r>
          </w:p>
        </w:tc>
      </w:tr>
      <w:tr w:rsidR="005216DC" w:rsidRPr="00422153" w14:paraId="66E7FE28" w14:textId="77777777" w:rsidTr="00257ED3">
        <w:trPr>
          <w:jc w:val="center"/>
        </w:trPr>
        <w:tc>
          <w:tcPr>
            <w:tcW w:w="992" w:type="dxa"/>
          </w:tcPr>
          <w:p w14:paraId="3968D9B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1</w:t>
            </w:r>
          </w:p>
        </w:tc>
        <w:tc>
          <w:tcPr>
            <w:tcW w:w="2552" w:type="dxa"/>
          </w:tcPr>
          <w:p w14:paraId="0675D4D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沿墙面明敷设</w:t>
            </w:r>
          </w:p>
        </w:tc>
        <w:tc>
          <w:tcPr>
            <w:tcW w:w="1440" w:type="dxa"/>
          </w:tcPr>
          <w:p w14:paraId="71732A3F"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WE</w:t>
            </w:r>
          </w:p>
        </w:tc>
        <w:tc>
          <w:tcPr>
            <w:tcW w:w="828" w:type="dxa"/>
          </w:tcPr>
          <w:p w14:paraId="6A28B389"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2</w:t>
            </w:r>
          </w:p>
        </w:tc>
        <w:tc>
          <w:tcPr>
            <w:tcW w:w="2410" w:type="dxa"/>
          </w:tcPr>
          <w:p w14:paraId="367C8A54"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暗敷在屋面或顶板内</w:t>
            </w:r>
          </w:p>
        </w:tc>
        <w:tc>
          <w:tcPr>
            <w:tcW w:w="1417" w:type="dxa"/>
          </w:tcPr>
          <w:p w14:paraId="62D38025"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CC</w:t>
            </w:r>
          </w:p>
        </w:tc>
      </w:tr>
      <w:tr w:rsidR="005216DC" w:rsidRPr="00422153" w14:paraId="65AC4E26" w14:textId="77777777" w:rsidTr="00257ED3">
        <w:trPr>
          <w:jc w:val="center"/>
        </w:trPr>
        <w:tc>
          <w:tcPr>
            <w:tcW w:w="992" w:type="dxa"/>
          </w:tcPr>
          <w:p w14:paraId="6D0E21E4"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3</w:t>
            </w:r>
          </w:p>
        </w:tc>
        <w:tc>
          <w:tcPr>
            <w:tcW w:w="2552" w:type="dxa"/>
          </w:tcPr>
          <w:p w14:paraId="52370E1B"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暗敷在墙内</w:t>
            </w:r>
          </w:p>
        </w:tc>
        <w:tc>
          <w:tcPr>
            <w:tcW w:w="1440" w:type="dxa"/>
          </w:tcPr>
          <w:p w14:paraId="2524F967"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WC</w:t>
            </w:r>
          </w:p>
        </w:tc>
        <w:tc>
          <w:tcPr>
            <w:tcW w:w="828" w:type="dxa"/>
          </w:tcPr>
          <w:p w14:paraId="1680A4DC"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4</w:t>
            </w:r>
          </w:p>
        </w:tc>
        <w:tc>
          <w:tcPr>
            <w:tcW w:w="2410" w:type="dxa"/>
          </w:tcPr>
          <w:p w14:paraId="6041477D"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地板或地面下敷设</w:t>
            </w:r>
          </w:p>
        </w:tc>
        <w:tc>
          <w:tcPr>
            <w:tcW w:w="1417" w:type="dxa"/>
          </w:tcPr>
          <w:p w14:paraId="43606FC2" w14:textId="77777777" w:rsidR="005216DC" w:rsidRPr="00422153" w:rsidRDefault="005216DC" w:rsidP="00257ED3">
            <w:pPr>
              <w:spacing w:line="360" w:lineRule="auto"/>
              <w:jc w:val="center"/>
              <w:rPr>
                <w:rFonts w:ascii="宋体" w:eastAsia="宋体" w:hAnsi="宋体" w:hint="eastAsia"/>
                <w:sz w:val="24"/>
                <w:szCs w:val="24"/>
              </w:rPr>
            </w:pPr>
            <w:r w:rsidRPr="00422153">
              <w:rPr>
                <w:rFonts w:ascii="宋体" w:eastAsia="宋体" w:hAnsi="宋体" w:hint="eastAsia"/>
                <w:sz w:val="24"/>
                <w:szCs w:val="24"/>
              </w:rPr>
              <w:t>FC</w:t>
            </w:r>
          </w:p>
        </w:tc>
      </w:tr>
    </w:tbl>
    <w:p w14:paraId="1E3EFE7E"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w:t>
      </w:r>
      <w:r w:rsidRPr="00422153">
        <w:rPr>
          <w:rFonts w:ascii="宋体" w:eastAsia="宋体" w:hAnsi="宋体"/>
          <w:sz w:val="24"/>
          <w:szCs w:val="24"/>
        </w:rPr>
        <w:t>9）电线管与热水管、蒸汽管同侧敷设时，应敷设在热水管、蒸汽管下面。有困难时，可敷设在其上面。相互间的净距不小于下列数值：</w:t>
      </w:r>
    </w:p>
    <w:p w14:paraId="71B5F6D2" w14:textId="77777777" w:rsidR="005216DC" w:rsidRPr="00422153" w:rsidRDefault="005216DC" w:rsidP="005216DC">
      <w:pPr>
        <w:pStyle w:val="a9"/>
        <w:numPr>
          <w:ilvl w:val="0"/>
          <w:numId w:val="1"/>
        </w:numPr>
        <w:spacing w:line="360" w:lineRule="auto"/>
        <w:contextualSpacing w:val="0"/>
        <w:rPr>
          <w:rFonts w:ascii="宋体" w:eastAsia="宋体" w:hAnsi="宋体" w:hint="eastAsia"/>
          <w:sz w:val="24"/>
          <w:szCs w:val="24"/>
        </w:rPr>
      </w:pPr>
      <w:r w:rsidRPr="00422153">
        <w:rPr>
          <w:rFonts w:ascii="宋体" w:eastAsia="宋体" w:hAnsi="宋体" w:hint="eastAsia"/>
          <w:sz w:val="24"/>
          <w:szCs w:val="24"/>
        </w:rPr>
        <w:lastRenderedPageBreak/>
        <w:t>当管路敷设在热水管下面时为</w:t>
      </w:r>
      <w:r w:rsidRPr="00422153">
        <w:rPr>
          <w:rFonts w:ascii="宋体" w:eastAsia="宋体" w:hAnsi="宋体"/>
          <w:sz w:val="24"/>
          <w:szCs w:val="24"/>
        </w:rPr>
        <w:t>0.2m，上面时为0.3m。</w:t>
      </w:r>
    </w:p>
    <w:p w14:paraId="6CCAC854" w14:textId="77777777" w:rsidR="005216DC" w:rsidRPr="00422153" w:rsidRDefault="005216DC" w:rsidP="005216DC">
      <w:pPr>
        <w:pStyle w:val="a9"/>
        <w:numPr>
          <w:ilvl w:val="0"/>
          <w:numId w:val="1"/>
        </w:numPr>
        <w:spacing w:line="360" w:lineRule="auto"/>
        <w:contextualSpacing w:val="0"/>
        <w:rPr>
          <w:rFonts w:ascii="宋体" w:eastAsia="宋体" w:hAnsi="宋体" w:hint="eastAsia"/>
          <w:sz w:val="24"/>
          <w:szCs w:val="24"/>
        </w:rPr>
      </w:pPr>
      <w:r w:rsidRPr="00422153">
        <w:rPr>
          <w:rFonts w:ascii="宋体" w:eastAsia="宋体" w:hAnsi="宋体" w:hint="eastAsia"/>
          <w:sz w:val="24"/>
          <w:szCs w:val="24"/>
        </w:rPr>
        <w:t>当管路敷设在蒸汽管下面时为</w:t>
      </w:r>
      <w:r w:rsidRPr="00422153">
        <w:rPr>
          <w:rFonts w:ascii="宋体" w:eastAsia="宋体" w:hAnsi="宋体"/>
          <w:sz w:val="24"/>
          <w:szCs w:val="24"/>
        </w:rPr>
        <w:t>0.5m，上面时为1.0m。当不能符合上述要求时，应采取隔热措施，对于有保温措施的蒸汽管，上下净距可减到0.2m。电线管路与其它管道（不包括可燃气体、可燃液体管道）平行净距不应小于0.1m。当与水管同侧敷设时，宜敷设在水管的上面。当管</w:t>
      </w:r>
      <w:r w:rsidRPr="00422153">
        <w:rPr>
          <w:rFonts w:ascii="宋体" w:eastAsia="宋体" w:hAnsi="宋体" w:hint="eastAsia"/>
          <w:sz w:val="24"/>
          <w:szCs w:val="24"/>
        </w:rPr>
        <w:t>路互相交叉，距离不宜小于相应上述情况的平行净距。</w:t>
      </w:r>
    </w:p>
    <w:p w14:paraId="3A742A0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九、抗震设计</w:t>
      </w:r>
    </w:p>
    <w:p w14:paraId="157D8E4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本工程位于抗震设防烈度</w:t>
      </w:r>
      <w:r w:rsidRPr="00422153">
        <w:rPr>
          <w:rFonts w:ascii="宋体" w:eastAsia="宋体" w:hAnsi="宋体"/>
          <w:sz w:val="24"/>
          <w:szCs w:val="24"/>
        </w:rPr>
        <w:t>8度区。抗震设防烈度6度及6度以上地区的建筑机电工程设施必须进行抗震设计。其主要的设计标准如下：</w:t>
      </w:r>
    </w:p>
    <w:p w14:paraId="0CC85965"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w:t>
      </w:r>
      <w:r w:rsidRPr="00422153">
        <w:rPr>
          <w:rFonts w:ascii="宋体" w:eastAsia="宋体" w:hAnsi="宋体" w:hint="eastAsia"/>
          <w:sz w:val="24"/>
          <w:szCs w:val="24"/>
        </w:rPr>
        <w:t>、</w:t>
      </w:r>
      <w:r w:rsidRPr="00422153">
        <w:rPr>
          <w:rFonts w:ascii="宋体" w:eastAsia="宋体" w:hAnsi="宋体"/>
          <w:sz w:val="24"/>
          <w:szCs w:val="24"/>
        </w:rPr>
        <w:t>地震时应能保证人流疏散应急照明及相关设备供电；地震时需要坚持工作场所需要设置应急电源装置；地震时应保证通信设备电源的供给、</w:t>
      </w:r>
      <w:r w:rsidRPr="00422153">
        <w:rPr>
          <w:rFonts w:ascii="宋体" w:eastAsia="宋体" w:hAnsi="宋体" w:hint="eastAsia"/>
          <w:sz w:val="24"/>
          <w:szCs w:val="24"/>
        </w:rPr>
        <w:t>通信设备正常工作。</w:t>
      </w:r>
      <w:r w:rsidRPr="00422153">
        <w:rPr>
          <w:rFonts w:ascii="宋体" w:eastAsia="宋体" w:hAnsi="宋体"/>
          <w:sz w:val="24"/>
          <w:szCs w:val="24"/>
        </w:rPr>
        <w:t xml:space="preserve"> 金属膨胀螺栓连接。</w:t>
      </w:r>
    </w:p>
    <w:p w14:paraId="7D1A271E"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配电箱（柜）、通信设备的安装螺栓或焊接强度应满足抗震要求</w:t>
      </w:r>
      <w:r w:rsidRPr="00422153">
        <w:rPr>
          <w:rFonts w:ascii="宋体" w:eastAsia="宋体" w:hAnsi="宋体" w:hint="eastAsia"/>
          <w:sz w:val="24"/>
          <w:szCs w:val="24"/>
        </w:rPr>
        <w:t>。</w:t>
      </w:r>
      <w:r w:rsidRPr="00422153">
        <w:rPr>
          <w:rFonts w:ascii="宋体" w:eastAsia="宋体" w:hAnsi="宋体"/>
          <w:sz w:val="24"/>
          <w:szCs w:val="24"/>
        </w:rPr>
        <w:t>靠墙安装的配电柜、通信设备机柜底部安装应牢固，当底部安装螺栓</w:t>
      </w:r>
      <w:r w:rsidRPr="00422153">
        <w:rPr>
          <w:rFonts w:ascii="宋体" w:eastAsia="宋体" w:hAnsi="宋体" w:hint="eastAsia"/>
          <w:sz w:val="24"/>
          <w:szCs w:val="24"/>
        </w:rPr>
        <w:t>或焊接强度不够时，应将顶部与墙壁进行连接。当配电柜、通信设备柜等非靠墙落地安装时，根部应采用金属膨胀螺栓或焊接的固定方式，壁式安装的配电箱与隔墙之间应采用金属膨胀螺栓连接。</w:t>
      </w:r>
    </w:p>
    <w:p w14:paraId="6F5BA946"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3</w:t>
      </w:r>
      <w:r w:rsidRPr="00422153">
        <w:rPr>
          <w:rFonts w:ascii="宋体" w:eastAsia="宋体" w:hAnsi="宋体" w:hint="eastAsia"/>
          <w:sz w:val="24"/>
          <w:szCs w:val="24"/>
        </w:rPr>
        <w:t>、</w:t>
      </w:r>
      <w:r w:rsidRPr="00422153">
        <w:rPr>
          <w:rFonts w:ascii="宋体" w:eastAsia="宋体" w:hAnsi="宋体"/>
          <w:sz w:val="24"/>
          <w:szCs w:val="24"/>
        </w:rPr>
        <w:t>设在水平操作面上的安防设备应采取防止滑动措施。</w:t>
      </w:r>
    </w:p>
    <w:p w14:paraId="2A79DA8B"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4</w:t>
      </w:r>
      <w:r w:rsidRPr="00422153">
        <w:rPr>
          <w:rFonts w:ascii="宋体" w:eastAsia="宋体" w:hAnsi="宋体" w:hint="eastAsia"/>
          <w:sz w:val="24"/>
          <w:szCs w:val="24"/>
        </w:rPr>
        <w:t>、</w:t>
      </w:r>
      <w:r w:rsidRPr="00422153">
        <w:rPr>
          <w:rFonts w:ascii="宋体" w:eastAsia="宋体" w:hAnsi="宋体"/>
          <w:sz w:val="24"/>
          <w:szCs w:val="24"/>
        </w:rPr>
        <w:t>设在建筑物屋顶上的微波天线应采取防止因地震导致设备或其部件损坏后坠落伤人的安全防护措施。</w:t>
      </w:r>
    </w:p>
    <w:p w14:paraId="1FC1C09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5</w:t>
      </w:r>
      <w:r w:rsidRPr="00422153">
        <w:rPr>
          <w:rFonts w:ascii="宋体" w:eastAsia="宋体" w:hAnsi="宋体" w:hint="eastAsia"/>
          <w:sz w:val="24"/>
          <w:szCs w:val="24"/>
        </w:rPr>
        <w:t>、</w:t>
      </w:r>
      <w:r w:rsidRPr="00422153">
        <w:rPr>
          <w:rFonts w:ascii="宋体" w:eastAsia="宋体" w:hAnsi="宋体"/>
          <w:sz w:val="24"/>
          <w:szCs w:val="24"/>
        </w:rPr>
        <w:t>安装在吊装上的灯具，应考虑地震时吊顶与楼板的相对位移。</w:t>
      </w:r>
    </w:p>
    <w:p w14:paraId="67054BBF"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6</w:t>
      </w:r>
      <w:r w:rsidRPr="00422153">
        <w:rPr>
          <w:rFonts w:ascii="宋体" w:eastAsia="宋体" w:hAnsi="宋体" w:hint="eastAsia"/>
          <w:sz w:val="24"/>
          <w:szCs w:val="24"/>
        </w:rPr>
        <w:t>、</w:t>
      </w:r>
      <w:r w:rsidRPr="00422153">
        <w:rPr>
          <w:rFonts w:ascii="宋体" w:eastAsia="宋体" w:hAnsi="宋体"/>
          <w:sz w:val="24"/>
          <w:szCs w:val="24"/>
        </w:rPr>
        <w:t>在电缆桥架、电缆槽盒内敷设的线缆在引进、引出和转弯处，应在长度上留有余量</w:t>
      </w:r>
      <w:r w:rsidRPr="00422153">
        <w:rPr>
          <w:rFonts w:ascii="宋体" w:eastAsia="宋体" w:hAnsi="宋体" w:hint="eastAsia"/>
          <w:sz w:val="24"/>
          <w:szCs w:val="24"/>
        </w:rPr>
        <w:t>。</w:t>
      </w:r>
      <w:r w:rsidRPr="00422153">
        <w:rPr>
          <w:rFonts w:ascii="宋体" w:eastAsia="宋体" w:hAnsi="宋体"/>
          <w:sz w:val="24"/>
          <w:szCs w:val="24"/>
        </w:rPr>
        <w:t>接地线应采取防止地震时被切断的措施。</w:t>
      </w:r>
    </w:p>
    <w:p w14:paraId="5137CCC1"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7</w:t>
      </w:r>
      <w:r w:rsidRPr="00422153">
        <w:rPr>
          <w:rFonts w:ascii="宋体" w:eastAsia="宋体" w:hAnsi="宋体" w:hint="eastAsia"/>
          <w:sz w:val="24"/>
          <w:szCs w:val="24"/>
        </w:rPr>
        <w:t>、</w:t>
      </w:r>
      <w:r w:rsidRPr="00422153">
        <w:rPr>
          <w:rFonts w:ascii="宋体" w:eastAsia="宋体" w:hAnsi="宋体"/>
          <w:sz w:val="24"/>
          <w:szCs w:val="24"/>
        </w:rPr>
        <w:t>电气管路不宜穿越抗震缝。</w:t>
      </w:r>
    </w:p>
    <w:p w14:paraId="64B6F74E"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8</w:t>
      </w:r>
      <w:r w:rsidRPr="00422153">
        <w:rPr>
          <w:rFonts w:ascii="宋体" w:eastAsia="宋体" w:hAnsi="宋体" w:hint="eastAsia"/>
          <w:sz w:val="24"/>
          <w:szCs w:val="24"/>
        </w:rPr>
        <w:t>、</w:t>
      </w:r>
      <w:r w:rsidRPr="00422153">
        <w:rPr>
          <w:rFonts w:ascii="宋体" w:eastAsia="宋体" w:hAnsi="宋体"/>
          <w:sz w:val="24"/>
          <w:szCs w:val="24"/>
        </w:rPr>
        <w:t>当线路采用金属导管、刚性塑料导管、电缆梯架或电缆槽盒敷设时，应使用刚性托架或支架固定，不宜使用吊架。</w:t>
      </w:r>
      <w:r w:rsidRPr="00422153">
        <w:rPr>
          <w:rFonts w:ascii="宋体" w:eastAsia="宋体" w:hAnsi="宋体" w:hint="eastAsia"/>
          <w:sz w:val="24"/>
          <w:szCs w:val="24"/>
        </w:rPr>
        <w:t>当必须使用吊架时候，应安装横向防晃吊架。</w:t>
      </w:r>
    </w:p>
    <w:p w14:paraId="5A3A5A74"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9</w:t>
      </w:r>
      <w:r w:rsidRPr="00422153">
        <w:rPr>
          <w:rFonts w:ascii="宋体" w:eastAsia="宋体" w:hAnsi="宋体" w:hint="eastAsia"/>
          <w:sz w:val="24"/>
          <w:szCs w:val="24"/>
        </w:rPr>
        <w:t>、</w:t>
      </w:r>
      <w:r w:rsidRPr="00422153">
        <w:rPr>
          <w:rFonts w:ascii="宋体" w:eastAsia="宋体" w:hAnsi="宋体"/>
          <w:sz w:val="24"/>
          <w:szCs w:val="24"/>
        </w:rPr>
        <w:t>当金属导管、刚性塑料导管、电缆梯架或电缆槽盒穿越防火分区时，其缝隙应采用柔性防火封堵材料封堵，并应在贯穿部位</w:t>
      </w:r>
      <w:r w:rsidRPr="00422153">
        <w:rPr>
          <w:rFonts w:ascii="宋体" w:eastAsia="宋体" w:hAnsi="宋体" w:hint="eastAsia"/>
          <w:sz w:val="24"/>
          <w:szCs w:val="24"/>
        </w:rPr>
        <w:t>附近设置抗震支撑。金属导</w:t>
      </w:r>
      <w:r w:rsidRPr="00422153">
        <w:rPr>
          <w:rFonts w:ascii="宋体" w:eastAsia="宋体" w:hAnsi="宋体" w:hint="eastAsia"/>
          <w:sz w:val="24"/>
          <w:szCs w:val="24"/>
        </w:rPr>
        <w:lastRenderedPageBreak/>
        <w:t>管、刚性塑料导管的直线段部分每隔</w:t>
      </w:r>
      <w:r w:rsidRPr="00422153">
        <w:rPr>
          <w:rFonts w:ascii="宋体" w:eastAsia="宋体" w:hAnsi="宋体"/>
          <w:sz w:val="24"/>
          <w:szCs w:val="24"/>
        </w:rPr>
        <w:t>30m应设置伸缩节。</w:t>
      </w:r>
    </w:p>
    <w:p w14:paraId="0BACFC4B"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10</w:t>
      </w:r>
      <w:r w:rsidRPr="00422153">
        <w:rPr>
          <w:rFonts w:ascii="宋体" w:eastAsia="宋体" w:hAnsi="宋体" w:hint="eastAsia"/>
          <w:sz w:val="24"/>
          <w:szCs w:val="24"/>
        </w:rPr>
        <w:t>、</w:t>
      </w:r>
      <w:r w:rsidRPr="00422153">
        <w:rPr>
          <w:rFonts w:ascii="宋体" w:eastAsia="宋体" w:hAnsi="宋体"/>
          <w:sz w:val="24"/>
          <w:szCs w:val="24"/>
        </w:rPr>
        <w:t>配电装置至用电设备间连线宜采用软导体。当采用穿金属导管、刚性塑料导管敷设时，进口处应转为挠性线管过渡。</w:t>
      </w:r>
      <w:r w:rsidRPr="00422153">
        <w:rPr>
          <w:rFonts w:ascii="宋体" w:eastAsia="宋体" w:hAnsi="宋体" w:hint="eastAsia"/>
          <w:sz w:val="24"/>
          <w:szCs w:val="24"/>
        </w:rPr>
        <w:t>当采用电缆梯架或电缆槽盒敷设时，进口处应转为挠性线管过渡。</w:t>
      </w:r>
    </w:p>
    <w:p w14:paraId="06578F28"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十、其它</w:t>
      </w:r>
    </w:p>
    <w:p w14:paraId="681BB710"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1</w:t>
      </w:r>
      <w:r w:rsidRPr="00422153">
        <w:rPr>
          <w:rFonts w:ascii="宋体" w:eastAsia="宋体" w:hAnsi="宋体" w:hint="eastAsia"/>
          <w:sz w:val="24"/>
          <w:szCs w:val="24"/>
        </w:rPr>
        <w:t>、</w:t>
      </w:r>
      <w:r w:rsidRPr="00422153">
        <w:rPr>
          <w:rFonts w:ascii="宋体" w:eastAsia="宋体" w:hAnsi="宋体"/>
          <w:sz w:val="24"/>
          <w:szCs w:val="24"/>
        </w:rPr>
        <w:t>照明及插座平面图中线路未标注导线根数的均为3根。</w:t>
      </w:r>
    </w:p>
    <w:p w14:paraId="0A4AD03C"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sz w:val="24"/>
          <w:szCs w:val="24"/>
        </w:rPr>
        <w:t>2</w:t>
      </w:r>
      <w:r w:rsidRPr="00422153">
        <w:rPr>
          <w:rFonts w:ascii="宋体" w:eastAsia="宋体" w:hAnsi="宋体" w:hint="eastAsia"/>
          <w:sz w:val="24"/>
          <w:szCs w:val="24"/>
        </w:rPr>
        <w:t>、</w:t>
      </w:r>
      <w:r w:rsidRPr="00422153">
        <w:rPr>
          <w:rFonts w:ascii="宋体" w:eastAsia="宋体" w:hAnsi="宋体"/>
          <w:sz w:val="24"/>
          <w:szCs w:val="24"/>
        </w:rPr>
        <w:t>电气线路过沉降缝做法参见03D301-3 P39、40</w:t>
      </w:r>
    </w:p>
    <w:p w14:paraId="73234517"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 xml:space="preserve">3、室外电缆沟及电井做法详见图集12D101-5 </w:t>
      </w:r>
      <w:r w:rsidRPr="00422153">
        <w:rPr>
          <w:rFonts w:ascii="宋体" w:eastAsia="宋体" w:hAnsi="宋体"/>
          <w:sz w:val="24"/>
          <w:szCs w:val="24"/>
        </w:rPr>
        <w:t>P</w:t>
      </w:r>
      <w:r w:rsidRPr="00422153">
        <w:rPr>
          <w:rFonts w:ascii="宋体" w:eastAsia="宋体" w:hAnsi="宋体" w:hint="eastAsia"/>
          <w:sz w:val="24"/>
          <w:szCs w:val="24"/>
        </w:rPr>
        <w:t>38、142</w:t>
      </w:r>
    </w:p>
    <w:p w14:paraId="2B1E8582"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4、</w:t>
      </w:r>
      <w:r w:rsidRPr="00422153">
        <w:rPr>
          <w:rFonts w:ascii="宋体" w:eastAsia="宋体" w:hAnsi="宋体"/>
          <w:sz w:val="24"/>
          <w:szCs w:val="24"/>
        </w:rPr>
        <w:t>图中配电箱外形尺寸仅供参考，施工单位具体按生产厂实际尺寸调整预留洞尺寸。所有配电箱数量以实际平面图为准。</w:t>
      </w:r>
    </w:p>
    <w:p w14:paraId="4CF49355"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5、</w:t>
      </w:r>
      <w:r w:rsidRPr="00422153">
        <w:rPr>
          <w:rFonts w:ascii="宋体" w:eastAsia="宋体" w:hAnsi="宋体"/>
          <w:sz w:val="24"/>
          <w:szCs w:val="24"/>
        </w:rPr>
        <w:t>电气施工中，应及时与土建配合预留电气管线、预留洞口及各种设备的固定构件等。电缆桥架安装时，应与其它工种密切配合，当与其他工种相撞时，应及时现场调整，避免造成经济损失。</w:t>
      </w:r>
      <w:r w:rsidRPr="00422153">
        <w:rPr>
          <w:rFonts w:ascii="宋体" w:eastAsia="宋体" w:hAnsi="宋体" w:hint="eastAsia"/>
          <w:sz w:val="24"/>
          <w:szCs w:val="24"/>
        </w:rPr>
        <w:t>电井、墙上预留的电气设备孔洞待设备安装完毕后须用防火堵料进行封堵缝隙。</w:t>
      </w:r>
    </w:p>
    <w:p w14:paraId="5DC50C2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6、</w:t>
      </w:r>
      <w:r w:rsidRPr="00422153">
        <w:rPr>
          <w:rFonts w:ascii="宋体" w:eastAsia="宋体" w:hAnsi="宋体"/>
          <w:sz w:val="24"/>
          <w:szCs w:val="24"/>
        </w:rPr>
        <w:t>为设计方便，所选设备型号仅供参考，招标所确定的设备规格、性能等技术指标，不应低于设计图纸的要求。所有设备确定厂家后均需建设、施工、设计、监理四方进行技术交底。</w:t>
      </w:r>
    </w:p>
    <w:p w14:paraId="6B71148E"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7、</w:t>
      </w:r>
      <w:r w:rsidRPr="00422153">
        <w:rPr>
          <w:rFonts w:ascii="宋体" w:eastAsia="宋体" w:hAnsi="宋体"/>
          <w:sz w:val="24"/>
          <w:szCs w:val="24"/>
        </w:rPr>
        <w:t>本工程所选设备、材料全部要求耐腐蚀、抗老化、耐久性能好，插座、开关、灯具、各种五金配件等活动配件选用长寿命的优质产品且构造上易于更换。</w:t>
      </w:r>
    </w:p>
    <w:p w14:paraId="6C2E6F3D"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8、</w:t>
      </w:r>
      <w:r w:rsidRPr="00422153">
        <w:rPr>
          <w:rFonts w:ascii="宋体" w:eastAsia="宋体" w:hAnsi="宋体"/>
          <w:sz w:val="24"/>
          <w:szCs w:val="24"/>
        </w:rPr>
        <w:t>本工程图中所有体现设备的型号中均只做参考，具体数值以参数为准，各设备型号由甲方确定。</w:t>
      </w:r>
    </w:p>
    <w:p w14:paraId="4C6E677A"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9、</w:t>
      </w:r>
      <w:r w:rsidRPr="00422153">
        <w:rPr>
          <w:rFonts w:ascii="宋体" w:eastAsia="宋体" w:hAnsi="宋体"/>
          <w:sz w:val="24"/>
          <w:szCs w:val="24"/>
        </w:rPr>
        <w:t>本工程图中照明布置</w:t>
      </w:r>
      <w:r w:rsidRPr="00422153">
        <w:rPr>
          <w:rFonts w:ascii="宋体" w:eastAsia="宋体" w:hAnsi="宋体" w:hint="eastAsia"/>
          <w:sz w:val="24"/>
          <w:szCs w:val="24"/>
        </w:rPr>
        <w:t>可</w:t>
      </w:r>
      <w:r w:rsidRPr="00422153">
        <w:rPr>
          <w:rFonts w:ascii="宋体" w:eastAsia="宋体" w:hAnsi="宋体"/>
          <w:sz w:val="24"/>
          <w:szCs w:val="24"/>
        </w:rPr>
        <w:t>做参考，后期可根据</w:t>
      </w:r>
      <w:r w:rsidRPr="00422153">
        <w:rPr>
          <w:rFonts w:ascii="宋体" w:eastAsia="宋体" w:hAnsi="宋体" w:hint="eastAsia"/>
          <w:sz w:val="24"/>
          <w:szCs w:val="24"/>
        </w:rPr>
        <w:t>八路军办事处馆内实际</w:t>
      </w:r>
      <w:r w:rsidRPr="00422153">
        <w:rPr>
          <w:rFonts w:ascii="宋体" w:eastAsia="宋体" w:hAnsi="宋体"/>
          <w:sz w:val="24"/>
          <w:szCs w:val="24"/>
        </w:rPr>
        <w:t>使用情况做二次深化设计及安装。</w:t>
      </w:r>
    </w:p>
    <w:p w14:paraId="428497F3" w14:textId="77777777" w:rsidR="005216DC" w:rsidRPr="00422153" w:rsidRDefault="005216DC" w:rsidP="005216DC">
      <w:pPr>
        <w:spacing w:line="360" w:lineRule="auto"/>
        <w:ind w:firstLineChars="200" w:firstLine="480"/>
        <w:rPr>
          <w:rFonts w:ascii="宋体" w:eastAsia="宋体" w:hAnsi="宋体" w:hint="eastAsia"/>
          <w:sz w:val="24"/>
          <w:szCs w:val="24"/>
        </w:rPr>
      </w:pPr>
      <w:r w:rsidRPr="00422153">
        <w:rPr>
          <w:rFonts w:ascii="宋体" w:eastAsia="宋体" w:hAnsi="宋体" w:hint="eastAsia"/>
          <w:sz w:val="24"/>
          <w:szCs w:val="24"/>
        </w:rPr>
        <w:t>10、本工程为二次改造项目，办事处馆内情况较为复杂如存在隐蔽路由或现场勘察没有发现的用电功能区。在出现设计未包含或设计不合理的，施工单位进场后，可根据现场实际情况经与甲方、设计共同沟通确定实施方案后方可施工，特此说明。</w:t>
      </w:r>
    </w:p>
    <w:p w14:paraId="59911AE9" w14:textId="77777777" w:rsidR="009D0027" w:rsidRPr="005216DC" w:rsidRDefault="009D0027">
      <w:pPr>
        <w:rPr>
          <w:rFonts w:hint="eastAsia"/>
        </w:rPr>
      </w:pPr>
    </w:p>
    <w:sectPr w:rsidR="009D0027" w:rsidRPr="005216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2D91E" w14:textId="77777777" w:rsidR="00CE4CFB" w:rsidRDefault="00CE4CFB" w:rsidP="005216DC">
      <w:pPr>
        <w:rPr>
          <w:rFonts w:hint="eastAsia"/>
        </w:rPr>
      </w:pPr>
      <w:r>
        <w:separator/>
      </w:r>
    </w:p>
  </w:endnote>
  <w:endnote w:type="continuationSeparator" w:id="0">
    <w:p w14:paraId="69582978" w14:textId="77777777" w:rsidR="00CE4CFB" w:rsidRDefault="00CE4CFB" w:rsidP="005216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E2567" w14:textId="77777777" w:rsidR="00CE4CFB" w:rsidRDefault="00CE4CFB" w:rsidP="005216DC">
      <w:pPr>
        <w:rPr>
          <w:rFonts w:hint="eastAsia"/>
        </w:rPr>
      </w:pPr>
      <w:r>
        <w:separator/>
      </w:r>
    </w:p>
  </w:footnote>
  <w:footnote w:type="continuationSeparator" w:id="0">
    <w:p w14:paraId="5E8E6E19" w14:textId="77777777" w:rsidR="00CE4CFB" w:rsidRDefault="00CE4CFB" w:rsidP="005216D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C530F"/>
    <w:multiLevelType w:val="hybridMultilevel"/>
    <w:tmpl w:val="541E5C30"/>
    <w:lvl w:ilvl="0" w:tplc="0409000D">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num w:numId="1" w16cid:durableId="187577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B8"/>
    <w:rsid w:val="005216DC"/>
    <w:rsid w:val="005C1BAF"/>
    <w:rsid w:val="00753969"/>
    <w:rsid w:val="00934E4E"/>
    <w:rsid w:val="009D0027"/>
    <w:rsid w:val="00C16AB8"/>
    <w:rsid w:val="00CE4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4C3CF"/>
  <w15:chartTrackingRefBased/>
  <w15:docId w15:val="{515CB62B-317B-42AF-841F-18F31E950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6DC"/>
    <w:pPr>
      <w:widowControl w:val="0"/>
      <w:jc w:val="both"/>
    </w:pPr>
  </w:style>
  <w:style w:type="paragraph" w:styleId="1">
    <w:name w:val="heading 1"/>
    <w:basedOn w:val="a"/>
    <w:next w:val="a"/>
    <w:link w:val="10"/>
    <w:uiPriority w:val="9"/>
    <w:qFormat/>
    <w:rsid w:val="00C16AB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16AB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16AB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16AB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6AB8"/>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C16AB8"/>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6AB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6AB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16AB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16AB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16AB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16AB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16AB8"/>
    <w:rPr>
      <w:rFonts w:cstheme="majorBidi"/>
      <w:color w:val="0F4761" w:themeColor="accent1" w:themeShade="BF"/>
      <w:sz w:val="28"/>
      <w:szCs w:val="28"/>
    </w:rPr>
  </w:style>
  <w:style w:type="character" w:customStyle="1" w:styleId="50">
    <w:name w:val="标题 5 字符"/>
    <w:basedOn w:val="a0"/>
    <w:link w:val="5"/>
    <w:uiPriority w:val="9"/>
    <w:semiHidden/>
    <w:rsid w:val="00C16AB8"/>
    <w:rPr>
      <w:rFonts w:cstheme="majorBidi"/>
      <w:color w:val="0F4761" w:themeColor="accent1" w:themeShade="BF"/>
      <w:sz w:val="24"/>
      <w:szCs w:val="24"/>
    </w:rPr>
  </w:style>
  <w:style w:type="character" w:customStyle="1" w:styleId="60">
    <w:name w:val="标题 6 字符"/>
    <w:basedOn w:val="a0"/>
    <w:link w:val="6"/>
    <w:uiPriority w:val="9"/>
    <w:semiHidden/>
    <w:rsid w:val="00C16AB8"/>
    <w:rPr>
      <w:rFonts w:cstheme="majorBidi"/>
      <w:b/>
      <w:bCs/>
      <w:color w:val="0F4761" w:themeColor="accent1" w:themeShade="BF"/>
    </w:rPr>
  </w:style>
  <w:style w:type="character" w:customStyle="1" w:styleId="70">
    <w:name w:val="标题 7 字符"/>
    <w:basedOn w:val="a0"/>
    <w:link w:val="7"/>
    <w:uiPriority w:val="9"/>
    <w:semiHidden/>
    <w:rsid w:val="00C16AB8"/>
    <w:rPr>
      <w:rFonts w:cstheme="majorBidi"/>
      <w:b/>
      <w:bCs/>
      <w:color w:val="595959" w:themeColor="text1" w:themeTint="A6"/>
    </w:rPr>
  </w:style>
  <w:style w:type="character" w:customStyle="1" w:styleId="80">
    <w:name w:val="标题 8 字符"/>
    <w:basedOn w:val="a0"/>
    <w:link w:val="8"/>
    <w:uiPriority w:val="9"/>
    <w:semiHidden/>
    <w:rsid w:val="00C16AB8"/>
    <w:rPr>
      <w:rFonts w:cstheme="majorBidi"/>
      <w:color w:val="595959" w:themeColor="text1" w:themeTint="A6"/>
    </w:rPr>
  </w:style>
  <w:style w:type="character" w:customStyle="1" w:styleId="90">
    <w:name w:val="标题 9 字符"/>
    <w:basedOn w:val="a0"/>
    <w:link w:val="9"/>
    <w:uiPriority w:val="9"/>
    <w:semiHidden/>
    <w:rsid w:val="00C16AB8"/>
    <w:rPr>
      <w:rFonts w:eastAsiaTheme="majorEastAsia" w:cstheme="majorBidi"/>
      <w:color w:val="595959" w:themeColor="text1" w:themeTint="A6"/>
    </w:rPr>
  </w:style>
  <w:style w:type="paragraph" w:styleId="a3">
    <w:name w:val="Title"/>
    <w:basedOn w:val="a"/>
    <w:next w:val="a"/>
    <w:link w:val="a4"/>
    <w:uiPriority w:val="10"/>
    <w:qFormat/>
    <w:rsid w:val="00C16A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16A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6AB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16AB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16AB8"/>
    <w:pPr>
      <w:spacing w:before="160" w:after="160"/>
      <w:jc w:val="center"/>
    </w:pPr>
    <w:rPr>
      <w:i/>
      <w:iCs/>
      <w:color w:val="404040" w:themeColor="text1" w:themeTint="BF"/>
    </w:rPr>
  </w:style>
  <w:style w:type="character" w:customStyle="1" w:styleId="a8">
    <w:name w:val="引用 字符"/>
    <w:basedOn w:val="a0"/>
    <w:link w:val="a7"/>
    <w:uiPriority w:val="29"/>
    <w:rsid w:val="00C16AB8"/>
    <w:rPr>
      <w:i/>
      <w:iCs/>
      <w:color w:val="404040" w:themeColor="text1" w:themeTint="BF"/>
    </w:rPr>
  </w:style>
  <w:style w:type="paragraph" w:styleId="a9">
    <w:name w:val="List Paragraph"/>
    <w:basedOn w:val="a"/>
    <w:uiPriority w:val="34"/>
    <w:qFormat/>
    <w:rsid w:val="00C16AB8"/>
    <w:pPr>
      <w:ind w:left="720"/>
      <w:contextualSpacing/>
    </w:pPr>
  </w:style>
  <w:style w:type="character" w:styleId="aa">
    <w:name w:val="Intense Emphasis"/>
    <w:basedOn w:val="a0"/>
    <w:uiPriority w:val="21"/>
    <w:qFormat/>
    <w:rsid w:val="00C16AB8"/>
    <w:rPr>
      <w:i/>
      <w:iCs/>
      <w:color w:val="0F4761" w:themeColor="accent1" w:themeShade="BF"/>
    </w:rPr>
  </w:style>
  <w:style w:type="paragraph" w:styleId="ab">
    <w:name w:val="Intense Quote"/>
    <w:basedOn w:val="a"/>
    <w:next w:val="a"/>
    <w:link w:val="ac"/>
    <w:uiPriority w:val="30"/>
    <w:qFormat/>
    <w:rsid w:val="00C16A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16AB8"/>
    <w:rPr>
      <w:i/>
      <w:iCs/>
      <w:color w:val="0F4761" w:themeColor="accent1" w:themeShade="BF"/>
    </w:rPr>
  </w:style>
  <w:style w:type="character" w:styleId="ad">
    <w:name w:val="Intense Reference"/>
    <w:basedOn w:val="a0"/>
    <w:uiPriority w:val="32"/>
    <w:qFormat/>
    <w:rsid w:val="00C16AB8"/>
    <w:rPr>
      <w:b/>
      <w:bCs/>
      <w:smallCaps/>
      <w:color w:val="0F4761" w:themeColor="accent1" w:themeShade="BF"/>
      <w:spacing w:val="5"/>
    </w:rPr>
  </w:style>
  <w:style w:type="paragraph" w:styleId="ae">
    <w:name w:val="header"/>
    <w:basedOn w:val="a"/>
    <w:link w:val="af"/>
    <w:uiPriority w:val="99"/>
    <w:unhideWhenUsed/>
    <w:rsid w:val="005216DC"/>
    <w:pPr>
      <w:tabs>
        <w:tab w:val="center" w:pos="4153"/>
        <w:tab w:val="right" w:pos="8306"/>
      </w:tabs>
      <w:snapToGrid w:val="0"/>
      <w:jc w:val="center"/>
    </w:pPr>
    <w:rPr>
      <w:sz w:val="18"/>
      <w:szCs w:val="18"/>
    </w:rPr>
  </w:style>
  <w:style w:type="character" w:customStyle="1" w:styleId="af">
    <w:name w:val="页眉 字符"/>
    <w:basedOn w:val="a0"/>
    <w:link w:val="ae"/>
    <w:uiPriority w:val="99"/>
    <w:rsid w:val="005216DC"/>
    <w:rPr>
      <w:sz w:val="18"/>
      <w:szCs w:val="18"/>
    </w:rPr>
  </w:style>
  <w:style w:type="paragraph" w:styleId="af0">
    <w:name w:val="footer"/>
    <w:basedOn w:val="a"/>
    <w:link w:val="af1"/>
    <w:uiPriority w:val="99"/>
    <w:unhideWhenUsed/>
    <w:rsid w:val="005216DC"/>
    <w:pPr>
      <w:tabs>
        <w:tab w:val="center" w:pos="4153"/>
        <w:tab w:val="right" w:pos="8306"/>
      </w:tabs>
      <w:snapToGrid w:val="0"/>
      <w:jc w:val="left"/>
    </w:pPr>
    <w:rPr>
      <w:sz w:val="18"/>
      <w:szCs w:val="18"/>
    </w:rPr>
  </w:style>
  <w:style w:type="character" w:customStyle="1" w:styleId="af1">
    <w:name w:val="页脚 字符"/>
    <w:basedOn w:val="a0"/>
    <w:link w:val="af0"/>
    <w:uiPriority w:val="99"/>
    <w:rsid w:val="005216DC"/>
    <w:rPr>
      <w:sz w:val="18"/>
      <w:szCs w:val="18"/>
    </w:rPr>
  </w:style>
  <w:style w:type="table" w:styleId="af2">
    <w:name w:val="Table Grid"/>
    <w:basedOn w:val="a1"/>
    <w:uiPriority w:val="39"/>
    <w:rsid w:val="0052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2934</Words>
  <Characters>3111</Characters>
  <Application>Microsoft Office Word</Application>
  <DocSecurity>0</DocSecurity>
  <Lines>155</Lines>
  <Paragraphs>177</Paragraphs>
  <ScaleCrop>false</ScaleCrop>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桀铭 刘</dc:creator>
  <cp:keywords/>
  <dc:description/>
  <cp:lastModifiedBy>桀铭 刘</cp:lastModifiedBy>
  <cp:revision>2</cp:revision>
  <dcterms:created xsi:type="dcterms:W3CDTF">2026-08-11T02:11:00Z</dcterms:created>
  <dcterms:modified xsi:type="dcterms:W3CDTF">2026-08-11T02:13:00Z</dcterms:modified>
</cp:coreProperties>
</file>