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116A9">
      <w:pPr>
        <w:snapToGrid w:val="0"/>
        <w:spacing w:line="360" w:lineRule="auto"/>
        <w:jc w:val="center"/>
        <w:rPr>
          <w:rFonts w:hint="eastAsia" w:ascii="宋体" w:hAnsi="宋体" w:cs="宋体"/>
          <w:b/>
          <w:color w:val="auto"/>
          <w:sz w:val="36"/>
          <w:szCs w:val="36"/>
          <w:highlight w:val="none"/>
          <w:lang w:val="zh-CN"/>
        </w:rPr>
      </w:pPr>
      <w:r>
        <w:rPr>
          <w:rFonts w:hint="eastAsia" w:ascii="宋体" w:hAnsi="宋体" w:eastAsia="宋体" w:cs="宋体"/>
          <w:b/>
          <w:bCs/>
          <w:color w:val="auto"/>
          <w:sz w:val="36"/>
          <w:szCs w:val="36"/>
          <w:highlight w:val="none"/>
          <w:lang w:val="zh-CN"/>
        </w:rPr>
        <w:t xml:space="preserve"> 合同条款及格式</w:t>
      </w:r>
    </w:p>
    <w:p w14:paraId="529819F0">
      <w:pPr>
        <w:spacing w:line="360" w:lineRule="auto"/>
        <w:jc w:val="both"/>
        <w:rPr>
          <w:rFonts w:hint="eastAsia" w:ascii="宋体" w:hAnsi="宋体" w:eastAsia="宋体" w:cs="宋体"/>
          <w:b/>
          <w:bCs/>
          <w:sz w:val="48"/>
          <w:szCs w:val="44"/>
          <w:highlight w:val="none"/>
          <w:lang w:eastAsia="zh-CN"/>
        </w:rPr>
      </w:pPr>
    </w:p>
    <w:p w14:paraId="51F2C8E0">
      <w:pPr>
        <w:pStyle w:val="9"/>
        <w:rPr>
          <w:rFonts w:hint="eastAsia" w:ascii="仿宋_GB2312" w:hAnsi="仿宋_GB2312" w:eastAsia="仿宋_GB2312" w:cs="仿宋_GB2312"/>
        </w:rPr>
      </w:pPr>
      <w:r>
        <w:rPr>
          <w:rFonts w:hint="eastAsia" w:ascii="仿宋_GB2312" w:hAnsi="仿宋_GB2312" w:eastAsia="仿宋_GB2312" w:cs="仿宋_GB2312"/>
        </w:rPr>
        <w:t>本协议由以下双方签署：</w:t>
      </w:r>
    </w:p>
    <w:p w14:paraId="764B1927">
      <w:pPr>
        <w:pStyle w:val="9"/>
        <w:rPr>
          <w:rFonts w:hint="eastAsia" w:ascii="仿宋_GB2312" w:hAnsi="仿宋_GB2312" w:eastAsia="仿宋_GB2312" w:cs="仿宋_GB2312"/>
        </w:rPr>
      </w:pPr>
      <w:r>
        <w:rPr>
          <w:rFonts w:hint="eastAsia" w:ascii="仿宋_GB2312" w:hAnsi="仿宋_GB2312" w:eastAsia="仿宋_GB2312" w:cs="仿宋_GB2312"/>
        </w:rPr>
        <w:t>甲方：【xxx 】</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rPr>
        <w:t>（以下简称“甲方”）</w:t>
      </w:r>
    </w:p>
    <w:p w14:paraId="2CE8C08D">
      <w:pPr>
        <w:pStyle w:val="9"/>
        <w:rPr>
          <w:rFonts w:hint="eastAsia" w:ascii="仿宋_GB2312" w:hAnsi="仿宋_GB2312" w:eastAsia="仿宋_GB2312" w:cs="仿宋_GB2312"/>
        </w:rPr>
      </w:pPr>
      <w:r>
        <w:rPr>
          <w:rFonts w:hint="eastAsia" w:ascii="仿宋_GB2312" w:hAnsi="仿宋_GB2312" w:eastAsia="仿宋_GB2312" w:cs="仿宋_GB2312"/>
        </w:rPr>
        <w:t xml:space="preserve">地址：  </w:t>
      </w:r>
    </w:p>
    <w:p w14:paraId="768DEB43">
      <w:pPr>
        <w:pStyle w:val="9"/>
        <w:rPr>
          <w:rFonts w:hint="eastAsia" w:ascii="仿宋_GB2312" w:hAnsi="仿宋_GB2312" w:eastAsia="仿宋_GB2312" w:cs="仿宋_GB2312"/>
        </w:rPr>
      </w:pPr>
      <w:r>
        <w:rPr>
          <w:rFonts w:hint="eastAsia" w:ascii="仿宋_GB2312" w:hAnsi="仿宋_GB2312" w:eastAsia="仿宋_GB2312" w:cs="仿宋_GB2312"/>
        </w:rPr>
        <w:t>联系人及职务：</w:t>
      </w:r>
    </w:p>
    <w:p w14:paraId="45B2DE4F">
      <w:pPr>
        <w:pStyle w:val="9"/>
        <w:rPr>
          <w:rFonts w:hint="eastAsia" w:ascii="仿宋_GB2312" w:hAnsi="仿宋_GB2312" w:eastAsia="仿宋_GB2312" w:cs="仿宋_GB2312"/>
        </w:rPr>
      </w:pPr>
      <w:r>
        <w:rPr>
          <w:rFonts w:hint="eastAsia" w:ascii="仿宋_GB2312" w:hAnsi="仿宋_GB2312" w:eastAsia="仿宋_GB2312" w:cs="仿宋_GB2312"/>
        </w:rPr>
        <w:t>联系电话：</w:t>
      </w:r>
    </w:p>
    <w:p w14:paraId="4943052E">
      <w:pPr>
        <w:pStyle w:val="9"/>
        <w:rPr>
          <w:rFonts w:hint="eastAsia" w:ascii="仿宋_GB2312" w:hAnsi="仿宋_GB2312" w:eastAsia="仿宋_GB2312" w:cs="仿宋_GB2312"/>
        </w:rPr>
      </w:pPr>
    </w:p>
    <w:p w14:paraId="5C5F6FA6">
      <w:pPr>
        <w:pStyle w:val="9"/>
        <w:rPr>
          <w:rFonts w:hint="eastAsia" w:ascii="仿宋_GB2312" w:hAnsi="仿宋_GB2312" w:eastAsia="仿宋_GB2312" w:cs="仿宋_GB2312"/>
        </w:rPr>
      </w:pPr>
      <w:r>
        <w:rPr>
          <w:rFonts w:hint="eastAsia" w:ascii="仿宋_GB2312" w:hAnsi="仿宋_GB2312" w:eastAsia="仿宋_GB2312" w:cs="仿宋_GB2312"/>
        </w:rPr>
        <w:t>乙方：【xxx 】    （以下简称“乙方”）</w:t>
      </w:r>
    </w:p>
    <w:p w14:paraId="078D93E2">
      <w:pPr>
        <w:pStyle w:val="9"/>
        <w:rPr>
          <w:rFonts w:hint="eastAsia" w:ascii="仿宋_GB2312" w:hAnsi="仿宋_GB2312" w:eastAsia="仿宋_GB2312" w:cs="仿宋_GB2312"/>
        </w:rPr>
      </w:pPr>
      <w:r>
        <w:rPr>
          <w:rFonts w:hint="eastAsia" w:ascii="仿宋_GB2312" w:hAnsi="仿宋_GB2312" w:eastAsia="仿宋_GB2312" w:cs="仿宋_GB2312"/>
        </w:rPr>
        <w:t xml:space="preserve">地址： </w:t>
      </w:r>
    </w:p>
    <w:p w14:paraId="62E7B744">
      <w:pPr>
        <w:pStyle w:val="9"/>
        <w:rPr>
          <w:rFonts w:hint="eastAsia" w:ascii="仿宋_GB2312" w:hAnsi="仿宋_GB2312" w:eastAsia="仿宋_GB2312" w:cs="仿宋_GB2312"/>
        </w:rPr>
      </w:pPr>
      <w:r>
        <w:rPr>
          <w:rFonts w:hint="eastAsia" w:ascii="仿宋_GB2312" w:hAnsi="仿宋_GB2312" w:eastAsia="仿宋_GB2312" w:cs="仿宋_GB2312"/>
        </w:rPr>
        <w:t xml:space="preserve">法定代表人： </w:t>
      </w:r>
    </w:p>
    <w:p w14:paraId="590B94B8">
      <w:pPr>
        <w:pStyle w:val="9"/>
        <w:rPr>
          <w:rFonts w:hint="eastAsia" w:ascii="仿宋_GB2312" w:hAnsi="仿宋_GB2312" w:eastAsia="仿宋_GB2312" w:cs="仿宋_GB2312"/>
        </w:rPr>
      </w:pPr>
      <w:r>
        <w:rPr>
          <w:rFonts w:hint="eastAsia" w:ascii="仿宋_GB2312" w:hAnsi="仿宋_GB2312" w:eastAsia="仿宋_GB2312" w:cs="仿宋_GB2312"/>
        </w:rPr>
        <w:t>联系人及职务：</w:t>
      </w:r>
    </w:p>
    <w:p w14:paraId="2B7C4342">
      <w:pPr>
        <w:pStyle w:val="9"/>
        <w:rPr>
          <w:rFonts w:hint="eastAsia" w:ascii="仿宋_GB2312" w:hAnsi="仿宋_GB2312" w:eastAsia="仿宋_GB2312" w:cs="仿宋_GB2312"/>
        </w:rPr>
      </w:pPr>
      <w:r>
        <w:rPr>
          <w:rFonts w:hint="eastAsia" w:ascii="仿宋_GB2312" w:hAnsi="仿宋_GB2312" w:eastAsia="仿宋_GB2312" w:cs="仿宋_GB2312"/>
        </w:rPr>
        <w:t>联系电话：</w:t>
      </w:r>
    </w:p>
    <w:p w14:paraId="1BFD5A30">
      <w:pPr>
        <w:pStyle w:val="9"/>
        <w:rPr>
          <w:rFonts w:hint="eastAsia" w:ascii="仿宋_GB2312" w:hAnsi="仿宋_GB2312" w:eastAsia="仿宋_GB2312" w:cs="仿宋_GB2312"/>
        </w:rPr>
      </w:pPr>
      <w:r>
        <w:rPr>
          <w:rFonts w:hint="eastAsia" w:ascii="仿宋_GB2312" w:hAnsi="仿宋_GB2312" w:eastAsia="仿宋_GB2312" w:cs="仿宋_GB2312"/>
        </w:rPr>
        <w:t>电子邮箱：</w:t>
      </w:r>
    </w:p>
    <w:p w14:paraId="25022C9B">
      <w:pPr>
        <w:pStyle w:val="9"/>
        <w:rPr>
          <w:rFonts w:hint="eastAsia" w:ascii="仿宋_GB2312" w:hAnsi="仿宋_GB2312" w:eastAsia="仿宋_GB2312" w:cs="仿宋_GB2312"/>
        </w:rPr>
      </w:pPr>
      <w:r>
        <w:rPr>
          <w:rFonts w:hint="eastAsia" w:ascii="仿宋_GB2312" w:hAnsi="仿宋_GB2312" w:eastAsia="仿宋_GB2312" w:cs="仿宋_GB2312"/>
        </w:rPr>
        <w:t xml:space="preserve">联系地址： </w:t>
      </w:r>
    </w:p>
    <w:p w14:paraId="0B6F70CE">
      <w:pPr>
        <w:pStyle w:val="9"/>
        <w:rPr>
          <w:rFonts w:hint="eastAsia" w:ascii="仿宋_GB2312" w:hAnsi="仿宋_GB2312" w:eastAsia="仿宋_GB2312" w:cs="仿宋_GB2312"/>
        </w:rPr>
      </w:pPr>
      <w:r>
        <w:rPr>
          <w:rFonts w:hint="eastAsia" w:ascii="仿宋_GB2312" w:hAnsi="仿宋_GB2312" w:eastAsia="仿宋_GB2312" w:cs="仿宋_GB2312"/>
        </w:rPr>
        <w:t>鉴于：</w:t>
      </w:r>
    </w:p>
    <w:p w14:paraId="6AA26B00">
      <w:pPr>
        <w:pStyle w:val="9"/>
        <w:rPr>
          <w:rFonts w:hint="eastAsia" w:ascii="仿宋_GB2312" w:hAnsi="仿宋_GB2312" w:eastAsia="仿宋_GB2312" w:cs="仿宋_GB2312"/>
        </w:rPr>
      </w:pPr>
      <w:r>
        <w:rPr>
          <w:rFonts w:hint="eastAsia" w:ascii="仿宋_GB2312" w:hAnsi="仿宋_GB2312" w:eastAsia="仿宋_GB2312" w:cs="仿宋_GB2312"/>
        </w:rPr>
        <w:t>甲、乙双方就甲方于 xx年xx 月xx 日至 xx年xx 月xx 日主办“</w:t>
      </w:r>
      <w:r>
        <w:rPr>
          <w:rFonts w:hint="eastAsia" w:ascii="仿宋_GB2312" w:hAnsi="仿宋_GB2312" w:eastAsia="仿宋_GB2312" w:cs="仿宋_GB2312"/>
          <w:lang w:val="en-US" w:eastAsia="zh-CN"/>
        </w:rPr>
        <w:t>第四届西安设计周暨设计产业博览会场地租赁及配套服务</w:t>
      </w:r>
      <w:r>
        <w:rPr>
          <w:rFonts w:hint="eastAsia" w:ascii="仿宋_GB2312" w:hAnsi="仿宋_GB2312" w:eastAsia="仿宋_GB2312" w:cs="仿宋_GB2312"/>
        </w:rPr>
        <w:t>”（以下简称“该展会”），需租用乙方之展览馆 xxx  号展厅</w:t>
      </w:r>
      <w:r>
        <w:rPr>
          <w:rFonts w:hint="eastAsia" w:ascii="仿宋_GB2312" w:hAnsi="仿宋_GB2312" w:eastAsia="仿宋_GB2312" w:cs="仿宋_GB2312"/>
          <w:lang w:val="en-US" w:eastAsia="zh-CN"/>
        </w:rPr>
        <w:t>。</w:t>
      </w:r>
      <w:r>
        <w:rPr>
          <w:rFonts w:hint="eastAsia" w:ascii="仿宋_GB2312" w:hAnsi="仿宋_GB2312" w:eastAsia="仿宋_GB2312" w:cs="仿宋_GB2312"/>
        </w:rPr>
        <w:t>（以下简称“场地”或“租赁场地”）之事宜，本着平等、自愿、公平和诚实守信的原则，经友好协商，达成共识，并形成本合同书，具体条款如下：</w:t>
      </w:r>
    </w:p>
    <w:p w14:paraId="2FCD4A4F">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第一条租用地点及租用期限</w:t>
      </w:r>
    </w:p>
    <w:p w14:paraId="7DDB8BBB">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1.1乙方系依法取得xx租赁经营权的法人，向甲方提供展览馆 xxx号展厅共 xx 平米场地，供甲方主办该展会之用。本协议生效后，甲方将租用期限内租用场地授权 xx 公司独家使用，负责承办该展会。</w:t>
      </w:r>
    </w:p>
    <w:p w14:paraId="6842A3A9">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1.2参展范围：xxx。</w:t>
      </w:r>
    </w:p>
    <w:p w14:paraId="0200D982">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1.3甲方的租用期限自xx年xx月xx日至xx年xx月xx日止，共计6天，其中xx年xx月xx日为该展会开幕日，甲方每天使用租赁场地的时间为8:00至18：00，如需延长每天使用时间，需提前24小时书面告知乙方，并按乙方规定支付延时使用费后方可使用。</w:t>
      </w:r>
    </w:p>
    <w:p w14:paraId="23D024E3">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1.4甲方最迟应于xx年xx月xx日xx时撤除租赁场地内所有甲方装置、设备及财物，撤离全部甲方人员，完成场地清理，并依租用前之原状将租赁场地交还给乙方并通过乙方验收，如因甲方延误撤场时间而导致乙方的后续活动安排受影响，甲方须负全部责任。</w:t>
      </w:r>
    </w:p>
    <w:p w14:paraId="7AAD3EE2">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第二条费用及支付方式</w:t>
      </w:r>
    </w:p>
    <w:p w14:paraId="6513104F">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2.1甲方应向乙方支付该展会的场地租赁及相关服务费用总额人民币xxx整（RMBxxx元），不含税金额人民币xxx（RMBxxx），税额人民币xxx（RMBxxx元）其中服务内容包括使用区域的场地租赁费、正常照明（8：00—18：00）、现有自身设备设施的安全保卫、使用区域（通道部分）的常规保洁。明细计算如下：</w:t>
      </w:r>
    </w:p>
    <w:p w14:paraId="0945FAFB">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（明细）……</w:t>
      </w:r>
    </w:p>
    <w:p w14:paraId="6EC897FC">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2.2签订合同后15个工作日内支付合同总价的70%，展会结束并验收合格后支付剩余合同款项。</w:t>
      </w:r>
    </w:p>
    <w:p w14:paraId="136312A2">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2.2.1甲方不支付或逾期支付本合同项下应付乙方的任何费用，或者甲方有违约行为需向乙方支付的违约金、赔偿金等，按照本合同6.2约定承担逾期付款的违约责任。</w:t>
      </w:r>
    </w:p>
    <w:p w14:paraId="5007BBBD">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2.3甲方应当将本合同约定下应付给乙方的款项（如有）按期支付至乙方指定的如下账户：</w:t>
      </w:r>
    </w:p>
    <w:p w14:paraId="034C37FF">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账户名：xxx</w:t>
      </w:r>
    </w:p>
    <w:p w14:paraId="59AB03F0">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开户行：xxx</w:t>
      </w:r>
    </w:p>
    <w:p w14:paraId="4D350F4B">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账号：xxx</w:t>
      </w:r>
    </w:p>
    <w:p w14:paraId="4556C468">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甲方发票信息如下：</w:t>
      </w:r>
    </w:p>
    <w:p w14:paraId="3861D3EC">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账户名：xxx</w:t>
      </w:r>
    </w:p>
    <w:p w14:paraId="4773B84D">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开户行：xxx</w:t>
      </w:r>
    </w:p>
    <w:p w14:paraId="45ACB62C">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账号：xxx</w:t>
      </w:r>
    </w:p>
    <w:p w14:paraId="793AFE1C">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乙方需向甲方提供等额正式发票后，甲方向乙方支付全部结算价款。若因甲方原因导致发票无法抵扣的，则应由甲方承担相应损失。</w:t>
      </w:r>
    </w:p>
    <w:p w14:paraId="4EBCD9ED">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2.4如果甲方要求更改使用场地但未取得乙方同意后甲方不愿继续使用原场地，或者甲方取消使用场地的使用，甲方需依据本合同6.5违约条款的具体细则执行违约责任，违约金不足以弥补乙方损失的甲方应予补足。</w:t>
      </w:r>
    </w:p>
    <w:p w14:paraId="7B84FD85">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第三条税收和保险及赔偿事宜</w:t>
      </w:r>
    </w:p>
    <w:p w14:paraId="1ACE466D">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3.1甲方自行负责缴纳该展会所涉的各项税收，包括但不限于营业税、所得税等。</w:t>
      </w:r>
    </w:p>
    <w:p w14:paraId="59AC8F71">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第四条场地及周边地区宣传和广告及卖品事宜</w:t>
      </w:r>
    </w:p>
    <w:p w14:paraId="0B75A289">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4.1甲方在其该场展会的所有对外宣传广告中须使用乙方场馆官方统一规定之名称：xx馆。</w:t>
      </w:r>
    </w:p>
    <w:p w14:paraId="7685FD4D">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4.2乙方对其场馆拥有管理权限内广告位的所有权和广告经营权，未经乙方书面同意，甲方不得擅自设置、使用广告设施及发布广告。甲方如需在场地内设置任何形式的广告和宣传，其具体位置须由甲、乙双方共同商议后以书面形式确认，由甲方制作场地广告分布平面图，经乙方事先书面签字确认后，方可实施。如甲方在乙方管辖的范围内张贴宣传画（海报）或放置展架等宣传品，其张贴及摆放的区域、位置、方式和日期须事先得到乙方书面签字认可后方可实施，同时，甲方的任何宣传品均不得遮盖其他项目的宣传品，如有上述情形，甲方应配合整改，否则，乙方将按本合同总价5%收取违约金。</w:t>
      </w:r>
    </w:p>
    <w:p w14:paraId="0F3A751C">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4.3xxx属乙方独立管理运营，是凡关于本会展中心内外长期餐饮服务、广告发布、食品饮料售卖等各项有偿服务的经营权，均与甲方无关。如果甲方举办展会期间需在乙方展会场地附近设立临时售卖处，需经乙方事先书面签字确认后，方可设立。</w:t>
      </w:r>
    </w:p>
    <w:p w14:paraId="423AE514">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4.4甲方需对参展商营业执照进行审核，营业执照与参展范围需相符。产品售卖需保证票证齐全，计量准确。一个展位只允许一家公司参展。</w:t>
      </w:r>
    </w:p>
    <w:p w14:paraId="3204B5BB">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4.5除甲方举办食品和饮品行业的展览外，甲方不得携带食品和饮用品在展会举办场地进行销售。否则，乙方有权要求甲方停止该行为，清除销售的食品、饮品，若甲方拒不停止或更正其行为的，乙方有权立即解除合同，要求甲方撤出乙方场地，且甲方已支付全部费用不予退还。</w:t>
      </w:r>
    </w:p>
    <w:p w14:paraId="47846C89">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第五条活动风险及经营责任</w:t>
      </w:r>
    </w:p>
    <w:p w14:paraId="01CF2B1F">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5.1甲、乙双方确认，乙方仅承担其作为场地出租方之责任。乙方不应被视作为本合同书项下活动的主（承）办者并承担任何责任，因乙方原因造成的除外。</w:t>
      </w:r>
    </w:p>
    <w:p w14:paraId="405A6615">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5.2甲、乙双方确认，在任何情况下，甲方与其他任何第三方的任何争议或纠纷均与乙方无涉，且不构成甲方不履行本合同项下甲方义务之任何理由，因乙方原因造成的除外。</w:t>
      </w:r>
    </w:p>
    <w:p w14:paraId="6650110F">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第六条违约责任</w:t>
      </w:r>
    </w:p>
    <w:p w14:paraId="4A66BD6F">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6.1场馆方须如期交付使用场地，如因场馆方原因造成不能按时提供场地，我方有权单方面解除本合同，并要求退还已支付未发生的费用。</w:t>
      </w:r>
    </w:p>
    <w:p w14:paraId="65984792">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6.2 任何一方无故单方解除合同，违约方向守约方支付合同总价30%的违约金，违约金不足以赔偿守约方损失的，违约方应就超额部分损失向守约方承担赔偿责任。</w:t>
      </w:r>
    </w:p>
    <w:p w14:paraId="647C507D">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6.3非违约方就违约方违反合同任何条款或条件有关而享有的权利和救济应在本合同被取消、终止或完成后仍然有效。</w:t>
      </w:r>
    </w:p>
    <w:p w14:paraId="2EFC400D">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6.4如果该展会档期受到政府活动影响取消举办，则双方各自承担对应后果，任一方均无需向另一方承担任何违约责任，双方就合同是否继续履行、如何履行、已付款项处理等事项协商一致后以书面形式确认。</w:t>
      </w:r>
    </w:p>
    <w:p w14:paraId="556DF82D">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第七条不可抗力</w:t>
      </w:r>
    </w:p>
    <w:p w14:paraId="3B7D1DD8">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7.1若发生不可抗力事件直接影响本合同的履行或使本合同不能履行，遭受不可抗力事件的一方应在事件发生后（因不可抗力事件导致通讯中断的，则为恢复通讯之日后）48小时内通过电话或其他通知送达形式将事件的状况通知另一方，并应在事件发生后10天内向另一方提供事件的详情及证明其不能履行，需延期履行，或只能部分履行本合同的有效证明文件。双方按事件对履行本合同影响的程度，协商决定是否免除履行本合同的部分责任，或者延期履行本合同，或者采取双方均能接受的其他解决办法或补救措施。当不可抗力事件对本合同的影响消除后，遭受事件影响的一方应在不可抗力对本合同的影响消除后的48小时内采取积极措施，继续履行本合同。</w:t>
      </w:r>
    </w:p>
    <w:p w14:paraId="68F047D5">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7.2因不可抗力事件影响导致无法实现合同目的的一方有权解除本合同。</w:t>
      </w:r>
    </w:p>
    <w:p w14:paraId="440113D4">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7.3根据不可抗力的影响，因不可抗力事件而不能履行本合同项下义务的任何一方可部分或者全部免除责任，但该方迟延履行后发生不可抗力的，不能免除责任。</w:t>
      </w:r>
    </w:p>
    <w:p w14:paraId="7FBE6980">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第八条适用法律和争议的解决</w:t>
      </w:r>
    </w:p>
    <w:p w14:paraId="13B9F7F5">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8.1法律适用：本合同的生效、变更、终止及争议解决均适用中华人民共和国的法律法规（不含香港、澳门及台湾地区的法律法规）。</w:t>
      </w:r>
    </w:p>
    <w:p w14:paraId="670D88E9">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8.2争议解决：如果因本协议的签署、履行及解释而出现任何争议应由双方以真诚态度协商解决。如协商不成，任一方均可向乙方住所地有管辖权人民法院提起诉讼。</w:t>
      </w:r>
    </w:p>
    <w:p w14:paraId="2E6845BE">
      <w:pPr>
        <w:pStyle w:val="9"/>
        <w:rPr>
          <w:rFonts w:hint="eastAsia" w:ascii="仿宋_GB2312" w:hAnsi="仿宋_GB2312" w:eastAsia="仿宋_GB2312" w:cs="仿宋_GB2312"/>
          <w:lang w:val="en-US" w:eastAsia="zh-TW"/>
        </w:rPr>
      </w:pPr>
      <w:r>
        <w:rPr>
          <w:rFonts w:hint="eastAsia" w:ascii="仿宋_GB2312" w:hAnsi="仿宋_GB2312" w:eastAsia="仿宋_GB2312" w:cs="仿宋_GB2312"/>
          <w:lang w:val="en-US" w:eastAsia="zh-TW"/>
        </w:rPr>
        <w:t>8.3</w:t>
      </w:r>
      <w:r>
        <w:rPr>
          <w:rFonts w:hint="eastAsia" w:ascii="仿宋_GB2312" w:hAnsi="仿宋_GB2312" w:eastAsia="仿宋_GB2312" w:cs="仿宋_GB2312"/>
          <w:lang w:val="en-US" w:eastAsia="zh-CN"/>
        </w:rPr>
        <w:t>在协商和诉讼期间，除争议事项以外，双方应继续不中断地履行本合同。</w:t>
      </w:r>
    </w:p>
    <w:p w14:paraId="255557EA">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第九条保密条款</w:t>
      </w:r>
    </w:p>
    <w:p w14:paraId="0E0666AA">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9.1任一方应将与下列事项有关的、在签订或履行本合同中获得的全部信息视为保密信息：</w:t>
      </w:r>
    </w:p>
    <w:p w14:paraId="11CD8212">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9.1.1本合同条款；</w:t>
      </w:r>
    </w:p>
    <w:p w14:paraId="303B8309">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9.1.2与本合同有关的谈判；</w:t>
      </w:r>
    </w:p>
    <w:p w14:paraId="6819AB64">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9.1.3在签订、履行本合同及在谈判中获得的另一方及其子公司的商业秘密（包括但不限于彼此间披露的一切信息、文件和数据，除非该等数据已经公开）。</w:t>
      </w:r>
    </w:p>
    <w:p w14:paraId="03BEC73B">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9.2双方在此同意和保证，未经本合同另一方书面同意，不得将保密信息向任何第三方披露；在本合同履行完毕或因任何原因终止后，对本合同的任何一方而言，本条规定对其仍具有约束力。但是以下情形除外：</w:t>
      </w:r>
    </w:p>
    <w:p w14:paraId="0B1D4B88">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9.2.1依据中国法律法规要求应当披露；</w:t>
      </w:r>
    </w:p>
    <w:p w14:paraId="48DFD446">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9.2.2依据任何有管辖权的政府机关、监管机构的要求应当披露；</w:t>
      </w:r>
    </w:p>
    <w:p w14:paraId="35BF2D21">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9.2.3向己方的专业顾问或律师披露；</w:t>
      </w:r>
    </w:p>
    <w:p w14:paraId="7A48F49F">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9.2.4双方事先给予书面同意。</w:t>
      </w:r>
    </w:p>
    <w:p w14:paraId="092ADABE">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第十条通知</w:t>
      </w:r>
    </w:p>
    <w:p w14:paraId="6415A391">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10.1除非本合同另有规定，本合同所要求的或允许作出的所有通知及其他通讯（以下简称“通知、通讯”）均应以中文书面方式作出，当面转交或者通过快递服务公司邮寄。前两种方式不能送达的，发出通知的一方还可以（但不是必须）在被送达方通讯地址所在市级报纸上刊登公告。按本合同规定发出的通知或通讯，以以下日期为送达之日：</w:t>
      </w:r>
    </w:p>
    <w:p w14:paraId="51901AA1">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10.1.1当面转交的通知、通讯，以当面转交之日为送达之日；</w:t>
      </w:r>
    </w:p>
    <w:p w14:paraId="7E9EAEAD">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10.1.2通过快递服务公司邮寄的通知、通讯，以信件交给快递服务公司之日起三（3）个工作日应被视为送达之日；</w:t>
      </w:r>
    </w:p>
    <w:p w14:paraId="29C45261">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10.1.3以在报纸上公告方式送达的通知、通讯，以公告的第三（3）日为送达之日。</w:t>
      </w:r>
    </w:p>
    <w:p w14:paraId="664A4F68">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10.2一切通知、通讯均应发往文首的联系人、通讯地址。当事人变更通讯地址的，应及时通知另一方。如因任何一方提供的通讯地址不准确、不可用或者变更后未及时通知另一方导致该方未收到通知的，该通知应视为已送达，后果由该方自行承担。</w:t>
      </w:r>
    </w:p>
    <w:p w14:paraId="5FF29C7C">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10.3双方进一步就合同发生争议时相关文件和法律文书送达时的送达地址及法律后果明确约定如下：</w:t>
      </w:r>
    </w:p>
    <w:p w14:paraId="637FCF05">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10.3.1双方确认在合同发生争议时其有效的送达地址仍为文首的通讯地址。</w:t>
      </w:r>
    </w:p>
    <w:p w14:paraId="06632ED2">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10.3.2双方确认该送达地址的适用范围除了包括双方非诉时各类通知、协议等所有往来文件外，还包括就协议发生争议时相关文件和法律文书的送达，同时包括在争议进入仲裁、民事诉讼程序后的一审、二审、再审和执行程序。</w:t>
      </w:r>
    </w:p>
    <w:p w14:paraId="4C9CF590">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10.3.3一方的送达地址需要变更时应当履行通知义务，通过书面函件的方式向另一方进行通知。在仲裁及民事诉讼程序时当事人地址变更时应当向仲裁机构、法院履行送达地址变更通知义务。</w:t>
      </w:r>
    </w:p>
    <w:p w14:paraId="14332891">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10.3.4一方未按前述方式履行通知义务，双方所确认的文首通讯地址仍视为有效送达地址，因任何一方提供或者确认的送达地址不准确、送达地址变更后未及时依程序告知对方和法院、任何一方或指定的接收人拒绝签收等原因，导致法律文书未能被任何一方实际接收的，邮寄送达的，以文书退回之日视为送达之日；直接送达的，送达人当场在送达回证上记明情况之日视为送达之日；履行送达地址变更通知义务的，以变更后的送达地址为有效送达地址。对于上述双方在协议中明确约定的送达地址，法院进行送达时可直接邮寄送达，即使受送达方未能收到法院邮寄送达的文书，由于其在协议中的约定，也应当视为送达。</w:t>
      </w:r>
    </w:p>
    <w:p w14:paraId="7DAF7B16">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10.3.5纠纷进入民事诉讼程序后，如任何一方应诉并直接向法院提交送达地址确认书，该确认地址与诉前确认的送达地址不一致的，以向法院提交确认的送达地址为准（该送达地址仅适用争议解决过程中争议解决机关向双方送达文件，其他送达地址仍以向法院提交送达地址前的地址为准）。</w:t>
      </w:r>
    </w:p>
    <w:p w14:paraId="7BD4290E">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第十一条一般性条款</w:t>
      </w:r>
    </w:p>
    <w:p w14:paraId="2D3D5BB5">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11.1除非双方另有约定，费用应按以下约定分担：</w:t>
      </w:r>
    </w:p>
    <w:p w14:paraId="2E47E89D">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11.1.1双方在本合同的准备、协商和履行过程中所发生的各自的成本和费用均应自行承担。</w:t>
      </w:r>
    </w:p>
    <w:p w14:paraId="763DD6AA">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11.1.2为履行本合同，应缴纳的税款、行政事业性收费由三方按中国法律、法规、规章的规定承担；法律、法规、规章没有规定的，由双方当事人平均分担。</w:t>
      </w:r>
    </w:p>
    <w:p w14:paraId="3DC6A040">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11.2本合同于双方加盖公章或合同专用章之日起生效。</w:t>
      </w:r>
    </w:p>
    <w:p w14:paraId="3D99BBBD">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11.3本协议正本一式【肆】份；双方各执【贰】份，具有同等法律效力。</w:t>
      </w:r>
    </w:p>
    <w:p w14:paraId="4F60C220">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（本页为以下双方之【第四届西安设计周暨设计产业博览会场地租赁及配套服务】的签字页，无正文）</w:t>
      </w:r>
    </w:p>
    <w:p w14:paraId="14E05A03">
      <w:pPr>
        <w:pStyle w:val="9"/>
        <w:rPr>
          <w:rFonts w:hint="eastAsia" w:ascii="仿宋_GB2312" w:hAnsi="仿宋_GB2312" w:eastAsia="仿宋_GB2312" w:cs="仿宋_GB2312"/>
          <w:lang w:val="en-US" w:eastAsia="zh-CN"/>
        </w:rPr>
      </w:pPr>
    </w:p>
    <w:p w14:paraId="290B9519">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本协议由以下双方于【  】年【  】月【  】日在中国【西安】市签署：</w:t>
      </w:r>
    </w:p>
    <w:p w14:paraId="534AD361">
      <w:pPr>
        <w:pStyle w:val="9"/>
        <w:rPr>
          <w:rFonts w:hint="eastAsia" w:ascii="仿宋_GB2312" w:hAnsi="仿宋_GB2312" w:eastAsia="仿宋_GB2312" w:cs="仿宋_GB2312"/>
          <w:lang w:val="en-US" w:eastAsia="zh-CN"/>
        </w:rPr>
      </w:pPr>
    </w:p>
    <w:p w14:paraId="06AD39B9">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【甲方】：</w:t>
      </w:r>
    </w:p>
    <w:p w14:paraId="7427CA8D">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联系人：</w:t>
      </w:r>
    </w:p>
    <w:p w14:paraId="4A06B9CC">
      <w:pPr>
        <w:pStyle w:val="9"/>
        <w:rPr>
          <w:rFonts w:hint="eastAsia" w:ascii="仿宋_GB2312" w:hAnsi="仿宋_GB2312" w:eastAsia="仿宋_GB2312" w:cs="仿宋_GB2312"/>
          <w:lang w:val="en-US" w:eastAsia="zh-CN"/>
        </w:rPr>
      </w:pPr>
    </w:p>
    <w:p w14:paraId="7583031E">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【乙方】：</w:t>
      </w:r>
    </w:p>
    <w:p w14:paraId="22069B5E">
      <w:r>
        <w:rPr>
          <w:rFonts w:hint="eastAsia" w:ascii="仿宋_GB2312" w:hAnsi="仿宋_GB2312" w:eastAsia="仿宋_GB2312" w:cs="仿宋_GB2312"/>
          <w:lang w:val="en-US" w:eastAsia="zh-Hans"/>
        </w:rPr>
        <w:t>法定代表人或授权代表：</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C84C8A"/>
    <w:multiLevelType w:val="multilevel"/>
    <w:tmpl w:val="3EC84C8A"/>
    <w:lvl w:ilvl="0" w:tentative="0">
      <w:start w:val="1"/>
      <w:numFmt w:val="chineseCountingThousand"/>
      <w:pStyle w:val="5"/>
      <w:lvlText w:val="第%1条"/>
      <w:lvlJc w:val="left"/>
      <w:pPr>
        <w:tabs>
          <w:tab w:val="left" w:pos="851"/>
        </w:tabs>
        <w:ind w:left="851" w:hanging="851"/>
      </w:pPr>
      <w:rPr>
        <w:rFonts w:hint="eastAsia"/>
        <w:lang w:val="en-US"/>
      </w:rPr>
    </w:lvl>
    <w:lvl w:ilvl="1" w:tentative="0">
      <w:start w:val="1"/>
      <w:numFmt w:val="decimal"/>
      <w:pStyle w:val="6"/>
      <w:isLgl/>
      <w:suff w:val="space"/>
      <w:lvlText w:val="%1.%2"/>
      <w:lvlJc w:val="left"/>
      <w:pPr>
        <w:ind w:left="1560" w:hanging="851"/>
      </w:pPr>
      <w:rPr>
        <w:rFonts w:hint="eastAsia"/>
      </w:rPr>
    </w:lvl>
    <w:lvl w:ilvl="2" w:tentative="0">
      <w:start w:val="1"/>
      <w:numFmt w:val="decimal"/>
      <w:pStyle w:val="7"/>
      <w:isLgl/>
      <w:suff w:val="space"/>
      <w:lvlText w:val="%1.%2.%3"/>
      <w:lvlJc w:val="left"/>
      <w:pPr>
        <w:ind w:left="2126" w:hanging="1134"/>
      </w:pPr>
      <w:rPr>
        <w:rFonts w:hint="eastAsia"/>
      </w:rPr>
    </w:lvl>
    <w:lvl w:ilvl="3" w:tentative="0">
      <w:start w:val="1"/>
      <w:numFmt w:val="decimal"/>
      <w:lvlText w:val="(%4)"/>
      <w:lvlJc w:val="left"/>
      <w:pPr>
        <w:tabs>
          <w:tab w:val="left" w:pos="851"/>
        </w:tabs>
        <w:ind w:left="851" w:hanging="851"/>
      </w:pPr>
      <w:rPr>
        <w:rFonts w:hint="eastAsia"/>
      </w:rPr>
    </w:lvl>
    <w:lvl w:ilvl="4" w:tentative="0">
      <w:start w:val="1"/>
      <w:numFmt w:val="decimal"/>
      <w:lvlText w:val="%1.%2.%3.%4.%5"/>
      <w:lvlJc w:val="left"/>
      <w:pPr>
        <w:tabs>
          <w:tab w:val="left" w:pos="851"/>
        </w:tabs>
        <w:ind w:left="851" w:hanging="851"/>
      </w:pPr>
      <w:rPr>
        <w:rFonts w:hint="eastAsia"/>
      </w:rPr>
    </w:lvl>
    <w:lvl w:ilvl="5" w:tentative="0">
      <w:start w:val="1"/>
      <w:numFmt w:val="decimal"/>
      <w:lvlText w:val="%1.%2.%3.%4.%5.%6"/>
      <w:lvlJc w:val="left"/>
      <w:pPr>
        <w:tabs>
          <w:tab w:val="left" w:pos="851"/>
        </w:tabs>
        <w:ind w:left="851" w:hanging="851"/>
      </w:pPr>
      <w:rPr>
        <w:rFonts w:hint="eastAsia"/>
      </w:rPr>
    </w:lvl>
    <w:lvl w:ilvl="6" w:tentative="0">
      <w:start w:val="1"/>
      <w:numFmt w:val="decimal"/>
      <w:lvlText w:val="%1.%2.%3.%4.%5.%6.%7"/>
      <w:lvlJc w:val="left"/>
      <w:pPr>
        <w:tabs>
          <w:tab w:val="left" w:pos="851"/>
        </w:tabs>
        <w:ind w:left="851" w:hanging="851"/>
      </w:pPr>
      <w:rPr>
        <w:rFonts w:hint="eastAsia"/>
      </w:rPr>
    </w:lvl>
    <w:lvl w:ilvl="7" w:tentative="0">
      <w:start w:val="1"/>
      <w:numFmt w:val="decimal"/>
      <w:lvlText w:val="%1.%2.%3.%4.%5.%6.%7.%8"/>
      <w:lvlJc w:val="left"/>
      <w:pPr>
        <w:tabs>
          <w:tab w:val="left" w:pos="851"/>
        </w:tabs>
        <w:ind w:left="851" w:hanging="851"/>
      </w:pPr>
      <w:rPr>
        <w:rFonts w:hint="eastAsia"/>
      </w:rPr>
    </w:lvl>
    <w:lvl w:ilvl="8" w:tentative="0">
      <w:start w:val="1"/>
      <w:numFmt w:val="decimal"/>
      <w:lvlText w:val="%1.%2.%3.%4.%5.%6.%7.%8.%9"/>
      <w:lvlJc w:val="left"/>
      <w:pPr>
        <w:tabs>
          <w:tab w:val="left" w:pos="851"/>
        </w:tabs>
        <w:ind w:left="851" w:hanging="851"/>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F366B2"/>
    <w:rsid w:val="06C1510C"/>
    <w:rsid w:val="1EF366B2"/>
    <w:rsid w:val="364620FC"/>
    <w:rsid w:val="364B2FB4"/>
    <w:rsid w:val="3B3F1FD6"/>
    <w:rsid w:val="52ED3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adjustRightInd w:val="0"/>
      <w:spacing w:after="60" w:afterLines="0" w:line="360" w:lineRule="atLeast"/>
      <w:ind w:left="72" w:leftChars="30" w:right="30" w:rightChars="30"/>
      <w:jc w:val="center"/>
      <w:textAlignment w:val="baseline"/>
    </w:pPr>
    <w:rPr>
      <w:rFonts w:ascii="Times New Roman" w:hAnsi="Times New Roman"/>
    </w:rPr>
  </w:style>
  <w:style w:type="paragraph" w:customStyle="1" w:styleId="5">
    <w:name w:val="A1一级标题"/>
    <w:basedOn w:val="1"/>
    <w:qFormat/>
    <w:uiPriority w:val="0"/>
    <w:pPr>
      <w:numPr>
        <w:ilvl w:val="0"/>
        <w:numId w:val="1"/>
      </w:numPr>
      <w:spacing w:beforeLines="50" w:afterLines="50" w:line="360" w:lineRule="auto"/>
      <w:jc w:val="left"/>
      <w:outlineLvl w:val="0"/>
    </w:pPr>
    <w:rPr>
      <w:rFonts w:eastAsia="华文中宋"/>
      <w:b/>
      <w:sz w:val="24"/>
    </w:rPr>
  </w:style>
  <w:style w:type="paragraph" w:customStyle="1" w:styleId="6">
    <w:name w:val="B1二级标题"/>
    <w:basedOn w:val="1"/>
    <w:qFormat/>
    <w:uiPriority w:val="99"/>
    <w:pPr>
      <w:numPr>
        <w:ilvl w:val="1"/>
        <w:numId w:val="1"/>
      </w:numPr>
      <w:tabs>
        <w:tab w:val="left" w:pos="1560"/>
        <w:tab w:val="left" w:pos="2127"/>
        <w:tab w:val="left" w:pos="2269"/>
      </w:tabs>
      <w:spacing w:beforeLines="50" w:afterLines="50" w:line="360" w:lineRule="auto"/>
      <w:jc w:val="left"/>
      <w:outlineLvl w:val="1"/>
    </w:pPr>
    <w:rPr>
      <w:sz w:val="24"/>
    </w:rPr>
  </w:style>
  <w:style w:type="paragraph" w:customStyle="1" w:styleId="7">
    <w:name w:val="C1三级标题"/>
    <w:basedOn w:val="1"/>
    <w:qFormat/>
    <w:uiPriority w:val="0"/>
    <w:pPr>
      <w:numPr>
        <w:ilvl w:val="2"/>
        <w:numId w:val="1"/>
      </w:numPr>
      <w:tabs>
        <w:tab w:val="left" w:pos="992"/>
        <w:tab w:val="left" w:pos="1985"/>
      </w:tabs>
      <w:spacing w:beforeLines="50" w:afterLines="50" w:line="360" w:lineRule="auto"/>
      <w:jc w:val="left"/>
      <w:outlineLvl w:val="2"/>
    </w:pPr>
    <w:rPr>
      <w:sz w:val="24"/>
    </w:rPr>
  </w:style>
  <w:style w:type="paragraph" w:customStyle="1" w:styleId="8">
    <w:name w:val="05自定义正文"/>
    <w:basedOn w:val="1"/>
    <w:qFormat/>
    <w:uiPriority w:val="0"/>
    <w:pPr>
      <w:spacing w:beforeLines="50" w:afterLines="50" w:line="360" w:lineRule="auto"/>
    </w:pPr>
    <w:rPr>
      <w:sz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4322</Words>
  <Characters>4573</Characters>
  <Lines>0</Lines>
  <Paragraphs>0</Paragraphs>
  <TotalTime>0</TotalTime>
  <ScaleCrop>false</ScaleCrop>
  <LinksUpToDate>false</LinksUpToDate>
  <CharactersWithSpaces>4608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2025-08-13T07:09:00Z</dcterms:created>
  <dc:creator>啾啾</dc:creator>
  <cp:lastModifiedBy>啾啾</cp:lastModifiedBy>
  <dcterms:modified xsi:type="dcterms:W3CDTF">2026-08-26T02:36:39Z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B99FB28C53264428B261A876E9E561A7_13</vt:lpwstr>
  </property>
  <property fmtid="{D5CDD505-2E9C-101B-9397-08002B2CF9AE}" pid="4" name="KSOTemplateDocerSaveRecord">
    <vt:lpwstr>eyJoZGlkIjoiNjA2YzQ3MmJiMmVkMGRkMTQwNzdjYjgwMmQxMDViZjkiLCJ1c2VySWQiOiIyNzA4NDYzNjIifQ==</vt:lpwstr>
  </property>
</Properties>
</file>