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版本号：HRC-ZBDL-2026-0045420260713001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开发区移交社区（悦府社区）办公用房装修项目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HRC-ZBDL-2026-00454</w:t>
      </w:r>
      <w:r>
        <w:br/>
      </w:r>
      <w:r>
        <w:br/>
      </w:r>
      <w:r>
        <w:br/>
      </w:r>
    </w:p>
    <w:p>
      <w:pPr>
        <w:pStyle w:val="null3"/>
        <w:jc w:val="center"/>
        <w:outlineLvl w:val="2"/>
      </w:pPr>
      <w:r>
        <w:rPr>
          <w:rFonts w:ascii="仿宋_GB2312" w:hAnsi="仿宋_GB2312" w:cs="仿宋_GB2312" w:eastAsia="仿宋_GB2312"/>
          <w:sz w:val="28"/>
          <w:b/>
        </w:rPr>
        <w:t>长延堡街道办事处</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长延堡街道办事处</w:t>
      </w:r>
      <w:r>
        <w:rPr>
          <w:rFonts w:ascii="仿宋_GB2312" w:hAnsi="仿宋_GB2312" w:cs="仿宋_GB2312" w:eastAsia="仿宋_GB2312"/>
        </w:rPr>
        <w:t>委托，拟对</w:t>
      </w:r>
      <w:r>
        <w:rPr>
          <w:rFonts w:ascii="仿宋_GB2312" w:hAnsi="仿宋_GB2312" w:cs="仿宋_GB2312" w:eastAsia="仿宋_GB2312"/>
        </w:rPr>
        <w:t>开发区移交社区（悦府社区）办公用房装修项目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HRC-ZBDL-2026-00454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开发区移交社区（悦府社区）办公用房装修项目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西安市雁塔区长延堡街道办事处开发区移交社区（悦府社区）办公用房装修项目，详见采购需求。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采购包1（开发区移交社区（悦府社区）办公用房装修项目）：属于专门面向中小企业采购。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在中华人民共和国境内正式注册并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2025年度完整的财务报告（成立时间至响应文件递交截止时间不足一年的可提供成立后任意时段的资产负债表）或响应文件递交截止时间前六个月内银行出具的资信证明或具有良好的商业信誉和健全的财务会计制度的承诺；其他组织和自然人提供银行出具的资信证明或财务报表或具有良好的商业信誉和健全的财务会计制度的承诺。注：①提供财务报告的，内容至少包括审计报告、附注，根据《财政部关于注册会计师行业统一监管平台上线运行的通知》财办〔2022〕32号文件要求，审计报告须有清晰可扫描查询的二维码（注册会计师行业统一监管平台网址：acc.mof.gov.cn），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有依法缴纳税收的良好记录：法人提供响应文件递交截止时间前一年内至少一个月依法缴纳税收的相关凭据（时间以税款所属日期为准，凭据应有税务机关或代收机关的公章或业务专用章）或依法缴纳税收的承诺；其他组织和自然人提供缴纳税收的凭据或依法缴纳税收的承诺；依法免税的供应商应提供相关文件证明。</w:t>
      </w:r>
    </w:p>
    <w:p>
      <w:pPr>
        <w:pStyle w:val="null3"/>
      </w:pPr>
      <w:r>
        <w:rPr>
          <w:rFonts w:ascii="仿宋_GB2312" w:hAnsi="仿宋_GB2312" w:cs="仿宋_GB2312" w:eastAsia="仿宋_GB2312"/>
        </w:rPr>
        <w:t>4、有依法缴纳社会保障资金的良好记录：提供响应文件递交截止时间前一年内至少一个月已缴纳的社会保障资金的凭据（社会保障资金缴存单据或社保机构开具的社会保险参保缴费情况证明）或依法缴纳社会保障资金的承诺；依法不需要缴纳社会保障资金的供应商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及被授权人响应文件递交截止时间前一年内任意一个月的社会保障资金（养老保险或医疗保险）的缴纳证明，或法定代表人身份证明（法定代表人直接参加的）。</w:t>
      </w:r>
    </w:p>
    <w:p>
      <w:pPr>
        <w:pStyle w:val="null3"/>
      </w:pPr>
      <w:r>
        <w:rPr>
          <w:rFonts w:ascii="仿宋_GB2312" w:hAnsi="仿宋_GB2312" w:cs="仿宋_GB2312" w:eastAsia="仿宋_GB2312"/>
        </w:rPr>
        <w:t>8、信用承诺：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pPr>
        <w:pStyle w:val="null3"/>
      </w:pPr>
      <w:r>
        <w:rPr>
          <w:rFonts w:ascii="仿宋_GB2312" w:hAnsi="仿宋_GB2312" w:cs="仿宋_GB2312" w:eastAsia="仿宋_GB2312"/>
        </w:rPr>
        <w:t>9、供应商企业资质：供应商须具备建设行政主管部门颁发的建筑工程施工总承包三级以上（含三级）资质或建筑装修装饰工程专业承包二级以上（含二级）资质，并具有有效的安全生产许可证（提供证书或证件）。</w:t>
      </w:r>
    </w:p>
    <w:p>
      <w:pPr>
        <w:pStyle w:val="null3"/>
      </w:pPr>
      <w:r>
        <w:rPr>
          <w:rFonts w:ascii="仿宋_GB2312" w:hAnsi="仿宋_GB2312" w:cs="仿宋_GB2312" w:eastAsia="仿宋_GB2312"/>
        </w:rPr>
        <w:t>10、拟派项目经理资格和专业要求：拟派项目经理须具备建筑工程专业二级以上（含二级）注册建造师执业资格及有效的安全生产考核合格证（建安B证），在本单位注册（提供证书或证件），且无在建项目（提供承诺）。</w:t>
      </w:r>
    </w:p>
    <w:p>
      <w:pPr>
        <w:pStyle w:val="null3"/>
      </w:pPr>
      <w:r>
        <w:rPr>
          <w:rFonts w:ascii="仿宋_GB2312" w:hAnsi="仿宋_GB2312" w:cs="仿宋_GB2312" w:eastAsia="仿宋_GB2312"/>
        </w:rPr>
        <w:t>11、外省进陕企业要求：供应商为外省进陕企业的，须提供陕西省住房和城乡建设厅官网企业库外省进陕企业信息首页截图。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长延堡街道办事处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翠华南路982号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029-85230713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冯延平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18829358609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采购包1：764,500.26元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发的《招标代理服务收费管理暂行办法》（计价格[2002]1980号）和《关于招标代理服务收费有关问题的通知》（发改办价格[2003]857号）的有关规定下浮12%；工程造价咨询服务费依据陕价行发[2014]88号、发改价格[2015]299号文件规定下浮 12 %收取。户名：华睿诚项目管理有限公司 开户行名称：西安银行小寨东路支行 账号：816011580000101224 成交供应商在领取《成交通知书》前，须向招标代理机构一次性支付招标代理服务费和工程造价咨询服务费。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长延堡街道办事处</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长延堡街道办事处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长延堡街道办事处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据竞争性磋商文件要求及合同约定执行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联系人：冯延平</w:t>
      </w:r>
    </w:p>
    <w:p>
      <w:pPr>
        <w:pStyle w:val="null3"/>
      </w:pPr>
      <w:r>
        <w:rPr>
          <w:rFonts w:ascii="仿宋_GB2312" w:hAnsi="仿宋_GB2312" w:cs="仿宋_GB2312" w:eastAsia="仿宋_GB2312"/>
        </w:rPr>
        <w:t>联系电话：18829358609</w:t>
      </w:r>
    </w:p>
    <w:p>
      <w:pPr>
        <w:pStyle w:val="null3"/>
      </w:pPr>
      <w:r>
        <w:rPr>
          <w:rFonts w:ascii="仿宋_GB2312" w:hAnsi="仿宋_GB2312" w:cs="仿宋_GB2312" w:eastAsia="仿宋_GB2312"/>
        </w:rPr>
        <w:t>地址：陕西省西安市雁塔区曲江新区雁翔路3269号旺座曲江E座29层2901号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764,500.26</w:t>
      </w:r>
    </w:p>
    <w:p>
      <w:pPr>
        <w:pStyle w:val="null3"/>
      </w:pPr>
      <w:r>
        <w:rPr>
          <w:rFonts w:ascii="仿宋_GB2312" w:hAnsi="仿宋_GB2312" w:cs="仿宋_GB2312" w:eastAsia="仿宋_GB2312"/>
        </w:rPr>
        <w:t>采购包最高限价（元）: 764,500.26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开发区移交社区（悦府社区）办公用房装修项目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764,500.26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标的名称：开发区移交社区（悦府社区）办公用房装修项目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施工范围及工作内容</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西安市雁塔区长延堡街道办事处开发区移交社区（悦府社区）办公用房装修项目</w:t>
            </w:r>
            <w:r>
              <w:rPr>
                <w:rFonts w:ascii="仿宋_GB2312" w:hAnsi="仿宋_GB2312" w:cs="仿宋_GB2312" w:eastAsia="仿宋_GB2312"/>
                <w:sz w:val="24"/>
              </w:rPr>
              <w:t>，详见工程量清单。</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实施要求</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b/>
              </w:rPr>
              <w:t>工程质量：</w:t>
            </w:r>
            <w:r>
              <w:rPr>
                <w:rFonts w:ascii="仿宋_GB2312" w:hAnsi="仿宋_GB2312" w:cs="仿宋_GB2312" w:eastAsia="仿宋_GB2312"/>
                <w:sz w:val="24"/>
              </w:rPr>
              <w:t>合格。</w:t>
            </w:r>
          </w:p>
          <w:p>
            <w:pPr>
              <w:pStyle w:val="null3"/>
            </w:pPr>
            <w:r>
              <w:rPr>
                <w:rFonts w:ascii="仿宋_GB2312" w:hAnsi="仿宋_GB2312" w:cs="仿宋_GB2312" w:eastAsia="仿宋_GB2312"/>
                <w:sz w:val="24"/>
                <w:b/>
              </w:rPr>
              <w:t>安全文明：</w:t>
            </w:r>
            <w:r>
              <w:rPr>
                <w:rFonts w:ascii="仿宋_GB2312" w:hAnsi="仿宋_GB2312" w:cs="仿宋_GB2312" w:eastAsia="仿宋_GB2312"/>
                <w:sz w:val="24"/>
              </w:rPr>
              <w:t>严格按照安全文明施工标准进行管理，全封闭施工，严格执行施工规范、安全操作规程、防火安全规定、环境保护规定。</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工期：</w:t>
            </w:r>
            <w:r>
              <w:rPr>
                <w:rFonts w:ascii="仿宋_GB2312" w:hAnsi="仿宋_GB2312" w:cs="仿宋_GB2312" w:eastAsia="仿宋_GB2312"/>
                <w:sz w:val="24"/>
              </w:rPr>
              <w:t>自合同签订之日起</w:t>
            </w:r>
            <w:r>
              <w:rPr>
                <w:rFonts w:ascii="仿宋_GB2312" w:hAnsi="仿宋_GB2312" w:cs="仿宋_GB2312" w:eastAsia="仿宋_GB2312"/>
                <w:sz w:val="24"/>
              </w:rPr>
              <w:t>45 日历天。</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付款方式：</w:t>
            </w:r>
            <w:r>
              <w:rPr>
                <w:rFonts w:ascii="仿宋_GB2312" w:hAnsi="仿宋_GB2312" w:cs="仿宋_GB2312" w:eastAsia="仿宋_GB2312"/>
                <w:sz w:val="24"/>
              </w:rPr>
              <w:t>合同签订生效后，甲方支付合同金额</w:t>
            </w:r>
            <w:r>
              <w:rPr>
                <w:rFonts w:ascii="仿宋_GB2312" w:hAnsi="仿宋_GB2312" w:cs="仿宋_GB2312" w:eastAsia="仿宋_GB2312"/>
                <w:sz w:val="24"/>
              </w:rPr>
              <w:t>5%作为工程预付款，预付款在进度款中按比例抵扣；工程进度款按已完合格工程量审核确认后支付至80%（含已抵扣预付款）；工程竣工验收合格并经审计审定后，支付至审定金额的100%（但前期支付超过审定金额的，乙方应当归还）</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rPr>
              <w:t>质保期：验收合格后</w:t>
            </w:r>
            <w:r>
              <w:rPr>
                <w:rFonts w:ascii="仿宋_GB2312" w:hAnsi="仿宋_GB2312" w:cs="仿宋_GB2312" w:eastAsia="仿宋_GB2312"/>
                <w:sz w:val="24"/>
              </w:rPr>
              <w:t>2年</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b/>
              </w:rPr>
              <w:t>合同价款形式</w:t>
            </w:r>
            <w:r>
              <w:rPr>
                <w:rFonts w:ascii="仿宋_GB2312" w:hAnsi="仿宋_GB2312" w:cs="仿宋_GB2312" w:eastAsia="仿宋_GB2312"/>
                <w:sz w:val="24"/>
                <w:b/>
              </w:rPr>
              <w:t>:</w:t>
            </w:r>
            <w:r>
              <w:rPr>
                <w:rFonts w:ascii="仿宋_GB2312" w:hAnsi="仿宋_GB2312" w:cs="仿宋_GB2312" w:eastAsia="仿宋_GB2312"/>
                <w:sz w:val="24"/>
              </w:rPr>
              <w:t>固定综合单价。</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4"/>
                <w:b/>
              </w:rPr>
              <w:t>质量保证及验收标准：</w:t>
            </w:r>
          </w:p>
          <w:p>
            <w:pPr>
              <w:pStyle w:val="null3"/>
            </w:pPr>
            <w:r>
              <w:rPr>
                <w:rFonts w:ascii="仿宋_GB2312" w:hAnsi="仿宋_GB2312" w:cs="仿宋_GB2312" w:eastAsia="仿宋_GB2312"/>
                <w:sz w:val="24"/>
              </w:rPr>
              <w:t>验收标准：符合国家相关质量要求及验收标准。</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4"/>
                <w:b/>
              </w:rPr>
              <w:t>违约责任：</w:t>
            </w:r>
          </w:p>
          <w:p>
            <w:pPr>
              <w:pStyle w:val="null3"/>
            </w:pPr>
            <w:r>
              <w:rPr>
                <w:rFonts w:ascii="仿宋_GB2312" w:hAnsi="仿宋_GB2312" w:cs="仿宋_GB2312" w:eastAsia="仿宋_GB2312"/>
                <w:sz w:val="24"/>
              </w:rPr>
              <w:t>中标</w:t>
            </w:r>
            <w:r>
              <w:rPr>
                <w:rFonts w:ascii="仿宋_GB2312" w:hAnsi="仿宋_GB2312" w:cs="仿宋_GB2312" w:eastAsia="仿宋_GB2312"/>
                <w:sz w:val="24"/>
              </w:rPr>
              <w:t>/成交供应商所交付工程不符合其投标承诺，存在偷工减料、以次充好情形的，采购人要求更换一次后仍不符合约定的，采购人有权解除采购合同。</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4"/>
                <w:b/>
              </w:rPr>
              <w:t>采购标的需执行的标准：</w:t>
            </w:r>
          </w:p>
          <w:p>
            <w:pPr>
              <w:pStyle w:val="null3"/>
            </w:pPr>
            <w:r>
              <w:rPr>
                <w:rFonts w:ascii="仿宋_GB2312" w:hAnsi="仿宋_GB2312" w:cs="仿宋_GB2312" w:eastAsia="仿宋_GB2312"/>
                <w:sz w:val="24"/>
              </w:rPr>
              <w:t>符合国家相关质量要求及验收标准。</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4"/>
                <w:b/>
              </w:rPr>
              <w:t>工程量清单：</w:t>
            </w:r>
            <w:r>
              <w:rPr>
                <w:rFonts w:ascii="仿宋_GB2312" w:hAnsi="仿宋_GB2312" w:cs="仿宋_GB2312" w:eastAsia="仿宋_GB2312"/>
                <w:sz w:val="24"/>
              </w:rPr>
              <w:t>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纸质投标文件要求： （1）成交供应商应在中标（成交）结果公告发布后5个工作日内提供纸质响应文件三份（正本壹份、副本贰份，分别胶装）。 （2）递交地址：陕西省西安市雁塔区曲江新区雁翔路3269号旺座曲江E座29层2901号，联系人：冯工，联系电话：18829358609。 （3）成交供应商应保持响应文件纸质版内容与交易系统上传电子版内容完全一致，否则将承担一切法律责任。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在中华人民共和国境内正式注册并具有独立承担民事责任能力的法人、其他组织或自然人，提供合法有效的统一社会信用代码营业执照（事业单位提供法人证书，自然人提供身份证）。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2025年度完整的财务报告（成立时间至响应文件递交截止时间不足一年的可提供成立后任意时段的资产负债表）或响应文件递交截止时间前六个月内银行出具的资信证明或具有良好的商业信誉和健全的财务会计制度的承诺；其他组织和自然人提供银行出具的资信证明或财务报表或具有良好的商业信誉和健全的财务会计制度的承诺。注：①提供财务报告的，内容至少包括审计报告、附注，根据《财政部关于注册会计师行业统一监管平台上线运行的通知》财办〔2022〕32号文件要求，审计报告须有清晰可扫描查询的二维码（注册会计师行业统一监管平台网址：acc.mof.gov.cn），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供应商资格证明材料.docx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响应文件递交截止时间前一年内至少一个月依法缴纳税收的相关凭据（时间以税款所属日期为准，凭据应有税务机关或代收机关的公章或业务专用章）或依法缴纳税收的承诺；其他组织和自然人提供缴纳税收的凭据或依法缴纳税收的承诺；依法免税的供应商应提供相关文件证明。</w:t>
            </w:r>
          </w:p>
        </w:tc>
        <w:tc>
          <w:tcPr>
            <w:tcW w:type="dxa" w:w="1661"/>
          </w:tcPr>
          <w:p>
            <w:pPr>
              <w:pStyle w:val="null3"/>
            </w:pPr>
            <w:r>
              <w:rPr>
                <w:rFonts w:ascii="仿宋_GB2312" w:hAnsi="仿宋_GB2312" w:cs="仿宋_GB2312" w:eastAsia="仿宋_GB2312"/>
              </w:rPr>
              <w:t>供应商资格证明材料.docx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响应文件递交截止时间前一年内至少一个月已缴纳的社会保障资金的凭据（社会保障资金缴存单据或社保机构开具的社会保险参保缴费情况证明）或依法缴纳社会保障资金的承诺；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及被授权人响应文件递交截止时间前一年内任意一个月的社会保障资金（养老保险或医疗保险）的缴纳证明，或法定代表人身份证明（法定代表人直接参加的）。</w:t>
            </w:r>
          </w:p>
        </w:tc>
        <w:tc>
          <w:tcPr>
            <w:tcW w:type="dxa" w:w="1661"/>
          </w:tcPr>
          <w:p>
            <w:pPr>
              <w:pStyle w:val="null3"/>
            </w:pPr>
            <w:r>
              <w:rPr>
                <w:rFonts w:ascii="仿宋_GB2312" w:hAnsi="仿宋_GB2312" w:cs="仿宋_GB2312" w:eastAsia="仿宋_GB2312"/>
              </w:rPr>
              <w:t>供应商资格证明材料.docx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tc>
        <w:tc>
          <w:tcPr>
            <w:tcW w:type="dxa" w:w="1661"/>
          </w:tcPr>
          <w:p>
            <w:pPr>
              <w:pStyle w:val="null3"/>
            </w:pPr>
            <w:r>
              <w:rPr>
                <w:rFonts w:ascii="仿宋_GB2312" w:hAnsi="仿宋_GB2312" w:cs="仿宋_GB2312" w:eastAsia="仿宋_GB2312"/>
              </w:rPr>
              <w:t>供应商资格证明材料.docx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供应商企业资质</w:t>
            </w:r>
          </w:p>
        </w:tc>
        <w:tc>
          <w:tcPr>
            <w:tcW w:type="dxa" w:w="3322"/>
          </w:tcPr>
          <w:p>
            <w:pPr>
              <w:pStyle w:val="null3"/>
            </w:pPr>
            <w:r>
              <w:rPr>
                <w:rFonts w:ascii="仿宋_GB2312" w:hAnsi="仿宋_GB2312" w:cs="仿宋_GB2312" w:eastAsia="仿宋_GB2312"/>
              </w:rPr>
              <w:t>供应商须具备建设行政主管部门颁发的建筑工程施工总承包三级以上（含三级）资质或建筑装修装饰工程专业承包二级以上（含二级）资质，并具有有效的安全生产许可证（提供证书或证件）。</w:t>
            </w:r>
          </w:p>
        </w:tc>
        <w:tc>
          <w:tcPr>
            <w:tcW w:type="dxa" w:w="1661"/>
          </w:tcPr>
          <w:p>
            <w:pPr>
              <w:pStyle w:val="null3"/>
            </w:pPr>
            <w:r>
              <w:rPr>
                <w:rFonts w:ascii="仿宋_GB2312" w:hAnsi="仿宋_GB2312" w:cs="仿宋_GB2312" w:eastAsia="仿宋_GB2312"/>
              </w:rPr>
              <w:t>供应商资格证明材料.docx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拟派项目经理资格和专业要求</w:t>
            </w:r>
          </w:p>
        </w:tc>
        <w:tc>
          <w:tcPr>
            <w:tcW w:type="dxa" w:w="3322"/>
          </w:tcPr>
          <w:p>
            <w:pPr>
              <w:pStyle w:val="null3"/>
            </w:pPr>
            <w:r>
              <w:rPr>
                <w:rFonts w:ascii="仿宋_GB2312" w:hAnsi="仿宋_GB2312" w:cs="仿宋_GB2312" w:eastAsia="仿宋_GB2312"/>
              </w:rPr>
              <w:t>拟派项目经理须具备建筑工程专业二级以上（含二级）注册建造师执业资格及有效的安全生产考核合格证（建安B证），在本单位注册（提供证书或证件），且无在建项目（提供承诺）。</w:t>
            </w:r>
          </w:p>
        </w:tc>
        <w:tc>
          <w:tcPr>
            <w:tcW w:type="dxa" w:w="1661"/>
          </w:tcPr>
          <w:p>
            <w:pPr>
              <w:pStyle w:val="null3"/>
            </w:pPr>
            <w:r>
              <w:rPr>
                <w:rFonts w:ascii="仿宋_GB2312" w:hAnsi="仿宋_GB2312" w:cs="仿宋_GB2312" w:eastAsia="仿宋_GB2312"/>
              </w:rPr>
              <w:t>供应商资格证明材料.docx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外省进陕企业要求</w:t>
            </w:r>
          </w:p>
        </w:tc>
        <w:tc>
          <w:tcPr>
            <w:tcW w:type="dxa" w:w="3322"/>
          </w:tcPr>
          <w:p>
            <w:pPr>
              <w:pStyle w:val="null3"/>
            </w:pPr>
            <w:r>
              <w:rPr>
                <w:rFonts w:ascii="仿宋_GB2312" w:hAnsi="仿宋_GB2312" w:cs="仿宋_GB2312" w:eastAsia="仿宋_GB2312"/>
              </w:rPr>
              <w:t>供应商为外省进陕企业的，须提供陕西省住房和城乡建设厅官网企业库外省进陕企业信息首页截图。</w:t>
            </w:r>
          </w:p>
        </w:tc>
        <w:tc>
          <w:tcPr>
            <w:tcW w:type="dxa" w:w="1661"/>
          </w:tcPr>
          <w:p>
            <w:pPr>
              <w:pStyle w:val="null3"/>
            </w:pPr>
            <w:r>
              <w:rPr>
                <w:rFonts w:ascii="仿宋_GB2312" w:hAnsi="仿宋_GB2312" w:cs="仿宋_GB2312" w:eastAsia="仿宋_GB2312"/>
              </w:rPr>
              <w:t>供应商资格证明材料.docx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磋商小组认为供应商的报价明显低于其他通过符合性审查供应商的报价，有可能影响工程质量或者不能诚信履约的，磋商小组应当要求其在合理的时间内在项目电子化交易系统中上传说明材料，必要时提交相关证明材料。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供应商名称与营业执照一致（合格）供应商名称与营业执照不一致（不合格）</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响应文件按采购文件要求的数量、计量单位、报价及签字盖章</w:t>
            </w:r>
          </w:p>
        </w:tc>
        <w:tc>
          <w:tcPr>
            <w:tcW w:type="dxa" w:w="3322"/>
          </w:tcPr>
          <w:p>
            <w:pPr>
              <w:pStyle w:val="null3"/>
            </w:pPr>
            <w:r>
              <w:rPr>
                <w:rFonts w:ascii="仿宋_GB2312" w:hAnsi="仿宋_GB2312" w:cs="仿宋_GB2312" w:eastAsia="仿宋_GB2312"/>
              </w:rPr>
              <w:t>响应文件按采购文件要求的数量、计量单位、报价及签字盖章（合格）响应文件未按采购文件要求的数量、计量单位、报价及签字盖章（不合格）</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响应有效期满足采购文件要求</w:t>
            </w:r>
          </w:p>
        </w:tc>
        <w:tc>
          <w:tcPr>
            <w:tcW w:type="dxa" w:w="3322"/>
          </w:tcPr>
          <w:p>
            <w:pPr>
              <w:pStyle w:val="null3"/>
            </w:pPr>
            <w:r>
              <w:rPr>
                <w:rFonts w:ascii="仿宋_GB2312" w:hAnsi="仿宋_GB2312" w:cs="仿宋_GB2312" w:eastAsia="仿宋_GB2312"/>
              </w:rPr>
              <w:t>响应有效期满足采购文件要求（合格）响应有效期不满足采购文件要求（不合格）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技术、商务响应满足实质性要求</w:t>
            </w:r>
          </w:p>
        </w:tc>
        <w:tc>
          <w:tcPr>
            <w:tcW w:type="dxa" w:w="3322"/>
          </w:tcPr>
          <w:p>
            <w:pPr>
              <w:pStyle w:val="null3"/>
            </w:pPr>
            <w:r>
              <w:rPr>
                <w:rFonts w:ascii="仿宋_GB2312" w:hAnsi="仿宋_GB2312" w:cs="仿宋_GB2312" w:eastAsia="仿宋_GB2312"/>
              </w:rPr>
              <w:t>技术响应满足满足第三章3.1技术、服务标准和要求（合格），商务响应满足第三章3.2商务要求及3.3其他要求（合格），任意一条不满足（不合格）</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符合法律、法规和采购文件中规定的其他实质性要求（合格）不符合法律、法规和采购文件中规定的其他实质性要求（不合格）</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供应商针对本项目提供施工方案。 二、评审标准 1.完整性：方案必须全面，对评审内容中的各项要求有详细描述； 2.可实施性：切合本项目实际情况，提出步骤清晰、合理的方案； 3.针对性：方案能够紧扣项目实际情况，内容科学合理。 三、赋分依据 每完全满足一个评审标准得2分，基本满足一个评审标准得1分，满分6分；未提供不得分。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施工进度计划及确保工期的技术组织措施</w:t>
            </w:r>
          </w:p>
        </w:tc>
        <w:tc>
          <w:tcPr>
            <w:tcW w:type="dxa" w:w="2492"/>
          </w:tcPr>
          <w:p>
            <w:pPr>
              <w:pStyle w:val="null3"/>
            </w:pPr>
            <w:r>
              <w:rPr>
                <w:rFonts w:ascii="仿宋_GB2312" w:hAnsi="仿宋_GB2312" w:cs="仿宋_GB2312" w:eastAsia="仿宋_GB2312"/>
              </w:rPr>
              <w:t>一、评审内容 供应商针对本项目提供施工进度计划及确保工期的技术组织措施。 二、评审标准 1.完整性：方案必须全面，对评审内容中的各项要求有详细描述； 2.可实施性：切合本项目实际情况，提出步骤清晰、合理的方案； 3.针对性：方案能够紧扣项目实际情况，内容科学合理。 三、赋分依据 每完全满足一个评审标准得2分，基本满足一个评审标准得1分，满分6分；未提供不得分。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施工进度计划及确保工期的技术组织措施.docx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供应商针对本项目提供确保工程质量的技术组织措施。 二、评审标准 1.完整性：方案必须全面，对评审内容中的各项要求有详细描述； 2.可实施性：切合本项目实际情况，提出步骤清晰、合理的方案； 3.针对性：方案能够紧扣项目实际情况，内容科学合理。 三、赋分依据 每完全满足一个评审标准得2分，基本满足一个评审标准得1分，满分6分；未提供不得分。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确保工程质量的技术组织措施.docx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供应商针对本项目情况提供确保安全生产的技术组织措施。 二、评审标准 1.完整性：方案必须全面，对评审内容中的各项要求有详细描述； 2.可实施性：切合本项目实际情况，提出步骤清晰、合理的方案； 3.针对性：方案能够紧扣项目实际情况，内容科学合理。 三、赋分依据 每完全满足一个评审标准得2分，基本满足一个评审标准得1分，满分6分；未提供不得分。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确保安全生产的技术组织措施.docx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 供应商针对本项目提供确保文明施工的技术组织措施及环境保护措施。 二、评审标准 1.完整性：方案必须全面，对评审内容中的各项要求有详细描述； 2.可实施性：切合本项目实际情况，提出步骤清晰、合理的方案； 3.针对性：方案能够紧扣项目实际情况，内容科学合理。 三、赋分依据 每完全满足一个评审标准得1分，基本满足一个评审标准得0.5分，满分3分；未提供不得分。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确保文明施工的技术组织措施及环境保护措施.docx</w:t>
            </w:r>
          </w:p>
        </w:tc>
      </w:tr>
      <w:tr>
        <w:tc>
          <w:tcPr>
            <w:tcW w:type="dxa" w:w="831"/>
            <w:vMerge/>
          </w:tcPr>
          <w:p/>
        </w:tc>
        <w:tc>
          <w:tcPr>
            <w:tcW w:type="dxa" w:w="1661"/>
          </w:tcPr>
          <w:p>
            <w:pPr>
              <w:pStyle w:val="null3"/>
            </w:pPr>
            <w:r>
              <w:rPr>
                <w:rFonts w:ascii="仿宋_GB2312" w:hAnsi="仿宋_GB2312" w:cs="仿宋_GB2312" w:eastAsia="仿宋_GB2312"/>
              </w:rPr>
              <w:t>项目组成员配备方案</w:t>
            </w:r>
          </w:p>
        </w:tc>
        <w:tc>
          <w:tcPr>
            <w:tcW w:type="dxa" w:w="2492"/>
          </w:tcPr>
          <w:p>
            <w:pPr>
              <w:pStyle w:val="null3"/>
            </w:pPr>
            <w:r>
              <w:rPr>
                <w:rFonts w:ascii="仿宋_GB2312" w:hAnsi="仿宋_GB2312" w:cs="仿宋_GB2312" w:eastAsia="仿宋_GB2312"/>
              </w:rPr>
              <w:t>一、评审内容 供应商针对本项目提供项目组成员配备方案。 二、评审标准 1.完整性：方案必须全面，对评审内容中的各项要求有详细描述； 2.可实施性：切合本项目实际情况，提出步骤清晰、合理的方案； 3.针对性：方案能够紧扣项目实际情况，内容科学合理。 三、赋分依据 每完全满足一个评审标准得1分，基本满足一个评审标准得0.5分，满分3分；未提供不得分。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项目组成员配备方案.docx</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劳动力安排计划及劳务分包情况表</w:t>
            </w:r>
          </w:p>
        </w:tc>
        <w:tc>
          <w:tcPr>
            <w:tcW w:type="dxa" w:w="2492"/>
          </w:tcPr>
          <w:p>
            <w:pPr>
              <w:pStyle w:val="null3"/>
            </w:pPr>
            <w:r>
              <w:rPr>
                <w:rFonts w:ascii="仿宋_GB2312" w:hAnsi="仿宋_GB2312" w:cs="仿宋_GB2312" w:eastAsia="仿宋_GB2312"/>
              </w:rPr>
              <w:t>一、评审内容 供应商针对本项目提供劳动力安排计划及劳务分包情况表。 二、评审标准 1.完整性：方案必须全面，对评审内容中的各项要求有详细描述； 2.可实施性：切合本项目实际情况，提出步骤清晰、合理的方案； 3.针对性：方案能够紧扣项目实际情况，内容科学合理。 三、赋分依据 每完全满足一个评审标准得1分，基本满足一个评审标准得0.5分，满分3分；未提供不得分。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劳动力安排计划及劳务分包情况表.docx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 供应商针对本项目提供施工机械配备和材料投入计划。 二、评审标准 1.完整性：方案必须全面，对评审内容中的各项要求有详细描述； 2.可实施性：切合本项目实际情况，提出步骤清晰、合理的方案； 3.针对性：方案能够紧扣项目实际情况，内容科学合理。 三、赋分依据 每完全满足一个评审标准得1分，基本满足一个评审标准得0.5分，满分3分；未提供不得分。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施工机械配备和材料投入计划.docx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新技术、新产品、新工艺、新材料应用方案</w:t>
            </w:r>
          </w:p>
        </w:tc>
        <w:tc>
          <w:tcPr>
            <w:tcW w:type="dxa" w:w="2492"/>
          </w:tcPr>
          <w:p>
            <w:pPr>
              <w:pStyle w:val="null3"/>
            </w:pPr>
            <w:r>
              <w:rPr>
                <w:rFonts w:ascii="仿宋_GB2312" w:hAnsi="仿宋_GB2312" w:cs="仿宋_GB2312" w:eastAsia="仿宋_GB2312"/>
              </w:rPr>
              <w:t>一、评审内容 供应商针对本项目提供新技术、新产品、新工艺、新材料应用方案。 二、评审标准 1.完整性：方案必须全面，对评审内容中的各项要求有详细描述； 2.可实施性：切合本项目实际情况，提出步骤清晰、合理的方案； 3.针对性：方案能够紧扣项目实际情况，内容科学合理。 三、赋分依据 每完全满足一个评审标准得1分，基本满足一个评审标准得0.5分，满分3分；未提供不得分。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新技术、新产品、新工艺、新材料应用方案.docx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拟提供产品中每有一项为“节能产品政府采购品目清单（非强制采购产品）”或“环境标志产品政府采购品目清单”内的，应提供该产品由国家确定的认证机构出具的处于有效期内的节能产品认证证书或中国环境标志产品认证证书，每提供一项得0.5分，满分1分。 备注：以加盖供应商公章的证明材料为计分依据。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节能环保产品.docx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1、学历：拟派项目经理学历为大学本科以上（含本科）得2分，专科学历得1分，其他不得分。（提供加盖供应商公章的学历证书） 2、职称：拟派项目经理具有高级及以上职称得2分，中级职称得1分，其它不得分。（提供加盖供应商公章的职称证书） 3、项目经理业绩：提供拟派项目经理三年内（2023年7月1日至今，以合同签订日期为准）类似项目业绩合同，每有一个得2分，满分6分。 项目经理业绩和企业业绩可重复计分。 注：拟派项目经理须具有身份证、劳动合同及响应文件递交截止时间前一年内任意一个月的社保缴纳证明，否则项目经理不得分。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提供供应商近三年内（2023年7月1日至今，以合同签订日期为准）类似项目业绩合同，每有一个得3分，满分15分。 项目经理业绩和企业业绩可重复计分。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详见附件：节能环保产品.docx</w:t>
      </w:r>
    </w:p>
    <w:p>
      <w:pPr>
        <w:pStyle w:val="null3"/>
        <w:ind w:firstLine="960"/>
      </w:pPr>
      <w:r>
        <w:rPr>
          <w:rFonts w:ascii="仿宋_GB2312" w:hAnsi="仿宋_GB2312" w:cs="仿宋_GB2312" w:eastAsia="仿宋_GB2312"/>
        </w:rPr>
        <w:t>详见附件：劳动力安排计划及劳务分包情况表.docx</w:t>
      </w:r>
    </w:p>
    <w:p>
      <w:pPr>
        <w:pStyle w:val="null3"/>
        <w:ind w:firstLine="960"/>
      </w:pPr>
      <w:r>
        <w:rPr>
          <w:rFonts w:ascii="仿宋_GB2312" w:hAnsi="仿宋_GB2312" w:cs="仿宋_GB2312" w:eastAsia="仿宋_GB2312"/>
        </w:rPr>
        <w:t>详见附件：确保安全生产的技术组织措施.docx</w:t>
      </w:r>
    </w:p>
    <w:p>
      <w:pPr>
        <w:pStyle w:val="null3"/>
        <w:ind w:firstLine="960"/>
      </w:pPr>
      <w:r>
        <w:rPr>
          <w:rFonts w:ascii="仿宋_GB2312" w:hAnsi="仿宋_GB2312" w:cs="仿宋_GB2312" w:eastAsia="仿宋_GB2312"/>
        </w:rPr>
        <w:t>详见附件：确保工程质量的技术组织措施.docx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详见附件：确保文明施工的技术组织措施及环境保护措施.docx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详见附件：施工进度计划及确保工期的技术组织措施.docx</w:t>
      </w:r>
    </w:p>
    <w:p>
      <w:pPr>
        <w:pStyle w:val="null3"/>
        <w:ind w:firstLine="960"/>
      </w:pPr>
      <w:r>
        <w:rPr>
          <w:rFonts w:ascii="仿宋_GB2312" w:hAnsi="仿宋_GB2312" w:cs="仿宋_GB2312" w:eastAsia="仿宋_GB2312"/>
        </w:rPr>
        <w:t>详见附件：项目经理.docx</w:t>
      </w:r>
    </w:p>
    <w:p>
      <w:pPr>
        <w:pStyle w:val="null3"/>
        <w:ind w:firstLine="960"/>
      </w:pPr>
      <w:r>
        <w:rPr>
          <w:rFonts w:ascii="仿宋_GB2312" w:hAnsi="仿宋_GB2312" w:cs="仿宋_GB2312" w:eastAsia="仿宋_GB2312"/>
        </w:rPr>
        <w:t>详见附件：新技术、新产品、新工艺、新材料应用方案.docx</w:t>
      </w:r>
    </w:p>
    <w:p>
      <w:pPr>
        <w:pStyle w:val="null3"/>
        <w:ind w:firstLine="960"/>
      </w:pPr>
      <w:r>
        <w:rPr>
          <w:rFonts w:ascii="仿宋_GB2312" w:hAnsi="仿宋_GB2312" w:cs="仿宋_GB2312" w:eastAsia="仿宋_GB2312"/>
        </w:rPr>
        <w:t>详见附件：项目组成员配备方案.docx</w:t>
      </w:r>
    </w:p>
    <w:p>
      <w:pPr>
        <w:pStyle w:val="null3"/>
        <w:ind w:firstLine="960"/>
      </w:pPr>
      <w:r>
        <w:rPr>
          <w:rFonts w:ascii="仿宋_GB2312" w:hAnsi="仿宋_GB2312" w:cs="仿宋_GB2312" w:eastAsia="仿宋_GB2312"/>
        </w:rPr>
        <w:t>详见附件：施工机械配备和材料投入计划.docx</w:t>
      </w:r>
    </w:p>
    <w:p>
      <w:pPr>
        <w:pStyle w:val="null3"/>
        <w:ind w:firstLine="960"/>
      </w:pPr>
      <w:r>
        <w:rPr>
          <w:rFonts w:ascii="仿宋_GB2312" w:hAnsi="仿宋_GB2312" w:cs="仿宋_GB2312" w:eastAsia="仿宋_GB2312"/>
        </w:rPr>
        <w:t>详见附件：供应商资格证明材料.docx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