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AE09DB">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0A82E5"/>
          <w:sz w:val="36"/>
          <w:szCs w:val="36"/>
        </w:rPr>
      </w:pPr>
      <w:r>
        <w:rPr>
          <w:rFonts w:ascii="宋体" w:hAnsi="宋体" w:eastAsia="宋体" w:cs="宋体"/>
          <w:b/>
          <w:bCs/>
          <w:color w:val="0A82E5"/>
          <w:kern w:val="0"/>
          <w:sz w:val="36"/>
          <w:szCs w:val="36"/>
          <w:bdr w:val="none" w:color="auto" w:sz="0" w:space="0"/>
          <w:lang w:val="en-US" w:eastAsia="zh-CN" w:bidi="ar"/>
        </w:rPr>
        <w:t>榆阳区上盐湾镇人民政府上盐湾镇清泉便民服务中心垃圾清运及压缩站运行管理项目竞争性谈判公告</w:t>
      </w:r>
    </w:p>
    <w:p w14:paraId="10E30EA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542DA1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上盐湾镇清泉便民服务中心垃圾清运及压缩站运行管理项目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榆林市富康路税苑小区3号楼1单元301室纸质获取</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2026年09月20日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5566A7B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5853359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项目编号：ZSZT-ZB-202635</w:t>
      </w:r>
    </w:p>
    <w:p w14:paraId="2E76DB8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项目名称：上盐湾镇清泉便民服务中心垃圾清运及压缩站运行管理项目</w:t>
      </w:r>
    </w:p>
    <w:p w14:paraId="425C418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采购方式：竞争性谈判</w:t>
      </w:r>
    </w:p>
    <w:p w14:paraId="103479C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预算金额：243,492.15元</w:t>
      </w:r>
    </w:p>
    <w:p w14:paraId="36592C8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7ED8D3E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合同包1(上盐湾镇清泉便民服务中心垃圾清运及压缩站运行管理项目):</w:t>
      </w:r>
    </w:p>
    <w:p w14:paraId="796899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合同包预算金额：243,492.15元</w:t>
      </w:r>
    </w:p>
    <w:p w14:paraId="0568C5D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合同包最高限价：243,492.15元</w:t>
      </w:r>
    </w:p>
    <w:tbl>
      <w:tblPr>
        <w:tblW w:w="889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61"/>
        <w:gridCol w:w="1493"/>
        <w:gridCol w:w="3630"/>
        <w:gridCol w:w="749"/>
        <w:gridCol w:w="1174"/>
        <w:gridCol w:w="1290"/>
      </w:tblGrid>
      <w:tr w14:paraId="35DA3AC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63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073BFF3">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217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D07D0D6">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273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8CFDC8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80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33F8C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50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B191EE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04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BBC95C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362D45F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B656EF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194D93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清扫服务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19309F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上盐湾镇清泉便民服务中心垃圾清运及压缩站运行管理项目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82C3E9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F3220A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0BCB835">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243,492.15</w:t>
            </w:r>
          </w:p>
        </w:tc>
      </w:tr>
    </w:tbl>
    <w:p w14:paraId="32DD827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0269D8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合同履行期限：详见采购文件</w:t>
      </w:r>
    </w:p>
    <w:p w14:paraId="63BC171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17B3B6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3F21D9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23A008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合同包1(上盐湾镇清泉便民服务中心垃圾清运及压缩站运行管理项目)落实政府采购政策需满足的资格要求如下:</w:t>
      </w:r>
    </w:p>
    <w:p w14:paraId="50ED33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2.1《政府采购促进中小企业发展管理办法》（财库〔2020〕46号）；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2.2《财政部 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2.3《国务院办公厅关于建立政府强制采购节能产品制度的通知》（国办发〔2007〕51号）；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2.4《节能产品政府采购实施意见》（财库[2004]185号）；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2.5《环境标志产品政府采购实施的意见》（财库[2006]90号）；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2.6《三部门联合发布关于促进残疾人就业政府采购政策的通知》（财库〔2017〕141号）；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2.7陕西省财政厅关于印发《陕西省中小企业政府采购信用融资办法》陕财办采〔2018〕23号）；相关政策、业务流程、办理平台(http://www.ccgpshaanxi.gov.cn/zcdservice/zcd/shanxi/)；</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2.8《关于在政府采购活动中查询及使用信用记录有关问题的通知》（财库〔2016〕125号）；2.9《榆林市财政局关于进一步加大政府采购支持中小企业力度的通知》（榆政财采发〔2022〕10号)；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2.10《陕西省财政厅关于进一步加大政府采购支持中小企业力度的通知》(陕财采发〔2022〕5号)。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2.11其他需要落实的政府采购政策；</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2.12如有最新颁布的政府采购政策，按最新的文件执行。</w:t>
      </w:r>
    </w:p>
    <w:p w14:paraId="254D9A8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53EDEE2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合同包1(上盐湾镇清泉便民服务中心垃圾清运及压缩站运行管理项目)特定资格要求如下:</w:t>
      </w:r>
    </w:p>
    <w:p w14:paraId="45F34A6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3.1营业执照等主体资格证明：投标人为具有独立承担民事责任能力的法人、事业法人、其他组织或自然人。 企业法人应提供合法有效的标识有统一社会信用代码的营业执照；事业法人应提 供事业单位法人证书；其他组织应提供合法登记证明文件；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3.2财务状况报告：提供赋码2025年度的财务审计报告（提供的财务审计报告需在注册会计师行业统一监管平台（http://acc.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3.3税收缴纳证明：提供 2026年1月至今至少1个月的纳税证明（银行缴费凭证）或完税证明（时间以税款所属日期为准、税种须包含增值税或企业所得税或营业税），依法免税的单位应提供相关证明材料；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3.4社会保障资金缴纳证明：提供2026年1月至今至少1个月的社会保障资金银行缴费单据或社保机构开具的社会保险参保缴费情况证明，依法不需要缴纳社会保障资金的单位应提供相关证明材料；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3.5参加政府采购活动前3年内，在经营活动中没有重大违法记录的书面声明；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3.6商业信用证明：提供参加本次政府采购活动前三年内在经营活动中没有重大违法记录的声明函。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网页查询截图及信用中国信用信息记录报告加盖投标人公章为准；</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3.7提供具有履行合同所必需的设备和专业技术能力的证明资料或承诺书；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3.8提供榆林市政府采购服务类项目供应商信用承诺书；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3.9本项目不接受联合体投标，出具非联合体投标声明。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3.10本项目专门面向小微企业采购，预留份额为整体预留,非小微企业单位（监狱企业、残疾人福利单位除外）不得参与，投标供应商应填写《小微企业声明函》。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3.11单位负责人为同一人或者存在直接控股、管理关系的不同投标人，不得参加同一合同项下的政府采购活动。提供企业关联关系承诺书。</w:t>
      </w:r>
    </w:p>
    <w:p w14:paraId="04A46BA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142A901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2026年09月16日 至 2026年09月18日 ，每天上午 08:00:00 至 12:00:00 ，下午 12:00:00 至 18:00:00 （北京时间）</w:t>
      </w:r>
    </w:p>
    <w:p w14:paraId="2CC068B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榆林市富康路税苑小区3号楼1单元301室纸质获取</w:t>
      </w:r>
    </w:p>
    <w:p w14:paraId="249D9B2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现场获取</w:t>
      </w:r>
    </w:p>
    <w:p w14:paraId="06D258E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5E6D275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7464EE4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2026年09月20日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42782C1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榆林市富康路税苑小区3号楼1单元301室</w:t>
      </w:r>
    </w:p>
    <w:p w14:paraId="58E48DE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2A765E1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2026年09月20日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376B223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榆林市富康路税苑小区3号楼1单元301室</w:t>
      </w:r>
    </w:p>
    <w:p w14:paraId="2996EB8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36F2092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0131E1A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3A3305B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1"/>
          <w:szCs w:val="21"/>
        </w:rPr>
      </w:pPr>
      <w:r>
        <w:rPr>
          <w:rFonts w:ascii="仿宋_GB2312" w:hAnsi="微软雅黑" w:eastAsia="仿宋_GB2312" w:cs="仿宋_GB2312"/>
          <w:i w:val="0"/>
          <w:iCs w:val="0"/>
          <w:caps w:val="0"/>
          <w:color w:val="333333"/>
          <w:spacing w:val="0"/>
          <w:sz w:val="21"/>
          <w:szCs w:val="21"/>
          <w:bdr w:val="none" w:color="auto" w:sz="0" w:space="0"/>
          <w:shd w:val="clear" w:fill="FFFFFF"/>
        </w:rPr>
        <w:t>1、</w:t>
      </w:r>
      <w:r>
        <w:rPr>
          <w:rFonts w:hint="default" w:ascii="仿宋_GB2312" w:hAnsi="微软雅黑" w:eastAsia="仿宋_GB2312" w:cs="仿宋_GB2312"/>
          <w:i w:val="0"/>
          <w:iCs w:val="0"/>
          <w:caps w:val="0"/>
          <w:color w:val="333333"/>
          <w:spacing w:val="0"/>
          <w:sz w:val="21"/>
          <w:szCs w:val="21"/>
          <w:bdr w:val="none" w:color="auto" w:sz="0" w:space="0"/>
          <w:shd w:val="clear" w:fill="FFFFFF"/>
        </w:rPr>
        <w:t>参与本项目的供应商须在榆林市公共资源交易中心平台注册并对本项目报名。报名程序：登录陕西省公共资源交易中心，进入电子交易平台，点击政府采购交易系统企业端CA锁登录，点击交易乙方，查询报名。（未办理陕西省公共资源交易中心CA锁的供应商可到榆林市市民大厦三楼E18、E19窗口办理，咨询电话0912-3452148、029-88661298或4006-369-888（陕西CA联系电话））</w:t>
      </w:r>
    </w:p>
    <w:p w14:paraId="1CCC2F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1"/>
          <w:szCs w:val="21"/>
        </w:rPr>
      </w:pPr>
      <w:r>
        <w:rPr>
          <w:rFonts w:hint="default" w:ascii="仿宋_GB2312" w:hAnsi="微软雅黑" w:eastAsia="仿宋_GB2312" w:cs="仿宋_GB2312"/>
          <w:i w:val="0"/>
          <w:iCs w:val="0"/>
          <w:caps w:val="0"/>
          <w:color w:val="333333"/>
          <w:spacing w:val="0"/>
          <w:sz w:val="21"/>
          <w:szCs w:val="21"/>
          <w:bdr w:val="none" w:color="auto" w:sz="0" w:space="0"/>
          <w:shd w:val="clear" w:fill="FFFFFF"/>
        </w:rPr>
        <w:t>2、已在榆林市公共资源交易中心平台报名的供应商须在报名截止时间前携榆林市公共资源交易中心报名回执单a.单位介绍信、法人身份证明、法定代表人身份证复印件；b.单位介绍信、委托人身份证复印件及本企业近半年可查询的养老保险缴费证明到榆林市富康路税苑小区三号楼1单元301室，报名以现场报名和网上报名为准，二者缺一不可，以上资料均加盖公章。</w:t>
      </w:r>
    </w:p>
    <w:p w14:paraId="54978B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1"/>
          <w:szCs w:val="21"/>
        </w:rPr>
      </w:pPr>
      <w:r>
        <w:rPr>
          <w:rFonts w:hint="default" w:ascii="仿宋_GB2312" w:hAnsi="微软雅黑" w:eastAsia="仿宋_GB2312" w:cs="仿宋_GB2312"/>
          <w:i w:val="0"/>
          <w:iCs w:val="0"/>
          <w:caps w:val="0"/>
          <w:color w:val="333333"/>
          <w:spacing w:val="0"/>
          <w:sz w:val="21"/>
          <w:szCs w:val="21"/>
          <w:bdr w:val="none" w:color="auto" w:sz="0" w:space="0"/>
          <w:shd w:val="clear" w:fill="FFFFFF"/>
        </w:rPr>
        <w:t>3、请供应商按照陕西省财政厅关于政府采购供应商注册登记有关事项的通知中的要求，通过陕西省政府采购网（http://www.ccgp-shaanxi.gov.cn/）注册登记加入陕西省政府采购供应商库。</w:t>
      </w:r>
    </w:p>
    <w:p w14:paraId="22DB6F0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40381D6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704740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榆阳区上盐湾镇人民政府</w:t>
      </w:r>
    </w:p>
    <w:p w14:paraId="50DC3B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榆阳区上盐湾镇</w:t>
      </w:r>
    </w:p>
    <w:p w14:paraId="0853D2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0912-3480001</w:t>
      </w:r>
    </w:p>
    <w:p w14:paraId="53DDCCC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18D10FB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榆林中盛智投项目管理有限公司</w:t>
      </w:r>
    </w:p>
    <w:p w14:paraId="19BBC7E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榆林市富康路税苑小区3号楼1单元301室</w:t>
      </w:r>
    </w:p>
    <w:p w14:paraId="337A715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0912-3629989</w:t>
      </w:r>
    </w:p>
    <w:p w14:paraId="6EEAA4D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58F5E23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中盛智投经办人</w:t>
      </w:r>
    </w:p>
    <w:p w14:paraId="296F575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0912-3629989</w:t>
      </w:r>
    </w:p>
    <w:p w14:paraId="2FB18EF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bdr w:val="none" w:color="auto" w:sz="0" w:space="0"/>
          <w:shd w:val="clear" w:fill="FFFFFF"/>
        </w:rPr>
      </w:pPr>
      <w:r>
        <w:rPr>
          <w:rFonts w:hint="eastAsia" w:ascii="微软雅黑" w:hAnsi="微软雅黑" w:eastAsia="微软雅黑" w:cs="微软雅黑"/>
          <w:i w:val="0"/>
          <w:iCs w:val="0"/>
          <w:caps w:val="0"/>
          <w:color w:val="333333"/>
          <w:spacing w:val="0"/>
          <w:sz w:val="21"/>
          <w:szCs w:val="21"/>
          <w:bdr w:val="none" w:color="auto" w:sz="0" w:space="0"/>
          <w:shd w:val="clear" w:fill="FFFFFF"/>
        </w:rPr>
        <w:t>榆林中盛智投项目管理有限公司</w:t>
      </w:r>
    </w:p>
    <w:p w14:paraId="39F6BB2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480" w:lineRule="atLeast"/>
        <w:ind w:left="0" w:right="0" w:firstLine="480"/>
        <w:jc w:val="right"/>
        <w:rPr>
          <w:rFonts w:hint="default" w:ascii="微软雅黑" w:hAnsi="微软雅黑" w:eastAsia="微软雅黑" w:cs="微软雅黑"/>
          <w:i w:val="0"/>
          <w:iCs w:val="0"/>
          <w:caps w:val="0"/>
          <w:color w:val="333333"/>
          <w:spacing w:val="0"/>
          <w:sz w:val="21"/>
          <w:szCs w:val="21"/>
          <w:bdr w:val="none" w:color="auto" w:sz="0" w:space="0"/>
          <w:shd w:val="clear" w:fill="FFFFFF"/>
          <w:lang w:val="en-US" w:eastAsia="zh-CN"/>
        </w:rPr>
      </w:pPr>
      <w:r>
        <w:rPr>
          <w:rFonts w:hint="eastAsia" w:ascii="微软雅黑" w:hAnsi="微软雅黑" w:eastAsia="微软雅黑" w:cs="微软雅黑"/>
          <w:i w:val="0"/>
          <w:iCs w:val="0"/>
          <w:caps w:val="0"/>
          <w:color w:val="333333"/>
          <w:spacing w:val="0"/>
          <w:sz w:val="21"/>
          <w:szCs w:val="21"/>
          <w:bdr w:val="none" w:color="auto" w:sz="0" w:space="0"/>
          <w:shd w:val="clear" w:fill="FFFFFF"/>
          <w:lang w:val="en-US" w:eastAsia="zh-CN"/>
        </w:rPr>
        <w:t>2026年09月15</w:t>
      </w:r>
      <w:bookmarkStart w:id="0" w:name="_GoBack"/>
      <w:bookmarkEnd w:id="0"/>
      <w:r>
        <w:rPr>
          <w:rFonts w:hint="eastAsia" w:ascii="微软雅黑" w:hAnsi="微软雅黑" w:eastAsia="微软雅黑" w:cs="微软雅黑"/>
          <w:i w:val="0"/>
          <w:iCs w:val="0"/>
          <w:caps w:val="0"/>
          <w:color w:val="333333"/>
          <w:spacing w:val="0"/>
          <w:sz w:val="21"/>
          <w:szCs w:val="21"/>
          <w:bdr w:val="none" w:color="auto" w:sz="0" w:space="0"/>
          <w:shd w:val="clear" w:fill="FFFFFF"/>
          <w:lang w:val="en-US" w:eastAsia="zh-CN"/>
        </w:rPr>
        <w:t>日</w:t>
      </w:r>
    </w:p>
    <w:p w14:paraId="48DE13E3">
      <w:pPr>
        <w:keepNext w:val="0"/>
        <w:keepLines w:val="0"/>
        <w:widowControl/>
        <w:suppressLineNumbers w:val="0"/>
        <w:wordWrap w:val="0"/>
        <w:spacing w:line="480" w:lineRule="atLeast"/>
        <w:jc w:val="both"/>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drawing>
          <wp:inline distT="0" distB="0" distL="114300" distR="114300">
            <wp:extent cx="5268595" cy="7450455"/>
            <wp:effectExtent l="0" t="0" r="8255" b="17145"/>
            <wp:docPr id="1" name="图片 1" descr="SKM_C26626091410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KM_C26626091410490"/>
                    <pic:cNvPicPr>
                      <a:picLocks noChangeAspect="1"/>
                    </pic:cNvPicPr>
                  </pic:nvPicPr>
                  <pic:blipFill>
                    <a:blip r:embed="rId4"/>
                    <a:stretch>
                      <a:fillRect/>
                    </a:stretch>
                  </pic:blipFill>
                  <pic:spPr>
                    <a:xfrm>
                      <a:off x="0" y="0"/>
                      <a:ext cx="5268595" cy="7450455"/>
                    </a:xfrm>
                    <a:prstGeom prst="rect">
                      <a:avLst/>
                    </a:prstGeom>
                  </pic:spPr>
                </pic:pic>
              </a:graphicData>
            </a:graphic>
          </wp:inline>
        </w:drawing>
      </w:r>
    </w:p>
    <w:p w14:paraId="0FC4BD10">
      <w:pPr>
        <w:pStyle w:val="8"/>
        <w:spacing w:line="360" w:lineRule="auto"/>
        <w:jc w:val="right"/>
      </w:pPr>
    </w:p>
    <w:p w14:paraId="73FE5414">
      <w:pPr>
        <w:pStyle w:val="8"/>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1507B40"/>
    <w:rsid w:val="287052B2"/>
    <w:rsid w:val="316D029A"/>
    <w:rsid w:val="318C4F87"/>
    <w:rsid w:val="3E596F9A"/>
    <w:rsid w:val="40D61148"/>
    <w:rsid w:val="42896F62"/>
    <w:rsid w:val="44913E48"/>
    <w:rsid w:val="4C7728A7"/>
    <w:rsid w:val="53B52B8D"/>
    <w:rsid w:val="548B440F"/>
    <w:rsid w:val="584A6390"/>
    <w:rsid w:val="62DE6052"/>
    <w:rsid w:val="66BA7E53"/>
    <w:rsid w:val="77F79321"/>
    <w:rsid w:val="7AB56B07"/>
    <w:rsid w:val="7BD4781F"/>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99"/>
    <w:rPr>
      <w:szCs w:val="24"/>
    </w:rPr>
  </w:style>
  <w:style w:type="character" w:styleId="7">
    <w:name w:val="Strong"/>
    <w:basedOn w:val="6"/>
    <w:qFormat/>
    <w:uiPriority w:val="0"/>
    <w:rPr>
      <w:b/>
    </w:rPr>
  </w:style>
  <w:style w:type="paragraph" w:customStyle="1" w:styleId="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2490</Words>
  <Characters>2950</Characters>
  <Lines>0</Lines>
  <Paragraphs>0</Paragraphs>
  <TotalTime>5</TotalTime>
  <ScaleCrop>false</ScaleCrop>
  <LinksUpToDate>false</LinksUpToDate>
  <CharactersWithSpaces>2982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Administrator</cp:lastModifiedBy>
  <dcterms:modified xsi:type="dcterms:W3CDTF">2026-09-14T02:23:41Z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eyJoZGlkIjoiOWFiZjEzNGUxMzU2OWMyZGI1NWQ3MWU4MDljYWZkNGQiLCJ1c2VySWQiOiIzNDYxMjM2NjgifQ==</vt:lpwstr>
  </property>
  <property fmtid="{D5CDD505-2E9C-101B-9397-08002B2CF9AE}" pid="4" name="ICV">
    <vt:lpwstr>F8D92AE8BD6047C2AEFC2A063B048784_13</vt:lpwstr>
  </property>
</Properties>
</file>