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版本号：SZT2026-SN-SC-ZC-HW-043620260526002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力学综合测试实验系统采购项目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SZT2026-SN-SC-ZC-HW-0436</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力学综合测试实验系统采购项目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SZT2026-SN-SC-ZC-HW-0436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力学综合测试实验系统采购项目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力学综合测试实验系统采购项目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1、法定代表人授权书：非法定代表人参加投标的，须提供法定代表人委托授权书及被授权人身份证复印件，法定代表人参加投标时,只需提供法定代表人身份证复印件</w:t>
      </w:r>
    </w:p>
    <w:p>
      <w:pPr>
        <w:pStyle w:val="null3"/>
      </w:pPr>
      <w:r>
        <w:rPr>
          <w:rFonts w:ascii="仿宋_GB2312" w:hAnsi="仿宋_GB2312" w:cs="仿宋_GB2312" w:eastAsia="仿宋_GB2312"/>
        </w:rPr>
        <w:t>2、本项目不接受联合体谈判：非联合体投标声明函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 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赵倩、李娜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2、本项目代理服务费按货物计取。3、代理费缴存账户：单位名称：陕西中技招标有限公司、开户银行：招商银行西安分行营业部、银行账号：129916812810001、转账时请备注：（项目编号后四位）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力学综合测试实验系统采购项目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力学综合测试实验系统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标的名称：力学综合测试实验系统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08"/>
              <w:gridCol w:w="508"/>
              <w:gridCol w:w="508"/>
              <w:gridCol w:w="508"/>
              <w:gridCol w:w="508"/>
            </w:tblGrid>
            <w:tr>
              <w:tc>
                <w:tcPr>
                  <w:tcW w:type="dxa" w:w="508"/>
                </w:tcPr>
                <w:p>
                  <w:pPr>
                    <w:pStyle w:val="null3"/>
                  </w:pPr>
                  <w:r>
                    <w:rPr>
                      <w:rFonts w:ascii="仿宋_GB2312" w:hAnsi="仿宋_GB2312" w:cs="仿宋_GB2312" w:eastAsia="仿宋_GB2312"/>
                      <w:sz w:val="19"/>
                    </w:rPr>
                    <w:t>序号</w:t>
                  </w:r>
                </w:p>
              </w:tc>
              <w:tc>
                <w:tcPr>
                  <w:tcW w:type="dxa" w:w="508"/>
                </w:tcPr>
                <w:p>
                  <w:pPr>
                    <w:pStyle w:val="null3"/>
                  </w:pPr>
                  <w:r>
                    <w:rPr>
                      <w:rFonts w:ascii="仿宋_GB2312" w:hAnsi="仿宋_GB2312" w:cs="仿宋_GB2312" w:eastAsia="仿宋_GB2312"/>
                      <w:sz w:val="19"/>
                    </w:rPr>
                    <w:t>产品名称</w:t>
                  </w:r>
                </w:p>
              </w:tc>
              <w:tc>
                <w:tcPr>
                  <w:tcW w:type="dxa" w:w="508"/>
                </w:tcPr>
                <w:p>
                  <w:pPr>
                    <w:pStyle w:val="null3"/>
                  </w:pPr>
                  <w:r>
                    <w:rPr>
                      <w:rFonts w:ascii="仿宋_GB2312" w:hAnsi="仿宋_GB2312" w:cs="仿宋_GB2312" w:eastAsia="仿宋_GB2312"/>
                      <w:sz w:val="19"/>
                    </w:rPr>
                    <w:t>技术标准</w:t>
                  </w:r>
                </w:p>
              </w:tc>
              <w:tc>
                <w:tcPr>
                  <w:tcW w:type="dxa" w:w="508"/>
                </w:tcPr>
                <w:p>
                  <w:pPr>
                    <w:pStyle w:val="null3"/>
                  </w:pPr>
                  <w:r>
                    <w:rPr>
                      <w:rFonts w:ascii="仿宋_GB2312" w:hAnsi="仿宋_GB2312" w:cs="仿宋_GB2312" w:eastAsia="仿宋_GB2312"/>
                      <w:sz w:val="19"/>
                    </w:rPr>
                    <w:t>配置要求</w:t>
                  </w:r>
                </w:p>
              </w:tc>
              <w:tc>
                <w:tcPr>
                  <w:tcW w:type="dxa" w:w="508"/>
                </w:tcPr>
                <w:p>
                  <w:pPr>
                    <w:pStyle w:val="null3"/>
                  </w:pPr>
                  <w:r>
                    <w:rPr>
                      <w:rFonts w:ascii="仿宋_GB2312" w:hAnsi="仿宋_GB2312" w:cs="仿宋_GB2312" w:eastAsia="仿宋_GB2312"/>
                      <w:sz w:val="19"/>
                    </w:rPr>
                    <w:t>数量</w:t>
                  </w:r>
                </w:p>
              </w:tc>
            </w:tr>
            <w:tr>
              <w:tc>
                <w:tcPr>
                  <w:tcW w:type="dxa" w:w="508"/>
                </w:tcPr>
                <w:p>
                  <w:pPr>
                    <w:pStyle w:val="null3"/>
                  </w:pPr>
                  <w:r>
                    <w:rPr>
                      <w:rFonts w:ascii="仿宋_GB2312" w:hAnsi="仿宋_GB2312" w:cs="仿宋_GB2312" w:eastAsia="仿宋_GB2312"/>
                      <w:sz w:val="19"/>
                    </w:rPr>
                    <w:t>1</w:t>
                  </w:r>
                </w:p>
              </w:tc>
              <w:tc>
                <w:tcPr>
                  <w:tcW w:type="dxa" w:w="508"/>
                </w:tcPr>
                <w:p>
                  <w:pPr>
                    <w:pStyle w:val="null3"/>
                  </w:pPr>
                  <w:r>
                    <w:rPr>
                      <w:rFonts w:ascii="仿宋_GB2312" w:hAnsi="仿宋_GB2312" w:cs="仿宋_GB2312" w:eastAsia="仿宋_GB2312"/>
                      <w:sz w:val="19"/>
                    </w:rPr>
                    <w:t>振动与控制实验教学系统</w:t>
                  </w:r>
                </w:p>
              </w:tc>
              <w:tc>
                <w:tcPr>
                  <w:tcW w:type="dxa" w:w="508"/>
                </w:tcPr>
                <w:p>
                  <w:pPr>
                    <w:pStyle w:val="null3"/>
                  </w:pPr>
                  <w:r>
                    <w:rPr>
                      <w:rFonts w:ascii="仿宋_GB2312" w:hAnsi="仿宋_GB2312" w:cs="仿宋_GB2312" w:eastAsia="仿宋_GB2312"/>
                      <w:sz w:val="19"/>
                    </w:rPr>
                    <w:t>1）接触式激振器：激振频率范围：5Hz～1000Hz；额定出力：2N；最大行程：±1.5mm；</w:t>
                  </w:r>
                </w:p>
                <w:p>
                  <w:pPr>
                    <w:pStyle w:val="null3"/>
                  </w:pPr>
                  <w:r>
                    <w:rPr>
                      <w:rFonts w:ascii="仿宋_GB2312" w:hAnsi="仿宋_GB2312" w:cs="仿宋_GB2312" w:eastAsia="仿宋_GB2312"/>
                      <w:sz w:val="19"/>
                    </w:rPr>
                    <w:t>2）非接触式激振器：激振频率范围：5Hz～1000Hz；最大激振力：2N；</w:t>
                  </w:r>
                </w:p>
                <w:p>
                  <w:pPr>
                    <w:pStyle w:val="null3"/>
                  </w:pPr>
                  <w:r>
                    <w:rPr>
                      <w:rFonts w:ascii="仿宋_GB2312" w:hAnsi="仿宋_GB2312" w:cs="仿宋_GB2312" w:eastAsia="仿宋_GB2312"/>
                      <w:sz w:val="19"/>
                    </w:rPr>
                    <w:t>3）功率放大器：最大输出功率10W，频响范围5～20KHz；</w:t>
                  </w:r>
                </w:p>
                <w:p>
                  <w:pPr>
                    <w:pStyle w:val="null3"/>
                  </w:pPr>
                  <w:r>
                    <w:rPr>
                      <w:rFonts w:ascii="仿宋_GB2312" w:hAnsi="仿宋_GB2312" w:cs="仿宋_GB2312" w:eastAsia="仿宋_GB2312"/>
                      <w:sz w:val="19"/>
                    </w:rPr>
                    <w:t>4）电涡流传感器：量程：2mm；工作温度：-30～120（℃）；</w:t>
                  </w:r>
                </w:p>
                <w:p>
                  <w:pPr>
                    <w:pStyle w:val="null3"/>
                  </w:pPr>
                  <w:r>
                    <w:rPr>
                      <w:rFonts w:ascii="仿宋_GB2312" w:hAnsi="仿宋_GB2312" w:cs="仿宋_GB2312" w:eastAsia="仿宋_GB2312"/>
                      <w:sz w:val="19"/>
                    </w:rPr>
                    <w:t>5）磁电式速度传感器：灵敏度：280mV/cm/s(有效值)（80Hz速度为1cm/s情况下）；工作频率：10Hz～1kHz；</w:t>
                  </w:r>
                </w:p>
                <w:p>
                  <w:pPr>
                    <w:pStyle w:val="null3"/>
                  </w:pPr>
                  <w:r>
                    <w:rPr>
                      <w:rFonts w:ascii="仿宋_GB2312" w:hAnsi="仿宋_GB2312" w:cs="仿宋_GB2312" w:eastAsia="仿宋_GB2312"/>
                      <w:sz w:val="19"/>
                    </w:rPr>
                    <w:t>6）压电式加速度传感器：灵敏度：≥50pc/g；工作频率：0.5Hz～6kHz；</w:t>
                  </w:r>
                </w:p>
                <w:p>
                  <w:pPr>
                    <w:pStyle w:val="null3"/>
                  </w:pPr>
                  <w:r>
                    <w:rPr>
                      <w:rFonts w:ascii="仿宋_GB2312" w:hAnsi="仿宋_GB2312" w:cs="仿宋_GB2312" w:eastAsia="仿宋_GB2312"/>
                      <w:sz w:val="19"/>
                    </w:rPr>
                    <w:t>7）数据采集仪：≥4通道，24位AD转换，动态范围 120dB；支持电荷、电压DC、AC和ICP，最高采样频率102.4kHz，4通道可同时提供24V 4mA恒流源。具备一通道扫频信号发生器（自动手动可调），扫频范围1～1KHZ任选，扫频时间1～240秒任选。</w:t>
                  </w:r>
                </w:p>
                <w:p>
                  <w:pPr>
                    <w:pStyle w:val="null3"/>
                  </w:pPr>
                  <w:r>
                    <w:rPr>
                      <w:rFonts w:ascii="仿宋_GB2312" w:hAnsi="仿宋_GB2312" w:cs="仿宋_GB2312" w:eastAsia="仿宋_GB2312"/>
                      <w:sz w:val="19"/>
                    </w:rPr>
                    <w:t>配套数据采集与分析软件包：</w:t>
                  </w:r>
                </w:p>
                <w:p>
                  <w:pPr>
                    <w:pStyle w:val="null3"/>
                  </w:pPr>
                  <w:r>
                    <w:rPr>
                      <w:rFonts w:ascii="仿宋_GB2312" w:hAnsi="仿宋_GB2312" w:cs="仿宋_GB2312" w:eastAsia="仿宋_GB2312"/>
                      <w:sz w:val="19"/>
                    </w:rPr>
                    <w:t>1）仿真信号发生器功能可同时发出32路信号且各路信号参数可随意调节，可在1s～86400s间设置采样间隔；</w:t>
                  </w:r>
                </w:p>
                <w:p>
                  <w:pPr>
                    <w:pStyle w:val="null3"/>
                  </w:pPr>
                  <w:r>
                    <w:rPr>
                      <w:rFonts w:ascii="仿宋_GB2312" w:hAnsi="仿宋_GB2312" w:cs="仿宋_GB2312" w:eastAsia="仿宋_GB2312"/>
                      <w:sz w:val="19"/>
                    </w:rPr>
                    <w:t>2）单、双通道和X-Y线记忆示波器和单、双通道FFT动态信号分析；</w:t>
                  </w:r>
                </w:p>
                <w:p>
                  <w:pPr>
                    <w:pStyle w:val="null3"/>
                  </w:pPr>
                  <w:r>
                    <w:rPr>
                      <w:rFonts w:ascii="仿宋_GB2312" w:hAnsi="仿宋_GB2312" w:cs="仿宋_GB2312" w:eastAsia="仿宋_GB2312"/>
                      <w:sz w:val="19"/>
                    </w:rPr>
                    <w:t>3）YLS法高精度频率测量技术；</w:t>
                  </w:r>
                </w:p>
                <w:p>
                  <w:pPr>
                    <w:pStyle w:val="null3"/>
                  </w:pPr>
                  <w:r>
                    <w:rPr>
                      <w:rFonts w:ascii="仿宋_GB2312" w:hAnsi="仿宋_GB2312" w:cs="仿宋_GB2312" w:eastAsia="仿宋_GB2312"/>
                      <w:sz w:val="19"/>
                    </w:rPr>
                    <w:t>4）互功率谱分析和传递函数分析包含多种结果显示方式：幅频曲线、相频曲线、相干谱、实频曲线、虚频曲线、自功率谱、奈奎斯特图、相干互谱（相干传函）等，可随意选择同时显示一种或几种谱线；</w:t>
                  </w:r>
                </w:p>
                <w:p>
                  <w:pPr>
                    <w:pStyle w:val="null3"/>
                  </w:pPr>
                  <w:r>
                    <w:rPr>
                      <w:rFonts w:ascii="仿宋_GB2312" w:hAnsi="仿宋_GB2312" w:cs="仿宋_GB2312" w:eastAsia="仿宋_GB2312"/>
                      <w:sz w:val="19"/>
                    </w:rPr>
                    <w:t>5）图形显示的版面和排列方式可调；</w:t>
                  </w:r>
                </w:p>
                <w:p>
                  <w:pPr>
                    <w:pStyle w:val="null3"/>
                  </w:pPr>
                  <w:r>
                    <w:rPr>
                      <w:rFonts w:ascii="仿宋_GB2312" w:hAnsi="仿宋_GB2312" w:cs="仿宋_GB2312" w:eastAsia="仿宋_GB2312"/>
                      <w:sz w:val="19"/>
                    </w:rPr>
                    <w:t>6）同时具备脉冲激励、系统响应变时基导纳测量方法；</w:t>
                  </w:r>
                </w:p>
                <w:p>
                  <w:pPr>
                    <w:pStyle w:val="null3"/>
                  </w:pPr>
                  <w:r>
                    <w:rPr>
                      <w:rFonts w:ascii="仿宋_GB2312" w:hAnsi="仿宋_GB2312" w:cs="仿宋_GB2312" w:eastAsia="仿宋_GB2312"/>
                      <w:sz w:val="19"/>
                    </w:rPr>
                    <w:t>7）具备模态测试功能，可对轻质结构条进行无附加质量的声模态测试；</w:t>
                  </w:r>
                </w:p>
                <w:p>
                  <w:pPr>
                    <w:pStyle w:val="null3"/>
                  </w:pPr>
                  <w:r>
                    <w:rPr>
                      <w:rFonts w:ascii="仿宋_GB2312" w:hAnsi="仿宋_GB2312" w:cs="仿宋_GB2312" w:eastAsia="仿宋_GB2312"/>
                      <w:sz w:val="19"/>
                    </w:rPr>
                    <w:t>8）具备一键修正图像法测试的全场变形数据和模态振型比对功能；</w:t>
                  </w:r>
                </w:p>
                <w:p>
                  <w:pPr>
                    <w:pStyle w:val="null3"/>
                  </w:pPr>
                  <w:r>
                    <w:rPr>
                      <w:rFonts w:ascii="仿宋_GB2312" w:hAnsi="仿宋_GB2312" w:cs="仿宋_GB2312" w:eastAsia="仿宋_GB2312"/>
                      <w:sz w:val="19"/>
                    </w:rPr>
                    <w:t>9）支持长数据LFFT分析、X-Y图分析功能；</w:t>
                  </w:r>
                </w:p>
                <w:p>
                  <w:pPr>
                    <w:pStyle w:val="null3"/>
                  </w:pPr>
                  <w:r>
                    <w:rPr>
                      <w:rFonts w:ascii="仿宋_GB2312" w:hAnsi="仿宋_GB2312" w:cs="仿宋_GB2312" w:eastAsia="仿宋_GB2312"/>
                      <w:sz w:val="19"/>
                    </w:rPr>
                    <w:t>10）支持波形微积分、阻尼计算（自由衰减法、半功率带宽法）、概率分析、李萨如图分析、多信号自、互相关分析、功率谱分析功能；</w:t>
                  </w:r>
                </w:p>
                <w:p>
                  <w:pPr>
                    <w:pStyle w:val="null3"/>
                  </w:pPr>
                  <w:r>
                    <w:rPr>
                      <w:rFonts w:ascii="仿宋_GB2312" w:hAnsi="仿宋_GB2312" w:cs="仿宋_GB2312" w:eastAsia="仿宋_GB2312"/>
                      <w:sz w:val="19"/>
                    </w:rPr>
                    <w:t>11）具有锤击法一次采集数据及获取频响函数功能；</w:t>
                  </w:r>
                </w:p>
                <w:p>
                  <w:pPr>
                    <w:pStyle w:val="null3"/>
                  </w:pPr>
                  <w:r>
                    <w:rPr>
                      <w:rFonts w:ascii="仿宋_GB2312" w:hAnsi="仿宋_GB2312" w:cs="仿宋_GB2312" w:eastAsia="仿宋_GB2312"/>
                      <w:sz w:val="19"/>
                    </w:rPr>
                    <w:t>#12）扫频传递函数分析功能可得到跟踪w、w-r和w+r的三个传递函数曲线；提供软件截图；</w:t>
                  </w:r>
                </w:p>
                <w:p>
                  <w:pPr>
                    <w:pStyle w:val="null3"/>
                  </w:pPr>
                  <w:r>
                    <w:rPr>
                      <w:rFonts w:ascii="仿宋_GB2312" w:hAnsi="仿宋_GB2312" w:cs="仿宋_GB2312" w:eastAsia="仿宋_GB2312"/>
                      <w:sz w:val="19"/>
                    </w:rPr>
                    <w:t>13）时域分析可全程搜索最大峰值频率，有海浪要素统计计算功能，对微振监测可以进行24小时连续每分钟统计；</w:t>
                  </w:r>
                </w:p>
                <w:p>
                  <w:pPr>
                    <w:pStyle w:val="null3"/>
                  </w:pPr>
                  <w:r>
                    <w:rPr>
                      <w:rFonts w:ascii="仿宋_GB2312" w:hAnsi="仿宋_GB2312" w:cs="仿宋_GB2312" w:eastAsia="仿宋_GB2312"/>
                      <w:sz w:val="19"/>
                    </w:rPr>
                    <w:t>#14）多测点同时分析，排列方式可选“重叠+包络”和“重叠+平均”，参考测点可选，Envelop 和 Average；提供软件模块截图；</w:t>
                  </w:r>
                </w:p>
                <w:p>
                  <w:pPr>
                    <w:pStyle w:val="null3"/>
                  </w:pPr>
                  <w:r>
                    <w:rPr>
                      <w:rFonts w:ascii="仿宋_GB2312" w:hAnsi="仿宋_GB2312" w:cs="仿宋_GB2312" w:eastAsia="仿宋_GB2312"/>
                      <w:sz w:val="19"/>
                    </w:rPr>
                    <w:t>15）数据输出格式支持txt、excel、matlab 、access、WAV等格式；</w:t>
                  </w:r>
                </w:p>
                <w:p>
                  <w:pPr>
                    <w:pStyle w:val="null3"/>
                  </w:pPr>
                  <w:r>
                    <w:rPr>
                      <w:rFonts w:ascii="仿宋_GB2312" w:hAnsi="仿宋_GB2312" w:cs="仿宋_GB2312" w:eastAsia="仿宋_GB2312"/>
                      <w:sz w:val="19"/>
                    </w:rPr>
                    <w:t>16）传递函数分析功能，可进行通用传函、响应传函以及变时基传函分析，显示内容：幅频、相频、相干、实部、虚部、奈奎斯特图、相干传函、全程波形图、动刚度曲线；</w:t>
                  </w:r>
                </w:p>
                <w:p>
                  <w:pPr>
                    <w:pStyle w:val="null3"/>
                  </w:pPr>
                  <w:r>
                    <w:rPr>
                      <w:rFonts w:ascii="仿宋_GB2312" w:hAnsi="仿宋_GB2312" w:cs="仿宋_GB2312" w:eastAsia="仿宋_GB2312"/>
                      <w:sz w:val="19"/>
                    </w:rPr>
                    <w:t>17）采样频率连续可调；在非实时采样下，一次采样点数从1024到32K可调，对应频谱分析的谱线数最大为16384条；</w:t>
                  </w:r>
                </w:p>
                <w:p>
                  <w:pPr>
                    <w:pStyle w:val="null3"/>
                  </w:pPr>
                  <w:r>
                    <w:rPr>
                      <w:rFonts w:ascii="仿宋_GB2312" w:hAnsi="仿宋_GB2312" w:cs="仿宋_GB2312" w:eastAsia="仿宋_GB2312"/>
                      <w:sz w:val="19"/>
                    </w:rPr>
                    <w:t>18）多踪信号分析可以进行多路信号的时域分析和频谱分析，并进行时域数值统计和频谱峰值的自动收取和读数，多踪利萨如图分析可以同时显示多个利萨如图，各利萨如图可以随意设计；</w:t>
                  </w:r>
                </w:p>
                <w:p>
                  <w:pPr>
                    <w:pStyle w:val="null3"/>
                  </w:pPr>
                  <w:r>
                    <w:rPr>
                      <w:rFonts w:ascii="仿宋_GB2312" w:hAnsi="仿宋_GB2312" w:cs="仿宋_GB2312" w:eastAsia="仿宋_GB2312"/>
                      <w:sz w:val="19"/>
                    </w:rPr>
                    <w:t>18）显示比例可独立自动调整。</w:t>
                  </w:r>
                </w:p>
              </w:tc>
              <w:tc>
                <w:tcPr>
                  <w:tcW w:type="dxa" w:w="508"/>
                </w:tcPr>
                <w:p>
                  <w:pPr>
                    <w:pStyle w:val="null3"/>
                  </w:pPr>
                  <w:r>
                    <w:rPr>
                      <w:rFonts w:ascii="仿宋_GB2312" w:hAnsi="仿宋_GB2312" w:cs="仿宋_GB2312" w:eastAsia="仿宋_GB2312"/>
                      <w:sz w:val="19"/>
                    </w:rPr>
                    <w:t>配置5台测试分析终端：CPU性能不低于6核12线程，基础频率≥2.7GHz；内存≥16GB；硬盘≥1T；至少具备4个usb接口，其中至少1个后置的usb3.0接口；显示器分辨率≥1920×1080像素。</w:t>
                  </w:r>
                </w:p>
              </w:tc>
              <w:tc>
                <w:tcPr>
                  <w:tcW w:type="dxa" w:w="508"/>
                </w:tcPr>
                <w:p>
                  <w:pPr>
                    <w:pStyle w:val="null3"/>
                  </w:pPr>
                  <w:r>
                    <w:rPr>
                      <w:rFonts w:ascii="仿宋_GB2312" w:hAnsi="仿宋_GB2312" w:cs="仿宋_GB2312" w:eastAsia="仿宋_GB2312"/>
                      <w:sz w:val="19"/>
                    </w:rPr>
                    <w:t>5</w:t>
                  </w:r>
                </w:p>
              </w:tc>
            </w:tr>
            <w:tr>
              <w:tc>
                <w:tcPr>
                  <w:tcW w:type="dxa" w:w="508"/>
                </w:tcPr>
                <w:p>
                  <w:pPr>
                    <w:pStyle w:val="null3"/>
                  </w:pPr>
                  <w:r>
                    <w:rPr>
                      <w:rFonts w:ascii="仿宋_GB2312" w:hAnsi="仿宋_GB2312" w:cs="仿宋_GB2312" w:eastAsia="仿宋_GB2312"/>
                      <w:sz w:val="19"/>
                    </w:rPr>
                    <w:t>2</w:t>
                  </w:r>
                </w:p>
              </w:tc>
              <w:tc>
                <w:tcPr>
                  <w:tcW w:type="dxa" w:w="508"/>
                </w:tcPr>
                <w:p>
                  <w:pPr>
                    <w:pStyle w:val="null3"/>
                  </w:pPr>
                  <w:r>
                    <w:rPr>
                      <w:rFonts w:ascii="仿宋_GB2312" w:hAnsi="仿宋_GB2312" w:cs="仿宋_GB2312" w:eastAsia="仿宋_GB2312"/>
                      <w:sz w:val="19"/>
                    </w:rPr>
                    <w:t>数字散斑测量实验装置</w:t>
                  </w:r>
                </w:p>
                <w:p>
                  <w:pPr>
                    <w:pStyle w:val="null3"/>
                  </w:pPr>
                  <w:r>
                    <w:rPr>
                      <w:rFonts w:ascii="仿宋_GB2312" w:hAnsi="仿宋_GB2312" w:cs="仿宋_GB2312" w:eastAsia="仿宋_GB2312"/>
                      <w:sz w:val="19"/>
                    </w:rPr>
                    <w:t>（核心产品）</w:t>
                  </w:r>
                </w:p>
              </w:tc>
              <w:tc>
                <w:tcPr>
                  <w:tcW w:type="dxa" w:w="508"/>
                </w:tcPr>
                <w:p>
                  <w:pPr>
                    <w:pStyle w:val="null3"/>
                  </w:pPr>
                  <w:r>
                    <w:rPr>
                      <w:rFonts w:ascii="仿宋_GB2312" w:hAnsi="仿宋_GB2312" w:cs="仿宋_GB2312" w:eastAsia="仿宋_GB2312"/>
                      <w:sz w:val="19"/>
                    </w:rPr>
                    <w:t>1.位移和应变测量范围及精度：</w:t>
                  </w:r>
                </w:p>
                <w:p>
                  <w:pPr>
                    <w:pStyle w:val="null3"/>
                  </w:pPr>
                  <w:r>
                    <w:rPr>
                      <w:rFonts w:ascii="仿宋_GB2312" w:hAnsi="仿宋_GB2312" w:cs="仿宋_GB2312" w:eastAsia="仿宋_GB2312"/>
                      <w:sz w:val="19"/>
                    </w:rPr>
                    <w:t>1）应变范围：需覆盖 0.005%（50με）至 2000%；</w:t>
                  </w:r>
                </w:p>
                <w:p>
                  <w:pPr>
                    <w:pStyle w:val="null3"/>
                  </w:pPr>
                  <w:r>
                    <w:rPr>
                      <w:rFonts w:ascii="仿宋_GB2312" w:hAnsi="仿宋_GB2312" w:cs="仿宋_GB2312" w:eastAsia="仿宋_GB2312"/>
                      <w:sz w:val="19"/>
                    </w:rPr>
                    <w:t>2）应变测量精度：≤0.005%；</w:t>
                  </w:r>
                </w:p>
                <w:p>
                  <w:pPr>
                    <w:pStyle w:val="null3"/>
                  </w:pPr>
                  <w:r>
                    <w:rPr>
                      <w:rFonts w:ascii="仿宋_GB2312" w:hAnsi="仿宋_GB2312" w:cs="仿宋_GB2312" w:eastAsia="仿宋_GB2312"/>
                      <w:sz w:val="19"/>
                    </w:rPr>
                    <w:t>3）应变类型：同时支持纵向、横向应变实时计算，全场主应变、次应变、剪切应变的同步输出，应变计算刷新频率≥100Hz。</w:t>
                  </w:r>
                </w:p>
                <w:p>
                  <w:pPr>
                    <w:pStyle w:val="null3"/>
                  </w:pPr>
                  <w:r>
                    <w:rPr>
                      <w:rFonts w:ascii="仿宋_GB2312" w:hAnsi="仿宋_GB2312" w:cs="仿宋_GB2312" w:eastAsia="仿宋_GB2312"/>
                      <w:sz w:val="19"/>
                    </w:rPr>
                    <w:t>4）位移测量精度：±0.002mm</w:t>
                  </w:r>
                </w:p>
                <w:p>
                  <w:pPr>
                    <w:pStyle w:val="null3"/>
                  </w:pPr>
                  <w:r>
                    <w:rPr>
                      <w:rFonts w:ascii="仿宋_GB2312" w:hAnsi="仿宋_GB2312" w:cs="仿宋_GB2312" w:eastAsia="仿宋_GB2312"/>
                      <w:sz w:val="19"/>
                    </w:rPr>
                    <w:t>2.硬件参数要求：</w:t>
                  </w:r>
                </w:p>
                <w:p>
                  <w:pPr>
                    <w:pStyle w:val="null3"/>
                  </w:pPr>
                  <w:r>
                    <w:rPr>
                      <w:rFonts w:ascii="仿宋_GB2312" w:hAnsi="仿宋_GB2312" w:cs="仿宋_GB2312" w:eastAsia="仿宋_GB2312"/>
                      <w:sz w:val="19"/>
                    </w:rPr>
                    <w:t>1）测量相机：</w:t>
                  </w:r>
                </w:p>
                <w:p>
                  <w:pPr>
                    <w:pStyle w:val="null3"/>
                  </w:pPr>
                  <w:r>
                    <w:rPr>
                      <w:rFonts w:ascii="仿宋_GB2312" w:hAnsi="仿宋_GB2312" w:cs="仿宋_GB2312" w:eastAsia="仿宋_GB2312"/>
                      <w:sz w:val="19"/>
                    </w:rPr>
                    <w:t>①分辨率：≥500万像素；，像素尺寸≥3.45μm×3.45μm。</w:t>
                  </w:r>
                </w:p>
                <w:p>
                  <w:pPr>
                    <w:pStyle w:val="null3"/>
                  </w:pPr>
                  <w:r>
                    <w:rPr>
                      <w:rFonts w:ascii="仿宋_GB2312" w:hAnsi="仿宋_GB2312" w:cs="仿宋_GB2312" w:eastAsia="仿宋_GB2312"/>
                      <w:sz w:val="19"/>
                    </w:rPr>
                    <w:t>②帧率：全分辨率下实时采集帧率≥100fps；最高帧率≥500fps。</w:t>
                  </w:r>
                </w:p>
                <w:p>
                  <w:pPr>
                    <w:pStyle w:val="null3"/>
                  </w:pPr>
                  <w:r>
                    <w:rPr>
                      <w:rFonts w:ascii="仿宋_GB2312" w:hAnsi="仿宋_GB2312" w:cs="仿宋_GB2312" w:eastAsia="仿宋_GB2312"/>
                      <w:sz w:val="19"/>
                    </w:rPr>
                    <w:t>③快门：电子快门速度范围 1μs-1s，支持自动曝光与手动调节，曝光时间调节步长≤1μs。</w:t>
                  </w:r>
                </w:p>
                <w:p>
                  <w:pPr>
                    <w:pStyle w:val="null3"/>
                  </w:pPr>
                  <w:r>
                    <w:rPr>
                      <w:rFonts w:ascii="仿宋_GB2312" w:hAnsi="仿宋_GB2312" w:cs="仿宋_GB2312" w:eastAsia="仿宋_GB2312"/>
                      <w:sz w:val="19"/>
                    </w:rPr>
                    <w:t>2）测试视野与标定：</w:t>
                  </w:r>
                </w:p>
                <w:p>
                  <w:pPr>
                    <w:pStyle w:val="null3"/>
                  </w:pPr>
                  <w:r>
                    <w:rPr>
                      <w:rFonts w:ascii="仿宋_GB2312" w:hAnsi="仿宋_GB2312" w:cs="仿宋_GB2312" w:eastAsia="仿宋_GB2312"/>
                      <w:sz w:val="19"/>
                    </w:rPr>
                    <w:t>（1）标准视野：支持 100mm×75mm矩形视野测量，无标定状态下测量误差≤0.5% FS，满足GB/T 228.1金属材料拉伸试验标准要求。</w:t>
                  </w:r>
                </w:p>
                <w:p>
                  <w:pPr>
                    <w:pStyle w:val="null3"/>
                  </w:pPr>
                  <w:r>
                    <w:rPr>
                      <w:rFonts w:ascii="仿宋_GB2312" w:hAnsi="仿宋_GB2312" w:cs="仿宋_GB2312" w:eastAsia="仿宋_GB2312"/>
                      <w:sz w:val="19"/>
                    </w:rPr>
                    <w:t>（2）标定功能：①支持自动识别标定板，编码点/非编码点识别准确率≥99.5%；②兼容黑底白点、白底黑点两种标尺，标尺最小分辨尺寸≤0.01mm；③自动标定时间≤1秒，标定后像素匹配误差≤0.01像素。</w:t>
                  </w:r>
                </w:p>
                <w:p>
                  <w:pPr>
                    <w:pStyle w:val="null3"/>
                  </w:pPr>
                  <w:r>
                    <w:rPr>
                      <w:rFonts w:ascii="仿宋_GB2312" w:hAnsi="仿宋_GB2312" w:cs="仿宋_GB2312" w:eastAsia="仿宋_GB2312"/>
                      <w:sz w:val="19"/>
                    </w:rPr>
                    <w:t>3）镜头参数：标配25mm定焦工业镜头，镜头参数需满足：（1）畸变率≤0.1%（全视场范围内）；（2）焦距调节范围 10mm-∞，光圈 F 值≤1.8；（3）工作距离≥300mm，确保与加载设备无干涉。</w:t>
                  </w:r>
                </w:p>
                <w:p>
                  <w:pPr>
                    <w:pStyle w:val="null3"/>
                  </w:pPr>
                  <w:r>
                    <w:rPr>
                      <w:rFonts w:ascii="仿宋_GB2312" w:hAnsi="仿宋_GB2312" w:cs="仿宋_GB2312" w:eastAsia="仿宋_GB2312"/>
                      <w:sz w:val="19"/>
                    </w:rPr>
                    <w:t>4）光源系统：</w:t>
                  </w:r>
                </w:p>
                <w:p>
                  <w:pPr>
                    <w:pStyle w:val="null3"/>
                  </w:pPr>
                  <w:r>
                    <w:rPr>
                      <w:rFonts w:ascii="仿宋_GB2312" w:hAnsi="仿宋_GB2312" w:cs="仿宋_GB2312" w:eastAsia="仿宋_GB2312"/>
                      <w:sz w:val="19"/>
                    </w:rPr>
                    <w:t>（1）LED 面光源，色温500K±300K；</w:t>
                  </w:r>
                </w:p>
                <w:p>
                  <w:pPr>
                    <w:pStyle w:val="null3"/>
                  </w:pPr>
                  <w:r>
                    <w:rPr>
                      <w:rFonts w:ascii="仿宋_GB2312" w:hAnsi="仿宋_GB2312" w:cs="仿宋_GB2312" w:eastAsia="仿宋_GB2312"/>
                      <w:sz w:val="19"/>
                    </w:rPr>
                    <w:t>（2）亮度调节范围 100-5000lux，连续可调，调节精度±10lux；</w:t>
                  </w:r>
                </w:p>
                <w:p>
                  <w:pPr>
                    <w:pStyle w:val="null3"/>
                  </w:pPr>
                  <w:r>
                    <w:rPr>
                      <w:rFonts w:ascii="仿宋_GB2312" w:hAnsi="仿宋_GB2312" w:cs="仿宋_GB2312" w:eastAsia="仿宋_GB2312"/>
                      <w:sz w:val="19"/>
                    </w:rPr>
                    <w:t>（3）光源均匀度≥90%（全视场范围内），确保图像灰度偏差≤5%。</w:t>
                  </w:r>
                </w:p>
                <w:p>
                  <w:pPr>
                    <w:pStyle w:val="null3"/>
                  </w:pPr>
                  <w:r>
                    <w:rPr>
                      <w:rFonts w:ascii="仿宋_GB2312" w:hAnsi="仿宋_GB2312" w:cs="仿宋_GB2312" w:eastAsia="仿宋_GB2312"/>
                      <w:sz w:val="19"/>
                    </w:rPr>
                    <w:t>5）其他硬件配置要求：</w:t>
                  </w:r>
                </w:p>
                <w:p>
                  <w:pPr>
                    <w:pStyle w:val="null3"/>
                  </w:pPr>
                  <w:r>
                    <w:rPr>
                      <w:rFonts w:ascii="仿宋_GB2312" w:hAnsi="仿宋_GB2312" w:cs="仿宋_GB2312" w:eastAsia="仿宋_GB2312"/>
                      <w:sz w:val="19"/>
                    </w:rPr>
                    <w:t>（1）配备承重≥5kg的三脚架，高度调节范围600-1500mm，水平调节精度±0.1°；</w:t>
                  </w:r>
                </w:p>
                <w:p>
                  <w:pPr>
                    <w:pStyle w:val="null3"/>
                  </w:pPr>
                  <w:r>
                    <w:rPr>
                      <w:rFonts w:ascii="仿宋_GB2312" w:hAnsi="仿宋_GB2312" w:cs="仿宋_GB2312" w:eastAsia="仿宋_GB2312"/>
                      <w:sz w:val="19"/>
                    </w:rPr>
                    <w:t>（2）相机安装套件支持三维微调（X/Y/Z 轴调节范围±10mm，角度调节±5°），定位精度≤0.01mm。</w:t>
                  </w:r>
                </w:p>
                <w:p>
                  <w:pPr>
                    <w:pStyle w:val="null3"/>
                  </w:pPr>
                  <w:r>
                    <w:rPr>
                      <w:rFonts w:ascii="仿宋_GB2312" w:hAnsi="仿宋_GB2312" w:cs="仿宋_GB2312" w:eastAsia="仿宋_GB2312"/>
                      <w:sz w:val="19"/>
                    </w:rPr>
                    <w:t xml:space="preserve">3.软件功能参数 </w:t>
                  </w:r>
                </w:p>
                <w:p>
                  <w:pPr>
                    <w:pStyle w:val="null3"/>
                  </w:pPr>
                  <w:r>
                    <w:rPr>
                      <w:rFonts w:ascii="仿宋_GB2312" w:hAnsi="仿宋_GB2312" w:cs="仿宋_GB2312" w:eastAsia="仿宋_GB2312"/>
                      <w:sz w:val="19"/>
                    </w:rPr>
                    <w:t>1）操作界面与交互：</w:t>
                  </w:r>
                </w:p>
                <w:p>
                  <w:pPr>
                    <w:pStyle w:val="null3"/>
                  </w:pPr>
                  <w:r>
                    <w:rPr>
                      <w:rFonts w:ascii="仿宋_GB2312" w:hAnsi="仿宋_GB2312" w:cs="仿宋_GB2312" w:eastAsia="仿宋_GB2312"/>
                      <w:sz w:val="19"/>
                    </w:rPr>
                    <w:t>（1）界面响应延迟≤50ms；</w:t>
                  </w:r>
                </w:p>
                <w:p>
                  <w:pPr>
                    <w:pStyle w:val="null3"/>
                  </w:pPr>
                  <w:r>
                    <w:rPr>
                      <w:rFonts w:ascii="仿宋_GB2312" w:hAnsi="仿宋_GB2312" w:cs="仿宋_GB2312" w:eastAsia="仿宋_GB2312"/>
                      <w:sz w:val="19"/>
                    </w:rPr>
                    <w:t>（2）图形化展示包含实时视频流（帧率≥30fps）、彩色应变云图（刷新频率≥15Hz）、力学参数曲线和数值显示四重同步显示。</w:t>
                  </w:r>
                </w:p>
                <w:p>
                  <w:pPr>
                    <w:pStyle w:val="null3"/>
                  </w:pPr>
                  <w:r>
                    <w:rPr>
                      <w:rFonts w:ascii="仿宋_GB2312" w:hAnsi="仿宋_GB2312" w:cs="仿宋_GB2312" w:eastAsia="仿宋_GB2312"/>
                      <w:sz w:val="19"/>
                    </w:rPr>
                    <w:t>2）数据处理与输出：</w:t>
                  </w:r>
                </w:p>
                <w:p>
                  <w:pPr>
                    <w:pStyle w:val="null3"/>
                  </w:pPr>
                  <w:r>
                    <w:rPr>
                      <w:rFonts w:ascii="仿宋_GB2312" w:hAnsi="仿宋_GB2312" w:cs="仿宋_GB2312" w:eastAsia="仿宋_GB2312"/>
                      <w:sz w:val="19"/>
                    </w:rPr>
                    <w:t>（1）支持自动计算弹模、屈服强度、泊松比、N值/R值、最大力延伸率、断后伸长率（误差均≤±0.5%）；</w:t>
                  </w:r>
                </w:p>
                <w:p>
                  <w:pPr>
                    <w:pStyle w:val="null3"/>
                  </w:pPr>
                  <w:r>
                    <w:rPr>
                      <w:rFonts w:ascii="仿宋_GB2312" w:hAnsi="仿宋_GB2312" w:cs="仿宋_GB2312" w:eastAsia="仿宋_GB2312"/>
                      <w:sz w:val="19"/>
                    </w:rPr>
                    <w:t>（2）数据导出格式包含Excel、CSV、TXT，自动计算出材料表面的位移、应变等关键参数，并生成相应的数据报表；</w:t>
                  </w:r>
                </w:p>
                <w:p>
                  <w:pPr>
                    <w:pStyle w:val="null3"/>
                  </w:pPr>
                  <w:r>
                    <w:rPr>
                      <w:rFonts w:ascii="仿宋_GB2312" w:hAnsi="仿宋_GB2312" w:cs="仿宋_GB2312" w:eastAsia="仿宋_GB2312"/>
                      <w:sz w:val="19"/>
                    </w:rPr>
                    <w:t>（3）曲线绘制支持应力-应变、位移-时间、应变-位置等不少于3种类型。</w:t>
                  </w:r>
                </w:p>
                <w:p>
                  <w:pPr>
                    <w:pStyle w:val="null3"/>
                  </w:pPr>
                  <w:r>
                    <w:rPr>
                      <w:rFonts w:ascii="仿宋_GB2312" w:hAnsi="仿宋_GB2312" w:cs="仿宋_GB2312" w:eastAsia="仿宋_GB2312"/>
                      <w:sz w:val="19"/>
                    </w:rPr>
                    <w:t>3）通讯功能：</w:t>
                  </w:r>
                </w:p>
                <w:p>
                  <w:pPr>
                    <w:pStyle w:val="null3"/>
                  </w:pPr>
                  <w:r>
                    <w:rPr>
                      <w:rFonts w:ascii="仿宋_GB2312" w:hAnsi="仿宋_GB2312" w:cs="仿宋_GB2312" w:eastAsia="仿宋_GB2312"/>
                      <w:sz w:val="19"/>
                    </w:rPr>
                    <w:t>（1）串口通讯：支持IEEE488协议，波特率9600-115200bps可调，数据传输延迟≤10ms；</w:t>
                  </w:r>
                </w:p>
                <w:p>
                  <w:pPr>
                    <w:pStyle w:val="null3"/>
                  </w:pPr>
                  <w:r>
                    <w:rPr>
                      <w:rFonts w:ascii="仿宋_GB2312" w:hAnsi="仿宋_GB2312" w:cs="仿宋_GB2312" w:eastAsia="仿宋_GB2312"/>
                      <w:sz w:val="19"/>
                    </w:rPr>
                    <w:t>（2）网口通讯：支持TCP/UDP协议，传输速率≥100Mbps，丢包率≤0.01%；（3）脉冲信号：触发响应时间≤1μs，电压信号采集范围0-±10V，0-±5V（精度±0.005V）。</w:t>
                  </w:r>
                </w:p>
                <w:p>
                  <w:pPr>
                    <w:pStyle w:val="null3"/>
                  </w:pPr>
                  <w:r>
                    <w:rPr>
                      <w:rFonts w:ascii="仿宋_GB2312" w:hAnsi="仿宋_GB2312" w:cs="仿宋_GB2312" w:eastAsia="仿宋_GB2312"/>
                      <w:sz w:val="19"/>
                    </w:rPr>
                    <w:t>4）教师模式与权限管理：</w:t>
                  </w:r>
                </w:p>
                <w:p>
                  <w:pPr>
                    <w:pStyle w:val="null3"/>
                  </w:pPr>
                  <w:r>
                    <w:rPr>
                      <w:rFonts w:ascii="仿宋_GB2312" w:hAnsi="仿宋_GB2312" w:cs="仿宋_GB2312" w:eastAsia="仿宋_GB2312"/>
                      <w:sz w:val="19"/>
                    </w:rPr>
                    <w:t>（1）教师模式需通过登录界面验证；（2）支持2级权限管理（管理员/教师/学生），其中：①教师权限：可操作实验指导、案例库调用、修改所有参数，数据导出；②学生权限：仅可进行常规测量操作，无参数修改权限；</w:t>
                  </w:r>
                </w:p>
                <w:p>
                  <w:pPr>
                    <w:pStyle w:val="null3"/>
                  </w:pPr>
                  <w:r>
                    <w:rPr>
                      <w:rFonts w:ascii="仿宋_GB2312" w:hAnsi="仿宋_GB2312" w:cs="仿宋_GB2312" w:eastAsia="仿宋_GB2312"/>
                      <w:sz w:val="19"/>
                    </w:rPr>
                    <w:t>5）教学功能：</w:t>
                  </w:r>
                </w:p>
                <w:p>
                  <w:pPr>
                    <w:pStyle w:val="null3"/>
                  </w:pPr>
                  <w:r>
                    <w:rPr>
                      <w:rFonts w:ascii="仿宋_GB2312" w:hAnsi="仿宋_GB2312" w:cs="仿宋_GB2312" w:eastAsia="仿宋_GB2312"/>
                      <w:sz w:val="19"/>
                    </w:rPr>
                    <w:t>（1）内置≥5个标准试验案例，涵盖金属（钢/铝）、塑料（PE/ABS）、复合材料等材料，每个案例包含：高清操作视频、数据记录表、应变云图对比分析（图像值与实测值叠加显示）；</w:t>
                  </w:r>
                </w:p>
                <w:p>
                  <w:pPr>
                    <w:pStyle w:val="null3"/>
                  </w:pPr>
                  <w:r>
                    <w:rPr>
                      <w:rFonts w:ascii="仿宋_GB2312" w:hAnsi="仿宋_GB2312" w:cs="仿宋_GB2312" w:eastAsia="仿宋_GB2312"/>
                      <w:sz w:val="19"/>
                    </w:rPr>
                    <w:t>（2）实验指导模块需包含：设备操作步骤、常见误差原因分析（故障排除方案）、常见问题集（涵盖操作规范性、数据准确性）。</w:t>
                  </w:r>
                </w:p>
                <w:p>
                  <w:pPr>
                    <w:pStyle w:val="null3"/>
                  </w:pPr>
                  <w:r>
                    <w:rPr>
                      <w:rFonts w:ascii="仿宋_GB2312" w:hAnsi="仿宋_GB2312" w:cs="仿宋_GB2312" w:eastAsia="仿宋_GB2312"/>
                      <w:sz w:val="19"/>
                    </w:rPr>
                    <w:t>（3）标配一体化拉伸/压缩专用教具，采用教具与仪器整机集成化设计，自带力学定位基准刻度。</w:t>
                  </w:r>
                </w:p>
                <w:p>
                  <w:pPr>
                    <w:pStyle w:val="null3"/>
                  </w:pPr>
                  <w:r>
                    <w:rPr>
                      <w:rFonts w:ascii="仿宋_GB2312" w:hAnsi="仿宋_GB2312" w:cs="仿宋_GB2312" w:eastAsia="仿宋_GB2312"/>
                      <w:sz w:val="19"/>
                    </w:rPr>
                    <w:t>6）其他功能要求：</w:t>
                  </w:r>
                </w:p>
                <w:p>
                  <w:pPr>
                    <w:pStyle w:val="null3"/>
                  </w:pPr>
                  <w:r>
                    <w:rPr>
                      <w:rFonts w:ascii="仿宋_GB2312" w:hAnsi="仿宋_GB2312" w:cs="仿宋_GB2312" w:eastAsia="仿宋_GB2312"/>
                      <w:sz w:val="19"/>
                    </w:rPr>
                    <w:t>（1）设备具有激光指示对中功能：测量头具备激光指示器，可以指示镜头的对中位置，软件自动捕捉分析，根据设置参数自动设置标距位置，简化标距设定，并在后续标准实验中记录标距设置。</w:t>
                  </w:r>
                </w:p>
                <w:p>
                  <w:pPr>
                    <w:pStyle w:val="null3"/>
                  </w:pPr>
                  <w:r>
                    <w:rPr>
                      <w:rFonts w:ascii="仿宋_GB2312" w:hAnsi="仿宋_GB2312" w:cs="仿宋_GB2312" w:eastAsia="仿宋_GB2312"/>
                      <w:sz w:val="19"/>
                    </w:rPr>
                    <w:t>（2）模态分析模块包含：纯模态分析；确定激励源级能量传递路径分析；计算复杂结构质心、质量和运动惯量；载荷及分布计算。</w:t>
                  </w:r>
                </w:p>
              </w:tc>
              <w:tc>
                <w:tcPr>
                  <w:tcW w:type="dxa" w:w="508"/>
                </w:tcPr>
                <w:p>
                  <w:pPr>
                    <w:pStyle w:val="null3"/>
                  </w:pPr>
                  <w:r>
                    <w:rPr>
                      <w:rFonts w:ascii="仿宋_GB2312" w:hAnsi="仿宋_GB2312" w:cs="仿宋_GB2312" w:eastAsia="仿宋_GB2312"/>
                      <w:sz w:val="19"/>
                    </w:rPr>
                    <w:t>配置6台测试分析终端：CPU性能不低于6核12线程，基础频率≥2.7GHz；内存≥16GB；硬盘≥1T；至少具备6个usb接口，其中至少1个后置的usb3.0接口；显示器分辨率≥1920×1080像素。</w:t>
                  </w:r>
                </w:p>
              </w:tc>
              <w:tc>
                <w:tcPr>
                  <w:tcW w:type="dxa" w:w="508"/>
                </w:tcPr>
                <w:p>
                  <w:pPr>
                    <w:pStyle w:val="null3"/>
                  </w:pPr>
                  <w:r>
                    <w:rPr>
                      <w:rFonts w:ascii="仿宋_GB2312" w:hAnsi="仿宋_GB2312" w:cs="仿宋_GB2312" w:eastAsia="仿宋_GB2312"/>
                      <w:sz w:val="19"/>
                    </w:rPr>
                    <w:t>6</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注：以上技术参数与性能指标不允许负偏离，任意一项负偏离按无效谈判处理。</w:t>
            </w:r>
          </w:p>
          <w:p>
            <w:pPr>
              <w:pStyle w:val="null3"/>
            </w:pPr>
            <w:r>
              <w:rPr>
                <w:rFonts w:ascii="仿宋_GB2312" w:hAnsi="仿宋_GB2312" w:cs="仿宋_GB2312" w:eastAsia="仿宋_GB2312"/>
              </w:rPr>
              <w:t>1、标“#”项：需提供佐证材料：①指标项有明确要求的：须按照指标项要求提供对应证明材料；②指标要求未做说明的，佐证材料不限于产品彩页、检测报告、官网功能截图、生产厂家加盖公章的技术参数与性能指标证明材料等，未提供或提供的证明材料低于文件规定的相应技术参数时视为负偏离 。</w:t>
            </w:r>
          </w:p>
          <w:p>
            <w:pPr>
              <w:pStyle w:val="null3"/>
            </w:pPr>
            <w:r>
              <w:rPr>
                <w:rFonts w:ascii="仿宋_GB2312" w:hAnsi="仿宋_GB2312" w:cs="仿宋_GB2312" w:eastAsia="仿宋_GB2312"/>
              </w:rPr>
              <w:t>2、非标“#”项：响应情况以技术指标偏差表响应为准，技术指标偏差表未响应或响应指标低于文件规定的相应技术参数时视为负偏离。</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培训要求：</w:t>
            </w:r>
          </w:p>
          <w:p>
            <w:pPr>
              <w:pStyle w:val="null3"/>
            </w:pPr>
            <w:r>
              <w:rPr>
                <w:rFonts w:ascii="仿宋_GB2312" w:hAnsi="仿宋_GB2312" w:cs="仿宋_GB2312" w:eastAsia="仿宋_GB2312"/>
              </w:rPr>
              <w:t>1、培训内容及要求:设备原理，制样，仪器操作，数据处理。</w:t>
            </w:r>
          </w:p>
          <w:p>
            <w:pPr>
              <w:pStyle w:val="null3"/>
            </w:pPr>
            <w:r>
              <w:rPr>
                <w:rFonts w:ascii="仿宋_GB2312" w:hAnsi="仿宋_GB2312" w:cs="仿宋_GB2312" w:eastAsia="仿宋_GB2312"/>
              </w:rPr>
              <w:t>2、培训服务要求：培训≥4人。</w:t>
            </w:r>
          </w:p>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1、提供产品使用寿命承诺书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合同签订之日起2个月内完成交付、安装及调试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西安建筑科技大学草堂校区力学实验室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其他，签订合同后15日内，乙方提供经甲方认可的合同金额100%的预付款保函或双方认可的其他担保措施，支付合同金额的100%，达到付款条件起10个工作日内，支付合同总金额的100.0%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1、项目质保期：验收合格通过之日起测试分析终端1年，其他产品3年。2、售后服务响应时间（质保期内）：即时响应（包括电话响应）；电话响应无法解决，24小时内到达现场。修复时间 48 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1、核心产品：数字散斑测量实验装置。 2、中标（成交）结果发布后，中标（成交）供应商在2个工作日内向采购代理机构提供一正一副（和上传文件保持一致的）纸质投标（响应）文件用于备案及档案保存。 3、谈判保证金以电子保函形式递交需在谈判截止时间前发送一份扫描件至526159856@qq.com。 4.本项目落实《国务院办公厅关于在政府采购中实施本国产品标准及相关政策的通知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5、因系统原因，最终签订合同的付款方式是：签订合同后15日内，乙方提供经甲方认可的合同金额100%的预付款保函或双方认可的其他担保措施，支付合同金额的100%。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 ： 1、有效的主体资格证明：提供合法有效的统一社会信用代码营业执照（事业单位提供事业单位法人证书，自然人应提供身份证）； 2、税收缴纳证明：提供2025年5月1日以来任意时间段的依法缴纳税收的相关凭据（时间以税款所属时期为准），凭据应有税务机关或代收机关的公章或业务专用章。依法免税或无须缴纳税收的供应商，应提供相应证明文件； 3、社会保障资金缴纳证明：提供2025年5月1日以来任意时间段的社会保障资金缴存单据或社保机构开具的社会保险参保缴费情况证明。依法不需要缴纳社会保障资金的供应商应提供相关文件证明；4、具有履行合同所必需的设备和专业技术能力的书面声明：具有履行合同所必需的设备和专业技术能力的书面声明； 5、书面声明：参加政府采购活动前3年内在经营活动中没有重大违法记录的书面声明。</w:t>
            </w:r>
          </w:p>
        </w:tc>
        <w:tc>
          <w:tcPr>
            <w:tcW w:type="dxa" w:w="1661"/>
          </w:tcPr>
          <w:p>
            <w:pPr>
              <w:pStyle w:val="null3"/>
            </w:pPr>
            <w:r>
              <w:rPr>
                <w:rFonts w:ascii="仿宋_GB2312" w:hAnsi="仿宋_GB2312" w:cs="仿宋_GB2312" w:eastAsia="仿宋_GB2312"/>
              </w:rPr>
              <w:t>02-资格要求证明资料.docx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审计报告须具有注册会计师行业统一监管平台https://acc.mof.gov.cn赋予的验证码）（成立时间至提交响应文件截止时间不足一年的可提供成立后任意时段的资产负债表），或其谈判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02-资格要求证明资料.docx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非法定代表人参加投标的，须提供法定代表人委托授权书及被授权人身份证复印件，法定代表人参加投标时,只需提供法定代表人身份证复印件</w:t>
            </w:r>
          </w:p>
        </w:tc>
        <w:tc>
          <w:tcPr>
            <w:tcW w:type="dxa" w:w="1661"/>
          </w:tcPr>
          <w:p>
            <w:pPr>
              <w:pStyle w:val="null3"/>
            </w:pPr>
            <w:r>
              <w:rPr>
                <w:rFonts w:ascii="仿宋_GB2312" w:hAnsi="仿宋_GB2312" w:cs="仿宋_GB2312" w:eastAsia="仿宋_GB2312"/>
              </w:rPr>
              <w:t>02-资格要求证明资料.docx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02-资格要求证明资料.docx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按照《关于推动解决政府采购异常低价问题的通知》(财库〔2026〕2号)规定，出现下列情形之一的，评审委员会应当启动异常低价投标（响应）审查程序：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 效响应处理：(1)响应文件未按照采购文件规定要求签署、盖章； (2)不满足本谈判文件中“交货时间、交货地点、采购资金的支付方式及约定、质量保修范围和保修期”的实质性条款要求； (3)谈判有效期不足或无有效期； (4)报价超过谈判文件中规定的采购预算或最高限价； (5)保证金交纳不符合谈判文件要求；（6）不满足本谈判文件中标注“★”的实质性条款要求的(7)法律、法规和谈判文件规定的其他无效情形。</w:t>
            </w:r>
          </w:p>
        </w:tc>
        <w:tc>
          <w:tcPr>
            <w:tcW w:type="dxa" w:w="1661"/>
          </w:tcPr>
          <w:p>
            <w:pPr>
              <w:pStyle w:val="null3"/>
            </w:pPr>
            <w:r>
              <w:rPr>
                <w:rFonts w:ascii="仿宋_GB2312" w:hAnsi="仿宋_GB2312" w:cs="仿宋_GB2312" w:eastAsia="仿宋_GB2312"/>
              </w:rPr>
              <w:t>12-产品使用寿命承诺书.docx 03-诚信承诺书.docx 04-分项报价表.docx 08-拒绝商业贿赂承诺书.docx 报价表 07-谈判响应方案说明.docx 响应文件封面 06-技术指标偏差表.docx 标的清单 02-资格要求证明资料.docx 09-商务条款响应说明.docx 响应函 10-谈判保证金.docx 05-服务承诺.docx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按照最后报价由低到高的顺序推荐。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详见附件：02-资格要求证明资料.docx</w:t>
      </w:r>
    </w:p>
    <w:p>
      <w:pPr>
        <w:pStyle w:val="null3"/>
        <w:ind w:firstLine="960"/>
      </w:pPr>
      <w:r>
        <w:rPr>
          <w:rFonts w:ascii="仿宋_GB2312" w:hAnsi="仿宋_GB2312" w:cs="仿宋_GB2312" w:eastAsia="仿宋_GB2312"/>
        </w:rPr>
        <w:t>详见附件：03-诚信承诺书.docx</w:t>
      </w:r>
    </w:p>
    <w:p>
      <w:pPr>
        <w:pStyle w:val="null3"/>
        <w:ind w:firstLine="960"/>
      </w:pPr>
      <w:r>
        <w:rPr>
          <w:rFonts w:ascii="仿宋_GB2312" w:hAnsi="仿宋_GB2312" w:cs="仿宋_GB2312" w:eastAsia="仿宋_GB2312"/>
        </w:rPr>
        <w:t>详见附件：04-分项报价表.docx</w:t>
      </w:r>
    </w:p>
    <w:p>
      <w:pPr>
        <w:pStyle w:val="null3"/>
        <w:ind w:firstLine="960"/>
      </w:pPr>
      <w:r>
        <w:rPr>
          <w:rFonts w:ascii="仿宋_GB2312" w:hAnsi="仿宋_GB2312" w:cs="仿宋_GB2312" w:eastAsia="仿宋_GB2312"/>
        </w:rPr>
        <w:t>详见附件：05-服务承诺.docx</w:t>
      </w:r>
    </w:p>
    <w:p>
      <w:pPr>
        <w:pStyle w:val="null3"/>
        <w:ind w:firstLine="960"/>
      </w:pPr>
      <w:r>
        <w:rPr>
          <w:rFonts w:ascii="仿宋_GB2312" w:hAnsi="仿宋_GB2312" w:cs="仿宋_GB2312" w:eastAsia="仿宋_GB2312"/>
        </w:rPr>
        <w:t>详见附件：06-技术指标偏差表.docx</w:t>
      </w:r>
    </w:p>
    <w:p>
      <w:pPr>
        <w:pStyle w:val="null3"/>
        <w:ind w:firstLine="960"/>
      </w:pPr>
      <w:r>
        <w:rPr>
          <w:rFonts w:ascii="仿宋_GB2312" w:hAnsi="仿宋_GB2312" w:cs="仿宋_GB2312" w:eastAsia="仿宋_GB2312"/>
        </w:rPr>
        <w:t>详见附件：07-谈判响应方案说明.docx</w:t>
      </w:r>
    </w:p>
    <w:p>
      <w:pPr>
        <w:pStyle w:val="null3"/>
        <w:ind w:firstLine="960"/>
      </w:pPr>
      <w:r>
        <w:rPr>
          <w:rFonts w:ascii="仿宋_GB2312" w:hAnsi="仿宋_GB2312" w:cs="仿宋_GB2312" w:eastAsia="仿宋_GB2312"/>
        </w:rPr>
        <w:t>详见附件：08-拒绝商业贿赂承诺书.docx</w:t>
      </w:r>
    </w:p>
    <w:p>
      <w:pPr>
        <w:pStyle w:val="null3"/>
        <w:ind w:firstLine="960"/>
      </w:pPr>
      <w:r>
        <w:rPr>
          <w:rFonts w:ascii="仿宋_GB2312" w:hAnsi="仿宋_GB2312" w:cs="仿宋_GB2312" w:eastAsia="仿宋_GB2312"/>
        </w:rPr>
        <w:t>详见附件：09-商务条款响应说明.docx</w:t>
      </w:r>
    </w:p>
    <w:p>
      <w:pPr>
        <w:pStyle w:val="null3"/>
        <w:ind w:firstLine="960"/>
      </w:pPr>
      <w:r>
        <w:rPr>
          <w:rFonts w:ascii="仿宋_GB2312" w:hAnsi="仿宋_GB2312" w:cs="仿宋_GB2312" w:eastAsia="仿宋_GB2312"/>
        </w:rPr>
        <w:t>详见附件：10-谈判保证金.docx</w:t>
      </w:r>
    </w:p>
    <w:p>
      <w:pPr>
        <w:pStyle w:val="null3"/>
        <w:ind w:firstLine="960"/>
      </w:pPr>
      <w:r>
        <w:rPr>
          <w:rFonts w:ascii="仿宋_GB2312" w:hAnsi="仿宋_GB2312" w:cs="仿宋_GB2312" w:eastAsia="仿宋_GB2312"/>
        </w:rPr>
        <w:t>详见附件：12-产品使用寿命承诺书.docx</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详见附件：01-合同文本.docx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