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版本号：SXLZ-2026-13020260713001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陕西省拦沙置换水指标研究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SXLZ-2026-130</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陕西省拦沙置换水指标研究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SXLZ-2026-130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陕西省拦沙置换水指标研究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立科学的拦沙工程生态环境效益核算体系与“拦沙量-减淤效益-可置换水量”的转化模型。对外争取新增水指标对象，与下游省份建立“减淤受益-指标补偿”机制，制定协商流程，以及面向省内区域与行业的对内水指标交易机制。最终规划该机制分阶段实施的可行路径，并设计配套制度与风险管控措施，为陕西省通过泥沙治理争取新增水资源、实现生态保护与高质量发展提供可操作的方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1、信用查询截图：供应商未被列入信用中国网站(www.creditchina.gov.cn)“重大税收违法失信主体”；未被列入中国执行信息公开网(https://zxgk.court.gov.cn)“失信被执行人”；不处于中国政府采购网(www.ccgp.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2、法定代表人证明书或授权委托书：提供法定代表人授权书（附法定代表人、被授权人身份证复印件），法定代表人直接参加磋商，须提供法定代表人身份证明及身份证复印件）。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029-61835126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郭佳星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15309270789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与采购单位协商，根据成交⾦额，参照国家计委颁发的《招标代理服务收费管理暂⾏办法》(计价格〔2002〕1980号)、国家发展和改⾰委员会办公厅颁发的《关于招标代理服务费收费有关问题的通知及《调整后的招标代理服务收费标准》(发改价格〔2011〕〕534号)规定的95%计取。2.采购代理服务费由成交供应商⽀付，成交供应商领取成交通知书时，须⼀次性向采购代理机构交纳采购代理服务费。3.采购代理服务费账户：公司名称：陕西⻰泽项⽬咨询管理有限公司；账 号: 61050111583800000087；开户⾏：中国建设银⾏股份有限公司西安雁塔南路南段⽀⾏。</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2.供应商将在采购项⽬实施过程中采⽤⾃有或者第三⽅知识成果的，使⽤该知识成果后，供应商需提供开发接⼝和开发⼿册等技术资料，并承诺提供⽆限期⽀持，采购⼈享有使⽤权（含采购⼈委托第三⽅在该项⽬后续开发的使⽤权）。3.如采⽤供应商所不拥有的知识产权，则在报价中必须包括合法使⽤该知识产权的相关费⽤。4.构成本采购⽂件的各组成部分，未经采购⼈书⾯同意，供应商不得擅⾃复印或⽤于⾮本采购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联系人：郭佳星</w:t>
      </w:r>
    </w:p>
    <w:p>
      <w:pPr>
        <w:pStyle w:val="null3"/>
      </w:pPr>
      <w:r>
        <w:rPr>
          <w:rFonts w:ascii="仿宋_GB2312" w:hAnsi="仿宋_GB2312" w:cs="仿宋_GB2312" w:eastAsia="仿宋_GB2312"/>
        </w:rPr>
        <w:t>联系电话：15309270789</w:t>
      </w:r>
    </w:p>
    <w:p>
      <w:pPr>
        <w:pStyle w:val="null3"/>
      </w:pPr>
      <w:r>
        <w:rPr>
          <w:rFonts w:ascii="仿宋_GB2312" w:hAnsi="仿宋_GB2312" w:cs="仿宋_GB2312" w:eastAsia="仿宋_GB2312"/>
        </w:rPr>
        <w:t>地址：陕西省西安市国家⺠⽤航天产业基地神⾈五路与东⻓安街交汇处东南⻆航天城中⼼⼴场1号楼708</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立科学的拦沙工程生态环境效益核算体系与“拦沙量-减淤效益-可置换水量”的转化模型。对外争取新增水指标对象，与下游省份建立“减淤受益-指标补偿”机制，制定协商流程，以及面向省内区域与行业的对内水指标交易机制。最终规划该机制分阶段实施的可行路径，并设计配套制度与风险管控措施，为陕西省通过泥沙治理争取新增水资源、实现生态保护与高质量发展提供可操作的方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陕西省拦沙置换水指标研究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标的名称：陕西省拦沙置换水指标研究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一、项目背景与总体目标</w:t>
            </w:r>
          </w:p>
          <w:p>
            <w:pPr>
              <w:pStyle w:val="null3"/>
              <w:ind w:firstLine="560"/>
              <w:jc w:val="both"/>
            </w:pPr>
            <w:r>
              <w:rPr>
                <w:rFonts w:ascii="仿宋_GB2312" w:hAnsi="仿宋_GB2312" w:cs="仿宋_GB2312" w:eastAsia="仿宋_GB2312"/>
                <w:sz w:val="21"/>
              </w:rPr>
              <w:t>本项目旨在围绕陕西省黄河流域生态保护与高质量发展战略，系统开展拦沙工程生态环境效益核算与水指标转化机制研究。通过建立科学的核算体系与转化模型，打通</w:t>
            </w:r>
            <w:r>
              <w:rPr>
                <w:rFonts w:ascii="仿宋_GB2312" w:hAnsi="仿宋_GB2312" w:cs="仿宋_GB2312" w:eastAsia="仿宋_GB2312"/>
                <w:sz w:val="21"/>
              </w:rPr>
              <w:t>“泥沙治理—减淤增容—水量置换—水权交易”的价值转化通道，为陕西省通过泥沙治理争取新增水资源、实现生态保护与高质量发展提供可操作、可落地的系统性方案。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21"/>
              </w:rPr>
              <w:t>二、核心研究内容与采购需求</w:t>
            </w:r>
          </w:p>
          <w:p>
            <w:pPr>
              <w:pStyle w:val="null3"/>
              <w:ind w:firstLine="560"/>
              <w:jc w:val="both"/>
            </w:pPr>
            <w:r>
              <w:rPr>
                <w:rFonts w:ascii="仿宋_GB2312" w:hAnsi="仿宋_GB2312" w:cs="仿宋_GB2312" w:eastAsia="仿宋_GB2312"/>
                <w:sz w:val="21"/>
              </w:rPr>
              <w:t>供应商需围绕以下四大核心板块开展深入研究，并提交高质量的研究成果：</w:t>
            </w:r>
          </w:p>
          <w:p>
            <w:pPr>
              <w:pStyle w:val="null3"/>
              <w:ind w:firstLine="560"/>
              <w:jc w:val="both"/>
            </w:pPr>
            <w:r>
              <w:rPr>
                <w:rFonts w:ascii="仿宋_GB2312" w:hAnsi="仿宋_GB2312" w:cs="仿宋_GB2312" w:eastAsia="仿宋_GB2312"/>
                <w:sz w:val="21"/>
              </w:rPr>
              <w:t>1、</w:t>
            </w:r>
            <w:r>
              <w:rPr>
                <w:rFonts w:ascii="仿宋_GB2312" w:hAnsi="仿宋_GB2312" w:cs="仿宋_GB2312" w:eastAsia="仿宋_GB2312"/>
                <w:sz w:val="21"/>
              </w:rPr>
              <w:t>开展陕西省泥沙淤积情况及影响量化研究；</w:t>
            </w:r>
          </w:p>
          <w:p>
            <w:pPr>
              <w:pStyle w:val="null3"/>
              <w:ind w:firstLine="560"/>
              <w:jc w:val="both"/>
            </w:pPr>
            <w:r>
              <w:rPr>
                <w:rFonts w:ascii="仿宋_GB2312" w:hAnsi="仿宋_GB2312" w:cs="仿宋_GB2312" w:eastAsia="仿宋_GB2312"/>
                <w:sz w:val="21"/>
              </w:rPr>
              <w:t>2、</w:t>
            </w:r>
            <w:r>
              <w:rPr>
                <w:rFonts w:ascii="仿宋_GB2312" w:hAnsi="仿宋_GB2312" w:cs="仿宋_GB2312" w:eastAsia="仿宋_GB2312"/>
                <w:sz w:val="21"/>
              </w:rPr>
              <w:t>构建拦沙工程生态效益核算方法与可置换水量换算模型；</w:t>
            </w:r>
          </w:p>
          <w:p>
            <w:pPr>
              <w:pStyle w:val="null3"/>
              <w:ind w:firstLine="560"/>
              <w:jc w:val="both"/>
            </w:pPr>
            <w:r>
              <w:rPr>
                <w:rFonts w:ascii="仿宋_GB2312" w:hAnsi="仿宋_GB2312" w:cs="仿宋_GB2312" w:eastAsia="仿宋_GB2312"/>
                <w:sz w:val="21"/>
              </w:rPr>
              <w:t>3、</w:t>
            </w:r>
            <w:r>
              <w:rPr>
                <w:rFonts w:ascii="仿宋_GB2312" w:hAnsi="仿宋_GB2312" w:cs="仿宋_GB2312" w:eastAsia="仿宋_GB2312"/>
                <w:sz w:val="21"/>
              </w:rPr>
              <w:t>开展拦沙置换水指标内外双机制研究；</w:t>
            </w:r>
          </w:p>
          <w:p>
            <w:pPr>
              <w:pStyle w:val="null3"/>
              <w:ind w:firstLine="560"/>
              <w:jc w:val="both"/>
            </w:pPr>
            <w:r>
              <w:rPr>
                <w:rFonts w:ascii="仿宋_GB2312" w:hAnsi="仿宋_GB2312" w:cs="仿宋_GB2312" w:eastAsia="仿宋_GB2312"/>
                <w:sz w:val="21"/>
              </w:rPr>
              <w:t>4、</w:t>
            </w:r>
            <w:r>
              <w:rPr>
                <w:rFonts w:ascii="仿宋_GB2312" w:hAnsi="仿宋_GB2312" w:cs="仿宋_GB2312" w:eastAsia="仿宋_GB2312"/>
                <w:sz w:val="21"/>
              </w:rPr>
              <w:t>开展机制实施路径与风险管控体系研究。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sz w:val="21"/>
              </w:rPr>
              <w:t>三、成果交付要求</w:t>
            </w:r>
          </w:p>
          <w:p>
            <w:pPr>
              <w:pStyle w:val="null3"/>
              <w:ind w:firstLine="560"/>
              <w:jc w:val="both"/>
            </w:pPr>
            <w:r>
              <w:rPr>
                <w:rFonts w:ascii="仿宋_GB2312" w:hAnsi="仿宋_GB2312" w:cs="仿宋_GB2312" w:eastAsia="仿宋_GB2312"/>
                <w:sz w:val="21"/>
              </w:rPr>
              <w:t>供应商需在合同约定的服务期内，提交以下成果（包括但不限于）：</w:t>
            </w:r>
          </w:p>
          <w:p>
            <w:pPr>
              <w:pStyle w:val="null3"/>
              <w:ind w:firstLine="560"/>
              <w:jc w:val="both"/>
            </w:pPr>
            <w:r>
              <w:rPr>
                <w:rFonts w:ascii="仿宋_GB2312" w:hAnsi="仿宋_GB2312" w:cs="仿宋_GB2312" w:eastAsia="仿宋_GB2312"/>
                <w:sz w:val="21"/>
              </w:rPr>
              <w:t>《陕西省拦沙</w:t>
            </w:r>
            <w:r>
              <w:rPr>
                <w:rFonts w:ascii="仿宋_GB2312" w:hAnsi="仿宋_GB2312" w:cs="仿宋_GB2312" w:eastAsia="仿宋_GB2312"/>
                <w:sz w:val="21"/>
              </w:rPr>
              <w:t>置换</w:t>
            </w:r>
            <w:r>
              <w:rPr>
                <w:rFonts w:ascii="仿宋_GB2312" w:hAnsi="仿宋_GB2312" w:cs="仿宋_GB2312" w:eastAsia="仿宋_GB2312"/>
                <w:sz w:val="21"/>
              </w:rPr>
              <w:t>水指标</w:t>
            </w:r>
            <w:r>
              <w:rPr>
                <w:rFonts w:ascii="仿宋_GB2312" w:hAnsi="仿宋_GB2312" w:cs="仿宋_GB2312" w:eastAsia="仿宋_GB2312"/>
                <w:sz w:val="21"/>
              </w:rPr>
              <w:t>研究报告》</w:t>
            </w:r>
            <w:r>
              <w:rPr>
                <w:rFonts w:ascii="仿宋_GB2312" w:hAnsi="仿宋_GB2312" w:cs="仿宋_GB2312" w:eastAsia="仿宋_GB2312"/>
                <w:sz w:val="21"/>
              </w:rPr>
              <w:t>；根据采购人评审意见进行的修改完善及最终定稿。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合同文本及合同补充文件（条款）；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进度款，提交初步成果并经采购人确认后，达到付款条件起10个工作日内，支付合同总金额的60.0%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进度款，提交初步成果并经采购人确认后，达到付款条件起10个工作日内，支付合同总金额的10.0%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采购⽂件要求及合同约定执⾏；事业单位参与投标时，可不提供社会保障资⾦和税收缴纳证明；依法免税或不需要缴纳社会保障资⾦的供应商，应提供相应证明⽂件，证明其依法免税或不需要缴纳社会保障资⾦；⾃然人（仅限中国公⺠）参与投标时，只须提供⾝份证复印件。2.为顺利推进政府采购电⼦化交易平台应⽤⼯作，供应商需要在线提交所有通过电⼦化交易平台实施的政府采购项⽬的响应⽂件，确定成交后，根据采购⼈要求，成交供应商向代理机构提交纸质版磋商响应⽂件⽤于项⽬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 应提供其有效的登记证书复印件；（5）供应商是个体工商户的，应提供其有效的“营业执照”复印件；（6）供应商是自然人的，应提供其有效的自然人身份证明复印件。 2、提供可满足履行合同所需设备和专业技术能力的证明材料或承诺。 3、提供响应文件递交截止时间前六个月内至少一个月的纳税证明或完税证明，依法免税的单位应提供相关证明材料；时间以税款所属时期为准。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供应商提供的复印件在本次投标中予以认可 (即不因 “复印无效 ”字样而认定资信证明复印件无效）。③银行出具的存款证明不能替代银行资信证明。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应符合“竞争性磋商响应⽂件格式”要求（不得因⽂件排序限制和影响供应商响应）。</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磋商响应⽂件的签署盖章 应符合竞争性磋商响应⽂件要求。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响应⽂件报价</w:t>
            </w:r>
          </w:p>
        </w:tc>
        <w:tc>
          <w:tcPr>
            <w:tcW w:type="dxa" w:w="3322"/>
          </w:tcPr>
          <w:p>
            <w:pPr>
              <w:pStyle w:val="null3"/>
            </w:pPr>
            <w:r>
              <w:rPr>
                <w:rFonts w:ascii="仿宋_GB2312" w:hAnsi="仿宋_GB2312" w:cs="仿宋_GB2312" w:eastAsia="仿宋_GB2312"/>
              </w:rPr>
              <w:t>报价唯⼀，磋商报价符合唯⼀性要求、响应报价表填写符合要求、报价货币符合磋商⽂件要求、报价数量与要求符合并未出现漏项、未超出采购预算和磋商⽂件规定的各分项最⾼限价；只能有⼀个有效报价，不得提交选择性报价，按要求提交⼆次或多次报价，且每轮报价不超过采购预算⾦额或最⾼限价或磋商⼩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磋商响应⽂件内容</w:t>
            </w:r>
          </w:p>
        </w:tc>
        <w:tc>
          <w:tcPr>
            <w:tcW w:type="dxa" w:w="3322"/>
          </w:tcPr>
          <w:p>
            <w:pPr>
              <w:pStyle w:val="null3"/>
            </w:pPr>
            <w:r>
              <w:rPr>
                <w:rFonts w:ascii="仿宋_GB2312" w:hAnsi="仿宋_GB2312" w:cs="仿宋_GB2312" w:eastAsia="仿宋_GB2312"/>
              </w:rPr>
              <w:t>磋商响应⽂件内容符合磋商⽂件要求； 磋商响应⽂件中项⽬名称、项⽬编号与本项⽬⼀致；磋商响应⽂件⾄少包括：（1）响应函、（2）响应报价表、（3）供应商资格证明、（4）采购需求偏离表、（5）供应商承诺书。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采购需求偏离表.pdf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应满⾜磋商⽂件中的规定。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应满⾜磋商⽂件中要求的服务期限。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对磋商⽂件条款响应</w:t>
            </w:r>
          </w:p>
        </w:tc>
        <w:tc>
          <w:tcPr>
            <w:tcW w:type="dxa" w:w="3322"/>
          </w:tcPr>
          <w:p>
            <w:pPr>
              <w:pStyle w:val="null3"/>
            </w:pPr>
            <w:r>
              <w:rPr>
                <w:rFonts w:ascii="仿宋_GB2312" w:hAnsi="仿宋_GB2312" w:cs="仿宋_GB2312" w:eastAsia="仿宋_GB2312"/>
              </w:rPr>
              <w:t>要求实质性条款全部响应，不能有采购⼈不能接受的附加条件，未有负偏离且响应的内容未含有采购⼈不能接受的附加条件。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项目的理解和认识</w:t>
            </w:r>
          </w:p>
        </w:tc>
        <w:tc>
          <w:tcPr>
            <w:tcW w:type="dxa" w:w="2492"/>
          </w:tcPr>
          <w:p>
            <w:pPr>
              <w:pStyle w:val="null3"/>
            </w:pPr>
            <w:r>
              <w:rPr>
                <w:rFonts w:ascii="仿宋_GB2312" w:hAnsi="仿宋_GB2312" w:cs="仿宋_GB2312" w:eastAsia="仿宋_GB2312"/>
              </w:rPr>
              <w:t>供应商根据采购需求编制对本项目的理解及认识方案，内容包含：①项目背景分析；②项目基本情况；③项目重难点分析；④项目目标的理解。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针对本项目编制科学合理的实施方案，内容包含：①项目研究拟解决的关键问题；②工作依据及原则；③项目研究技术路线；④工作流程；⑤主要工作内容。以上内容专门针对本项目且符合本项目实际需求的得15分，每缺一项内容扣3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供应商提供针对本项目的质量保障措施方案，内容包括但不限于：①质量管理体系；②质量保障措施；③成果保障措施等。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供应商提供针对本项目的项目进度及保障措施，内容包括但不限于：①项目实施进度目标分析；②提供合理的工作计划及时间节点；③项目进度保障措施等。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根据本项目采购需求编制针对性保密措施方案，有相应的保障细则，内容包含：①保密范围；②保密方式；③保密措施；④保密工作制度。以上内容专门针对本项目且符合本项目实际需求的得4分，每缺一项内容扣1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项目负责人具备相关专业高级职称的得4分，中级职称得2分，其余不得分。 【注：（1）响应文件中须提供项目负责人职称证书等复印件并加盖单位公章。（2）相关专业包括但不限于水利水电、水文水资源。】</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团队服务人员（除项目负责人）具备与本项目相关专业高级技术职称证书，每提供1人得2分；具备与本项目相关专业中级技术职称证书，每提供1人得1分，满分10分。 【注：（1）响应文件中须提供项目团队人员职称证书等复印件并加盖单位公章。（2）相关专业包括但不限于水利水电、水文水资源，同一人员不重复得分。】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供应商针对本项目提供正式有效的售后服务响应机制承诺，明确承诺：1.紧急技术问题（成果文件错漏、专家评审在即、行政主管部门核查）（4分）：承诺1小时内专人对接响应，提供7×12小时联络热线、项目专属工作群，满足得满分4分；仅承诺2小时及以内响应得50%分值2分；承诺超过2小时不得分；未提供固定联络渠道证明扣全部分值。2.一般咨询、资料修正需求（2分）：承诺2小时内出具修改思路/回复意见得满分2分；承诺4小时及以内得50%分值1分，超出4小时不得分。3.现场技术支撑服务（2分）：承诺市区4小时、县域12小时技术人员到场服务，满足得满分2分；到场时限标准放宽得1分；未承诺现场应急服务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售后服务闭环管理</w:t>
            </w:r>
          </w:p>
        </w:tc>
        <w:tc>
          <w:tcPr>
            <w:tcW w:type="dxa" w:w="2492"/>
          </w:tcPr>
          <w:p>
            <w:pPr>
              <w:pStyle w:val="null3"/>
            </w:pPr>
            <w:r>
              <w:rPr>
                <w:rFonts w:ascii="仿宋_GB2312" w:hAnsi="仿宋_GB2312" w:cs="仿宋_GB2312" w:eastAsia="仿宋_GB2312"/>
              </w:rPr>
              <w:t>承诺建立标准化售后工单台账，完整记录诉求时间、问题内容、处置人员、整改结果、甲方确认记录，服务资料统一归档留存备查，提供台账模板、档案管理制度得满分6分；无台账或台账内容不完整扣3分，无归档制度扣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1.服务质量目标承诺（3分）：供应商提供针对本项目的服务质量管控标准、质量目标、质量验收、整改保障等专项承诺，承诺完整并加盖公章得3分，未提供或不完整不得分。2. 服务进度目标承诺（3分）：供应商提供针对本项目的服务服务期限节点、进度管控、进度保障、逾期补救措施等专项承诺，承诺完整并加盖公章得3分，未提供或不完整不得分。 3. 服务安全目标承诺（2分）：投标人提供针对本项目的作业安全、人员安全、风险防控等专项承诺，承诺完整并加盖公章得2分，未提供或不完整不得分。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 2023 年 1 月 1 日至响应文件递交截止之日供应商完成的类似项目，每提供一份得2分，满分10分。 【注：以合同协议书关键页或中标通知书证明为准，提供扫描件并加盖鲜章。】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1.经资格审查、符合性审查合格的响应文件，其投标报价为有效投标报价，对符合政策性扣减的供应商的有效投标价格进行政策性扣减，并依据扣减后的价格（评审价格）进行价格评审。 2.满足磋商文件要求且投标报价最低的为评标基准价，其价格分为满分。 价格分按照下列公式计算：报价得分=（评标基准价/有效报价）×价格权重×100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详见附件：磋商方案.pdf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