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版本号：ZJDY-HZCG-2026-1420260830002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2026年南郑区田家营村店子组产业路建设项目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ZJDY-HZCG-2026-14</w:t>
      </w:r>
      <w:r>
        <w:br/>
      </w:r>
      <w:r>
        <w:br/>
      </w:r>
      <w:r>
        <w:br/>
      </w:r>
    </w:p>
    <w:p>
      <w:pPr>
        <w:pStyle w:val="null3"/>
        <w:jc w:val="center"/>
        <w:outlineLvl w:val="2"/>
      </w:pPr>
      <w:r>
        <w:rPr>
          <w:rFonts w:ascii="仿宋_GB2312" w:hAnsi="仿宋_GB2312" w:cs="仿宋_GB2312" w:eastAsia="仿宋_GB2312"/>
          <w:sz w:val="28"/>
          <w:b/>
        </w:rPr>
        <w:t>汉中市南郑区福成镇人民政府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汉中市南郑区福成镇人民政府</w:t>
      </w:r>
      <w:r>
        <w:rPr>
          <w:rFonts w:ascii="仿宋_GB2312" w:hAnsi="仿宋_GB2312" w:cs="仿宋_GB2312" w:eastAsia="仿宋_GB2312"/>
        </w:rPr>
        <w:t>委托，拟对</w:t>
      </w:r>
      <w:r>
        <w:rPr>
          <w:rFonts w:ascii="仿宋_GB2312" w:hAnsi="仿宋_GB2312" w:cs="仿宋_GB2312" w:eastAsia="仿宋_GB2312"/>
        </w:rPr>
        <w:t>2026年南郑区田家营村店子组产业路建设项目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2026年南郑区田家营村店子组产业路建设项目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2026年南郑区田家营村店子组产业路建设项目位于南郑区福成镇田家营村店子组，建设产业路4条全长2公里。路线1起点位于田家营村火石岩村道，终点接后河河岸，长1.153公里。路线2起点位于路线1K0+240处，终点接蒋家河机耕路，长0.180公里。路线3起点位于田家营村店子上村道，终点位于店子下人户，长0.382公里。路线4起点位于田家营村柏树坪村道，终点接机耕路，长0.285公里。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采购包1（2026年南郑区田家营村店子组产业路建设项目）：属于专门面向中小企业采购。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3、企业资质要求：供应商具有行政主管部门核发的公路工程施工总承包三级（含三级）及以上资质，且具有有效的安全生产许可证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4、项目负责人资格要求：拟派项目经理须具备公路工程专业二级（含二级）以上注册建造师资格和安全生产考核合格B证，且无在建项目（需提供无在建承诺书）</w:t>
      </w:r>
    </w:p>
    <w:p>
      <w:pPr>
        <w:pStyle w:val="null3"/>
      </w:pPr>
      <w:r>
        <w:rPr>
          <w:rFonts w:ascii="仿宋_GB2312" w:hAnsi="仿宋_GB2312" w:cs="仿宋_GB2312" w:eastAsia="仿宋_GB2312"/>
        </w:rPr>
        <w:t>5、汉中市政府采购供应商资格承诺函：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汉中市南郑区福成镇人民政府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南郑区福成镇程家坝村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17392015051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四川省成都市武侯区成都市武侯区佳灵路5号1栋11层1117号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18980735047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汉中市南郑区福成镇人民政府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汉中市南郑区福成镇人民政府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汉中市南郑区福成镇人民政府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联系人：邹丽</w:t>
      </w:r>
    </w:p>
    <w:p>
      <w:pPr>
        <w:pStyle w:val="null3"/>
      </w:pPr>
      <w:r>
        <w:rPr>
          <w:rFonts w:ascii="仿宋_GB2312" w:hAnsi="仿宋_GB2312" w:cs="仿宋_GB2312" w:eastAsia="仿宋_GB2312"/>
        </w:rPr>
        <w:t>联系电话：1357167736</w:t>
      </w:r>
    </w:p>
    <w:p>
      <w:pPr>
        <w:pStyle w:val="null3"/>
      </w:pPr>
      <w:r>
        <w:rPr>
          <w:rFonts w:ascii="仿宋_GB2312" w:hAnsi="仿宋_GB2312" w:cs="仿宋_GB2312" w:eastAsia="仿宋_GB2312"/>
        </w:rPr>
        <w:t>地址：汉台区东关街道办事处中饮国际办公中心8026室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1,195,887.00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2026年南郑区田家营村店子组产业路建设项目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标的名称：2026年南郑区田家营村店子组产业路建设项目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1.公路等级：四级公路 Ⅱ 类，路基宽度 4.5m，路面宽度 3.5m；</w:t>
            </w:r>
          </w:p>
          <w:p>
            <w:pPr>
              <w:pStyle w:val="null3"/>
            </w:pPr>
            <w:r>
              <w:rPr>
                <w:rFonts w:ascii="仿宋_GB2312" w:hAnsi="仿宋_GB2312" w:cs="仿宋_GB2312" w:eastAsia="仿宋_GB2312"/>
              </w:rPr>
              <w:t>2.路面结构：18cm 水泥混凝土面层（4.0MPa）；本次招标仅实施路面工程及部分交通安全设施；</w:t>
            </w:r>
          </w:p>
          <w:p>
            <w:pPr>
              <w:pStyle w:val="null3"/>
            </w:pPr>
            <w:r>
              <w:rPr>
                <w:rFonts w:ascii="仿宋_GB2312" w:hAnsi="仿宋_GB2312" w:cs="仿宋_GB2312" w:eastAsia="仿宋_GB2312"/>
              </w:rPr>
              <w:t>3.路拱横坡：行车道 1.5%，土路肩 3%；</w:t>
            </w:r>
          </w:p>
          <w:p>
            <w:pPr>
              <w:pStyle w:val="null3"/>
            </w:pPr>
            <w:r>
              <w:rPr>
                <w:rFonts w:ascii="仿宋_GB2312" w:hAnsi="仿宋_GB2312" w:cs="仿宋_GB2312" w:eastAsia="仿宋_GB2312"/>
              </w:rPr>
              <w:t>4.路基边坡：填方 1:1.5；挖方土方 1:0.5，石方 1:0.3；</w:t>
            </w:r>
          </w:p>
          <w:p>
            <w:pPr>
              <w:pStyle w:val="null3"/>
            </w:pPr>
            <w:r>
              <w:rPr>
                <w:rFonts w:ascii="仿宋_GB2312" w:hAnsi="仿宋_GB2312" w:cs="仿宋_GB2312" w:eastAsia="仿宋_GB2312"/>
              </w:rPr>
              <w:t>5.桥梁涵洞：共设计11道涵洞，其中新建圆管涵3道；</w:t>
            </w:r>
          </w:p>
          <w:p>
            <w:pPr>
              <w:pStyle w:val="null3"/>
            </w:pPr>
            <w:r>
              <w:rPr>
                <w:rFonts w:ascii="仿宋_GB2312" w:hAnsi="仿宋_GB2312" w:cs="仿宋_GB2312" w:eastAsia="仿宋_GB2312"/>
              </w:rPr>
              <w:t>6.路线总长：2 公里（4 条路线）；</w:t>
            </w:r>
          </w:p>
          <w:p>
            <w:pPr>
              <w:pStyle w:val="null3"/>
            </w:pPr>
            <w:r>
              <w:rPr>
                <w:rFonts w:ascii="仿宋_GB2312" w:hAnsi="仿宋_GB2312" w:cs="仿宋_GB2312" w:eastAsia="仿宋_GB2312"/>
              </w:rPr>
              <w:t>7.质量标准：合格，符合《公路工程质量检验评定标准》（JTG F80/1-2017）；</w:t>
            </w:r>
          </w:p>
          <w:p>
            <w:pPr>
              <w:pStyle w:val="null3"/>
            </w:pPr>
            <w:r>
              <w:rPr>
                <w:rFonts w:ascii="仿宋_GB2312" w:hAnsi="仿宋_GB2312" w:cs="仿宋_GB2312" w:eastAsia="仿宋_GB2312"/>
              </w:rPr>
              <w:t>8.工期：90日历天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⑴《公路交通安全设施设计规范》(JTG D81—2017)； ⑵《公路交通安全设施设计细则》(JTG/T D81—2017)； ⑶《公路交通安全设施施工技术规范》(JTG/T 3671—2021)； ⑷《道路交通标志和标线》(GB5768.2—2022)； ⑸《道路交通标志和标线》(GB5768.3—2009)； ⑹《公路交通标志和标线设置规范》(JTG D82—2009)； ⑺《路面标线涂料》（JT/T280-2022） ⑻《道路交通标志板及支撑件》（GB/T23827-2021）； ⑼《波形梁钢护栏》(GB/T 31439.1—2025)； ⑽《公路限速标志设计规范》(JTG/T 3381-02-2020)； ⑾其它的国家及交通部现行有关技术标准、设计规范、规程等；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本项目只实施路面工程及部分交通安全设施，不实施路面基层。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满足《中华人民共和国政府采购法》第二十二条规定</w:t>
            </w:r>
          </w:p>
        </w:tc>
        <w:tc>
          <w:tcPr>
            <w:tcW w:type="dxa" w:w="3322"/>
          </w:tcPr>
          <w:p>
            <w:pPr>
              <w:pStyle w:val="null3"/>
            </w:pPr>
            <w:r>
              <w:rPr>
                <w:rFonts w:ascii="仿宋_GB2312" w:hAnsi="仿宋_GB2312" w:cs="仿宋_GB2312" w:eastAsia="仿宋_GB2312"/>
              </w:rPr>
              <w:t>满足《中华人民共和国政府采购法》第二十二条规定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拟派项目经理须具备公路工程专业二级（含二级）以上注册建造师资格和安全生产考核合格B证，且无在建项目（需提供无在建承诺书）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一、评审内容：供应商针对本项目编制完善的总体施工方案，内容包含但不限于：①施工目标（量化质量、工期要求等）；②施工准备（人员、设备、材料配置等）；③施工平面布置与安排。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1.总体施工方案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一、评审内容：结合本项目的实际，供应商应依据国家相关规定对工程质量编制保修方案，内容包含：①保修责任；②保修承诺。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三、赋分标准：评审内容共两项，方案内容全面详细、步骤清晰合理、贴合本项目实际、全部满足采购要求得 4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2.保修方案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一、评审内容：针对本项目编制完善的施工进度计划，内容包含但不限于：①施工进度计划横道图；②进度计划保证措施；③工期保证措施。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3.施工进度计划</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4.质量保证措施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 完整性：方案须全面，对评审内容中的各项要求均有详细描述及说明； 2. 可实施性：切合本项目实际情况，实施步骤清晰、合理，可实施性强； 3. 针对性：方案能够紧扣项目实际情况，内容科学合理，针对性强。 三、赋分标准（满分 8 分） 评审内容共四项，方案内容全面详细、步骤清晰合理、贴合本项目实际、全部满足采购要求得 8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5安全施工措施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一、评审内容：供应商针对本项目编制完整的文明施工措施，内容包含但不限于：①文明施工管理目标及技术措施；②文明施工现场管理：材料管理、防扰民措施。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三、赋分标准：评审内容共两项，方案内容全面详细、步骤清晰合理、贴合本项目实际、全部满足采购要求得 4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6.文明施工措施</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一、评审内容：针对项目实施过程中可能出现的恶劣天气、自然灾害、公共活动等突发情况，编制应急保证措施，内容包含：①突发事件分类处置；②应急响应流程；③应急物资；④应急责任人。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三、赋分标准：评审内容共四项，方案内容全面详细、步骤清晰合理、贴合本项目实际、全部满足采购要求得 2 分。每缺失一项扣 0.5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7.针对突发事件应急保证措施</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8.分部分项工程施工方案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供应商针对本项目特点提供切实可行的：①施工安全承诺、②文明施工承诺、③施工质量保证承诺、④工期保证承诺、⑤拟派项目部管理人员施工期间不更换承诺，保证按时按质按量完成本项目。 赋分标准：每提供一项承诺得 1 分，满分 5 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9.施工承诺</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 赋分标准：满分5分，每有一处内容存在缺陷扣1分，扣完为止。 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10.拟投入项目机械设备及材料配备</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一、评审内容：供应商针对本项目配备齐全、满足施工要求的项目管理团队人员。 二、评分标准 1、岗位人员配置（满分6分） 供应商须配备项目总工、施工员、质量员、安全员、资料员、材料员。岗位配置完整齐全得6分，每缺少一个岗位扣1分，扣完为止。 所有岗位人员须同时提供身份证、学历证、有效岗位证书复印件（安全员须提供C类安全生产考核合格证书），资料缺一不可，缺任意一项资料本岗位不得分；所有复印件须加盖供应商公章。 2、项目经理业绩要求（满分2分） 供应商拟派项目经理，提供2023至今本人作为项经理工实施的公路工程类业绩；须同时提供中标通知书、施工合同复印件并加盖供应商公章。业绩材料中须能够体现该项目经理为项目经理，不能体现的视为无效业绩；无有效业绩不得分。 3、关键岗位人员不更换承诺（满分3分） 供应商提供施工期间不更换项目经理、项目总工书面承诺的，每承诺 1人得1.5分，满分3分。未提供承诺不得分。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11.项目经理部组织机构</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供应商提供2023年8月1日至今类似项目业绩（以签订日期为准），每出具一个得1分，满分5分。 评审依据：以供应商提供的中标通知书、协议书（合同）、交工或竣工验收资料的复印件（加盖供应商公章）为评审依据进行计分（合同须体现项目内容、签订时间及签字盖章页等关键页）。未提供不得分。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12.业绩要求</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1、上限为采购最高限价，即报价大于上限价视为无效标；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详见附件：1.总体施工方案</w:t>
      </w:r>
    </w:p>
    <w:p>
      <w:pPr>
        <w:pStyle w:val="null3"/>
        <w:ind w:firstLine="960"/>
      </w:pPr>
      <w:r>
        <w:rPr>
          <w:rFonts w:ascii="仿宋_GB2312" w:hAnsi="仿宋_GB2312" w:cs="仿宋_GB2312" w:eastAsia="仿宋_GB2312"/>
        </w:rPr>
        <w:t>详见附件：2.保修方案</w:t>
      </w:r>
    </w:p>
    <w:p>
      <w:pPr>
        <w:pStyle w:val="null3"/>
        <w:ind w:firstLine="960"/>
      </w:pPr>
      <w:r>
        <w:rPr>
          <w:rFonts w:ascii="仿宋_GB2312" w:hAnsi="仿宋_GB2312" w:cs="仿宋_GB2312" w:eastAsia="仿宋_GB2312"/>
        </w:rPr>
        <w:t>详见附件：3.施工进度计划</w:t>
      </w:r>
    </w:p>
    <w:p>
      <w:pPr>
        <w:pStyle w:val="null3"/>
        <w:ind w:firstLine="960"/>
      </w:pPr>
      <w:r>
        <w:rPr>
          <w:rFonts w:ascii="仿宋_GB2312" w:hAnsi="仿宋_GB2312" w:cs="仿宋_GB2312" w:eastAsia="仿宋_GB2312"/>
        </w:rPr>
        <w:t>详见附件：4.质量保证措施</w:t>
      </w:r>
    </w:p>
    <w:p>
      <w:pPr>
        <w:pStyle w:val="null3"/>
        <w:ind w:firstLine="960"/>
      </w:pPr>
      <w:r>
        <w:rPr>
          <w:rFonts w:ascii="仿宋_GB2312" w:hAnsi="仿宋_GB2312" w:cs="仿宋_GB2312" w:eastAsia="仿宋_GB2312"/>
        </w:rPr>
        <w:t>详见附件：5安全施工措施</w:t>
      </w:r>
    </w:p>
    <w:p>
      <w:pPr>
        <w:pStyle w:val="null3"/>
        <w:ind w:firstLine="960"/>
      </w:pPr>
      <w:r>
        <w:rPr>
          <w:rFonts w:ascii="仿宋_GB2312" w:hAnsi="仿宋_GB2312" w:cs="仿宋_GB2312" w:eastAsia="仿宋_GB2312"/>
        </w:rPr>
        <w:t>详见附件：6.文明施工措施</w:t>
      </w:r>
    </w:p>
    <w:p>
      <w:pPr>
        <w:pStyle w:val="null3"/>
        <w:ind w:firstLine="960"/>
      </w:pPr>
      <w:r>
        <w:rPr>
          <w:rFonts w:ascii="仿宋_GB2312" w:hAnsi="仿宋_GB2312" w:cs="仿宋_GB2312" w:eastAsia="仿宋_GB2312"/>
        </w:rPr>
        <w:t>详见附件：7.针对突发事件应急保证措施</w:t>
      </w:r>
    </w:p>
    <w:p>
      <w:pPr>
        <w:pStyle w:val="null3"/>
        <w:ind w:firstLine="960"/>
      </w:pPr>
      <w:r>
        <w:rPr>
          <w:rFonts w:ascii="仿宋_GB2312" w:hAnsi="仿宋_GB2312" w:cs="仿宋_GB2312" w:eastAsia="仿宋_GB2312"/>
        </w:rPr>
        <w:t>详见附件：8.分部分项工程施工方案</w:t>
      </w:r>
    </w:p>
    <w:p>
      <w:pPr>
        <w:pStyle w:val="null3"/>
        <w:ind w:firstLine="960"/>
      </w:pPr>
      <w:r>
        <w:rPr>
          <w:rFonts w:ascii="仿宋_GB2312" w:hAnsi="仿宋_GB2312" w:cs="仿宋_GB2312" w:eastAsia="仿宋_GB2312"/>
        </w:rPr>
        <w:t>详见附件：9.施工承诺</w:t>
      </w:r>
    </w:p>
    <w:p>
      <w:pPr>
        <w:pStyle w:val="null3"/>
        <w:ind w:firstLine="960"/>
      </w:pPr>
      <w:r>
        <w:rPr>
          <w:rFonts w:ascii="仿宋_GB2312" w:hAnsi="仿宋_GB2312" w:cs="仿宋_GB2312" w:eastAsia="仿宋_GB2312"/>
        </w:rPr>
        <w:t>详见附件：10.拟投入项目机械设备及材料配备</w:t>
      </w:r>
    </w:p>
    <w:p>
      <w:pPr>
        <w:pStyle w:val="null3"/>
        <w:ind w:firstLine="960"/>
      </w:pPr>
      <w:r>
        <w:rPr>
          <w:rFonts w:ascii="仿宋_GB2312" w:hAnsi="仿宋_GB2312" w:cs="仿宋_GB2312" w:eastAsia="仿宋_GB2312"/>
        </w:rPr>
        <w:t>详见附件：11.项目经理部组织机构</w:t>
      </w:r>
    </w:p>
    <w:p>
      <w:pPr>
        <w:pStyle w:val="null3"/>
        <w:ind w:firstLine="960"/>
      </w:pPr>
      <w:r>
        <w:rPr>
          <w:rFonts w:ascii="仿宋_GB2312" w:hAnsi="仿宋_GB2312" w:cs="仿宋_GB2312" w:eastAsia="仿宋_GB2312"/>
        </w:rPr>
        <w:t>详见附件：12.业绩要求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