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版本号：SXZTFY-2026-002720260820001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区域动态信息管控设备采购项目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SXZTFY-2026-0027</w:t>
      </w:r>
      <w:r>
        <w:br/>
      </w:r>
      <w:r>
        <w:br/>
      </w:r>
      <w:r>
        <w:br/>
      </w:r>
    </w:p>
    <w:p>
      <w:pPr>
        <w:pStyle w:val="null3"/>
        <w:jc w:val="center"/>
        <w:outlineLvl w:val="2"/>
      </w:pPr>
      <w:r>
        <w:rPr>
          <w:rFonts w:ascii="仿宋_GB2312" w:hAnsi="仿宋_GB2312" w:cs="仿宋_GB2312" w:eastAsia="仿宋_GB2312"/>
          <w:sz w:val="28"/>
          <w:b/>
        </w:rPr>
        <w:t>商洛市公安局商州分局</w:t>
      </w:r>
    </w:p>
    <w:p>
      <w:pPr>
        <w:pStyle w:val="null3"/>
        <w:jc w:val="center"/>
        <w:outlineLvl w:val="2"/>
      </w:pPr>
      <w:r>
        <w:rPr>
          <w:rFonts w:ascii="仿宋_GB2312" w:hAnsi="仿宋_GB2312" w:cs="仿宋_GB2312" w:eastAsia="仿宋_GB2312"/>
          <w:sz w:val="28"/>
          <w:b/>
        </w:rPr>
        <w:t>陕西众泰丰源工程项目管理有限公司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陕西众泰丰源工程项目管理有限公司</w:t>
      </w:r>
      <w:r>
        <w:rPr>
          <w:rFonts w:ascii="仿宋_GB2312" w:hAnsi="仿宋_GB2312" w:cs="仿宋_GB2312" w:eastAsia="仿宋_GB2312"/>
        </w:rPr>
        <w:t>（以下简称“代理机构”）受</w:t>
      </w:r>
      <w:r>
        <w:rPr>
          <w:rFonts w:ascii="仿宋_GB2312" w:hAnsi="仿宋_GB2312" w:cs="仿宋_GB2312" w:eastAsia="仿宋_GB2312"/>
        </w:rPr>
        <w:t>商洛市公安局商州分局</w:t>
      </w:r>
      <w:r>
        <w:rPr>
          <w:rFonts w:ascii="仿宋_GB2312" w:hAnsi="仿宋_GB2312" w:cs="仿宋_GB2312" w:eastAsia="仿宋_GB2312"/>
        </w:rPr>
        <w:t>委托，拟对</w:t>
      </w:r>
      <w:r>
        <w:rPr>
          <w:rFonts w:ascii="仿宋_GB2312" w:hAnsi="仿宋_GB2312" w:cs="仿宋_GB2312" w:eastAsia="仿宋_GB2312"/>
        </w:rPr>
        <w:t>区域动态信息管控设备采购项目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SXZTFY-2026-0027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区域动态信息管控设备采购项目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本项目采购一批警用无人机侦控设备。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采购包1（区域动态信息管控设备采购项目）：属于专门面向中小企业采购。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1、营业执照：具有独立承担民事责任的能力（法人单位提供有效的营业执照等证明文件，非法人单位参照执行，自然人提供身份证明）</w:t>
      </w:r>
    </w:p>
    <w:p>
      <w:pPr>
        <w:pStyle w:val="null3"/>
      </w:pPr>
      <w:r>
        <w:rPr>
          <w:rFonts w:ascii="仿宋_GB2312" w:hAnsi="仿宋_GB2312" w:cs="仿宋_GB2312" w:eastAsia="仿宋_GB2312"/>
        </w:rPr>
        <w:t>2、授权委托书：提供法定代表人身份证明及授权委托书（法定代表人参与投标的无须提供授权委托书）</w:t>
      </w:r>
    </w:p>
    <w:p>
      <w:pPr>
        <w:pStyle w:val="null3"/>
      </w:pPr>
      <w:r>
        <w:rPr>
          <w:rFonts w:ascii="仿宋_GB2312" w:hAnsi="仿宋_GB2312" w:cs="仿宋_GB2312" w:eastAsia="仿宋_GB2312"/>
        </w:rPr>
        <w:t>3、承诺函：具有履行合同所必需的设备和专业技术能力（提供承诺函）</w:t>
      </w:r>
    </w:p>
    <w:p>
      <w:pPr>
        <w:pStyle w:val="null3"/>
      </w:pPr>
      <w:r>
        <w:rPr>
          <w:rFonts w:ascii="仿宋_GB2312" w:hAnsi="仿宋_GB2312" w:cs="仿宋_GB2312" w:eastAsia="仿宋_GB2312"/>
        </w:rPr>
        <w:t>4、税收缴纳证明：投标人应提供至投标文件递交截止时间前近六个月至少一个月的纳税凭据或完税证明(任意税种)，依法免税的应提供相关证明材料</w:t>
      </w:r>
    </w:p>
    <w:p>
      <w:pPr>
        <w:pStyle w:val="null3"/>
      </w:pPr>
      <w:r>
        <w:rPr>
          <w:rFonts w:ascii="仿宋_GB2312" w:hAnsi="仿宋_GB2312" w:cs="仿宋_GB2312" w:eastAsia="仿宋_GB2312"/>
        </w:rPr>
        <w:t>5、社会保障资金缴纳证明：投标人应提供至投标文件递交截止时间前近六个月至少一个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6、财务状况证明：提供具有财务审计资质单位出具的2025年度的财务报告(成立时间至开标时间不足一年的可提供成立后任意时段的资产负债表)或开标前六个月内其基本账户银行出具的资信证明(附开户许可证或开户备案证明);</w:t>
      </w:r>
    </w:p>
    <w:p>
      <w:pPr>
        <w:pStyle w:val="null3"/>
      </w:pPr>
      <w:r>
        <w:rPr>
          <w:rFonts w:ascii="仿宋_GB2312" w:hAnsi="仿宋_GB2312" w:cs="仿宋_GB2312" w:eastAsia="仿宋_GB2312"/>
        </w:rPr>
        <w:t>7、信誉情况：投标人不得为"信用中国”网站(www.creditchina.gov.cn)中列入"失信被执行人(中国执行信息公开网http://zxgk.court.gov.cn/shixin)"和"重大税收违法失信主体”的投标人，不得为中国政府采购网(ww.Ccgp.gov.cn)政府采购"严重违法失信行为记录名单"中被财政部门禁止参加政府采购活动的投标人</w:t>
      </w:r>
    </w:p>
    <w:p>
      <w:pPr>
        <w:pStyle w:val="null3"/>
      </w:pPr>
      <w:r>
        <w:rPr>
          <w:rFonts w:ascii="仿宋_GB2312" w:hAnsi="仿宋_GB2312" w:cs="仿宋_GB2312" w:eastAsia="仿宋_GB2312"/>
        </w:rPr>
        <w:t>8、书面申明：参加本次政府采购活动前三年内在经营活动中没有重大违法记录的书面声明</w:t>
      </w:r>
    </w:p>
    <w:p>
      <w:pPr>
        <w:pStyle w:val="null3"/>
      </w:pPr>
      <w:r>
        <w:rPr>
          <w:rFonts w:ascii="仿宋_GB2312" w:hAnsi="仿宋_GB2312" w:cs="仿宋_GB2312" w:eastAsia="仿宋_GB2312"/>
        </w:rPr>
        <w:t>9、联合体：本项目不接受联合体投标。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商洛市公安局商州分局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商洛市商州区江滨路东段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商洛市公安局商州分局经办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0914-2386151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陕西众泰丰源工程项目管理有限公司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陕西省商洛市商州区陕西省商洛市商州区城关街道办事处四皓社区民和路设计院16楼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吴胶胶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17791182771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开户名称：陕西众泰丰源工程项目管理有限公司</w:t>
            </w:r>
          </w:p>
          <w:p>
            <w:pPr>
              <w:pStyle w:val="null3"/>
            </w:pPr>
            <w:r>
              <w:rPr>
                <w:rFonts w:ascii="仿宋_GB2312" w:hAnsi="仿宋_GB2312" w:cs="仿宋_GB2312" w:eastAsia="仿宋_GB2312"/>
              </w:rPr>
              <w:t>开户银行：中国建设银行股份有限公司商洛分行</w:t>
            </w:r>
          </w:p>
          <w:p>
            <w:pPr>
              <w:pStyle w:val="null3"/>
            </w:pPr>
            <w:r>
              <w:rPr>
                <w:rFonts w:ascii="仿宋_GB2312" w:hAnsi="仿宋_GB2312" w:cs="仿宋_GB2312" w:eastAsia="仿宋_GB2312"/>
              </w:rPr>
              <w:t>银行账号：6105 0167 0014 0000 1376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代理服务费收费标准：代理服务费收费标准：招标代理报酬按照国家计委颁发的《招标代理服务收费管理暂行办法》(计价格〔2002〕1980号)和国家发改委(发改价格〔2011〕534号)文件执行。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商洛市公安局商州分局</w:t>
      </w:r>
      <w:r>
        <w:rPr>
          <w:rFonts w:ascii="仿宋_GB2312" w:hAnsi="仿宋_GB2312" w:cs="仿宋_GB2312" w:eastAsia="仿宋_GB2312"/>
        </w:rPr>
        <w:t>和</w:t>
      </w:r>
      <w:r>
        <w:rPr>
          <w:rFonts w:ascii="仿宋_GB2312" w:hAnsi="仿宋_GB2312" w:cs="仿宋_GB2312" w:eastAsia="仿宋_GB2312"/>
        </w:rPr>
        <w:t>陕西众泰丰源工程项目管理有限公司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商洛市公安局商州分局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陕西众泰丰源工程项目管理有限公司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商洛市公安局商州分局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陕西众泰丰源工程项目管理有限公司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为保障政府采购电子化交易平台项目实施，供应商需要在线提交所有通过电子化交易平台实施的政府采购项目的投标文件，成交供应商在中标(成交)结果公示期结束后须向代理机构(陕西省商洛市商州区城关街道办事处通江路九号（青花汾酒）三楼)提交纸质版响应文件正本1套、副本2套、电子版1份。纸质响应文件应与电子响应文件保持一致。3.采购文件所列标准与国家现行标准不一致时，以国家现行标准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1.货物验收由甲方组织，乙方配合，并按下列程序进行： （1）交货验收时，乙方须提供质检部门产品抽样检查合格的检测报告（或生产厂家自检报告）及所提供货物（产品）的合格证、装箱清单、配件、随机工具、用户使用手册（产品使用说明书）、保修卡等资料交付给甲方； （2）货物到达后，按合同要求的货物清单和装箱单逐一核对，同时检查货物外观，是否有划痕或破损的，并做好相应记录； （3）达到正常使用条件后 30 日内完成最终验收； （4）验收合格，双方签署验收报告。 2.货物验收依据： （1）招标文件； （2）响应文件； （3）采购合同及补充协议； （4）质检部门抽样检查货物（产品）合格的检测报告。 3.货物验收时发现问题的处理办法： （1）乙方提供不符合文件和合同规定的货物（产品），甲方有权拒绝接受；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（3）如货物经乙方 3 次更换仍不能达到合同约定的质量标准，甲方有权视作乙方不能交付货物，无履约能力，乙方须支付违约赔偿金给甲方，甲方还可依法追究乙方的违约责任； （4）货物交货完成后 60 日内，甲方无故不进行验收工作并已使用货物的，视同已验收合格； （5）乙方不能完整交付货物及规定的单证和工具的，必须负责补齐，否则视为未按合同约定交货。 4.项目验收要求： 验收由采购人负责组织，验收标准须以合同、国家相应的标准、规范等为依据。乙方提供的全部产品到位后，在达到使用条件时，由乙方提交验收申请，甲方同意后，由甲方组织乙方和有关部门组成验收小组对产品进行验收;验收合格的，甲乙双方交接验收相关资料，并填制采购项目验收报告单，验收人员共同签字后生效。</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陕西众泰丰源工程项目管理有限公司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联系人：吴娇</w:t>
      </w:r>
    </w:p>
    <w:p>
      <w:pPr>
        <w:pStyle w:val="null3"/>
      </w:pPr>
      <w:r>
        <w:rPr>
          <w:rFonts w:ascii="仿宋_GB2312" w:hAnsi="仿宋_GB2312" w:cs="仿宋_GB2312" w:eastAsia="仿宋_GB2312"/>
        </w:rPr>
        <w:t>联系电话：17791182771</w:t>
      </w:r>
    </w:p>
    <w:p>
      <w:pPr>
        <w:pStyle w:val="null3"/>
      </w:pPr>
      <w:r>
        <w:rPr>
          <w:rFonts w:ascii="仿宋_GB2312" w:hAnsi="仿宋_GB2312" w:cs="仿宋_GB2312" w:eastAsia="仿宋_GB2312"/>
        </w:rPr>
        <w:t>地址：商洛市商州区城关街道办事处通江路九号（青花汾酒）三楼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本项目采购一批警用无人机侦控设备。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478,000.00</w:t>
      </w:r>
    </w:p>
    <w:p>
      <w:pPr>
        <w:pStyle w:val="null3"/>
      </w:pPr>
      <w:r>
        <w:rPr>
          <w:rFonts w:ascii="仿宋_GB2312" w:hAnsi="仿宋_GB2312" w:cs="仿宋_GB2312" w:eastAsia="仿宋_GB2312"/>
        </w:rPr>
        <w:t>采购包最高限价（元）: 478,000.00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无人机侦控设备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标的名称：无人机侦控设备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266"/>
              <w:gridCol w:w="555"/>
              <w:gridCol w:w="2233"/>
              <w:gridCol w:w="381"/>
              <w:gridCol w:w="381"/>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5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2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技术规格</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3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区域动态信息管控设备（核心产品）</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1：无源探测功能：无源探测，在探测状态下，不主动发射无线信号。</w:t>
                  </w:r>
                  <w:r>
                    <w:br/>
                  </w:r>
                  <w:r>
                    <w:rPr>
                      <w:rFonts w:ascii="仿宋_GB2312" w:hAnsi="仿宋_GB2312" w:cs="仿宋_GB2312" w:eastAsia="仿宋_GB2312"/>
                      <w:sz w:val="22"/>
                      <w:color w:val="000000"/>
                    </w:rPr>
                    <w:t>▲2：探测频段：能探测到频率范围为10MHz～8GHz内的无线电信号。（提供公安部检验检测中心出具的检测报告佐证技术指标）</w:t>
                  </w:r>
                  <w:r>
                    <w:br/>
                  </w:r>
                  <w:r>
                    <w:rPr>
                      <w:rFonts w:ascii="仿宋_GB2312" w:hAnsi="仿宋_GB2312" w:cs="仿宋_GB2312" w:eastAsia="仿宋_GB2312"/>
                      <w:sz w:val="22"/>
                      <w:color w:val="000000"/>
                    </w:rPr>
                    <w:t>▲3：重点探测频段：能自定义设置重点探测频段，可探测识别重点频段为330MHz、400MHz、410MHz～460MHz、760MHz、800MHz、820MHz～928MHz、933MHz、1.1GHz～1.3GHz、1.4GHz、1550MHz～1640MHz、1.8GHz、2.1GHz、2.3GHz、2.4GHz～2.5GHz、3.2GHz、3.3GHz、3.5GHz、3.8GHz、4.2GHz、4.7GHz、4.9GHz、5.1GHz～5.9GHz等范围内的无人机信号，可设置数量≥15个。（提供公安部检验检测中心出具的检测报告佐证技术指标）</w:t>
                  </w:r>
                  <w:r>
                    <w:br/>
                  </w:r>
                  <w:r>
                    <w:rPr>
                      <w:rFonts w:ascii="仿宋_GB2312" w:hAnsi="仿宋_GB2312" w:cs="仿宋_GB2312" w:eastAsia="仿宋_GB2312"/>
                      <w:sz w:val="22"/>
                      <w:color w:val="000000"/>
                    </w:rPr>
                    <w:t>4：探测灵敏度：≤-115dBm。</w:t>
                  </w:r>
                  <w:r>
                    <w:br/>
                  </w:r>
                  <w:r>
                    <w:rPr>
                      <w:rFonts w:ascii="仿宋_GB2312" w:hAnsi="仿宋_GB2312" w:cs="仿宋_GB2312" w:eastAsia="仿宋_GB2312"/>
                      <w:sz w:val="22"/>
                      <w:color w:val="000000"/>
                    </w:rPr>
                    <w:t>5：探测信号最大瞬时带宽：≥35MHz。</w:t>
                  </w:r>
                  <w:r>
                    <w:br/>
                  </w:r>
                  <w:r>
                    <w:rPr>
                      <w:rFonts w:ascii="仿宋_GB2312" w:hAnsi="仿宋_GB2312" w:cs="仿宋_GB2312" w:eastAsia="仿宋_GB2312"/>
                      <w:sz w:val="22"/>
                      <w:color w:val="000000"/>
                    </w:rPr>
                    <w:t>6：探测定位距离：≥13km（空旷环境下）：≥5km（典型城市环境下）。</w:t>
                  </w:r>
                  <w:r>
                    <w:br/>
                  </w:r>
                  <w:r>
                    <w:rPr>
                      <w:rFonts w:ascii="仿宋_GB2312" w:hAnsi="仿宋_GB2312" w:cs="仿宋_GB2312" w:eastAsia="仿宋_GB2312"/>
                      <w:sz w:val="22"/>
                      <w:color w:val="000000"/>
                    </w:rPr>
                    <w:t>7：探测高度：0～1500m。</w:t>
                  </w:r>
                  <w:r>
                    <w:br/>
                  </w:r>
                  <w:r>
                    <w:rPr>
                      <w:rFonts w:ascii="仿宋_GB2312" w:hAnsi="仿宋_GB2312" w:cs="仿宋_GB2312" w:eastAsia="仿宋_GB2312"/>
                      <w:sz w:val="22"/>
                      <w:color w:val="000000"/>
                    </w:rPr>
                    <w:t>8：定位能力功能：单台设备能对微型、轻型无人机进行定位，并能在定位列表显示无人机的工作频率、品牌型号、电子指纹ID、发现时间、方位角、无人机相对设备距离、无人机经纬度、飞行高度、飞行速度、遥控器（飞手）经纬度、遥控器相对设备距离等信息，并能在电子地图上显示无人机位置图标、遥控器（飞手）位置图标、无人机飞行轨迹。</w:t>
                  </w:r>
                  <w:r>
                    <w:br/>
                  </w:r>
                  <w:r>
                    <w:rPr>
                      <w:rFonts w:ascii="仿宋_GB2312" w:hAnsi="仿宋_GB2312" w:cs="仿宋_GB2312" w:eastAsia="仿宋_GB2312"/>
                      <w:sz w:val="22"/>
                      <w:color w:val="000000"/>
                    </w:rPr>
                    <w:t>9：多目标定位功能：能同时定位无人机及遥控器（飞手）的数量≥20架。</w:t>
                  </w:r>
                  <w:r>
                    <w:br/>
                  </w:r>
                  <w:r>
                    <w:rPr>
                      <w:rFonts w:ascii="仿宋_GB2312" w:hAnsi="仿宋_GB2312" w:cs="仿宋_GB2312" w:eastAsia="仿宋_GB2312"/>
                      <w:sz w:val="22"/>
                      <w:color w:val="000000"/>
                    </w:rPr>
                    <w:t>能同时显示无人机轨迹数量</w:t>
                  </w:r>
                  <w:r>
                    <w:rPr>
                      <w:rFonts w:ascii="仿宋_GB2312" w:hAnsi="仿宋_GB2312" w:cs="仿宋_GB2312" w:eastAsia="仿宋_GB2312"/>
                      <w:sz w:val="22"/>
                      <w:color w:val="000000"/>
                    </w:rPr>
                    <w:t>≥20条。</w:t>
                  </w:r>
                  <w:r>
                    <w:br/>
                  </w:r>
                  <w:r>
                    <w:rPr>
                      <w:rFonts w:ascii="仿宋_GB2312" w:hAnsi="仿宋_GB2312" w:cs="仿宋_GB2312" w:eastAsia="仿宋_GB2312"/>
                      <w:sz w:val="22"/>
                      <w:color w:val="000000"/>
                    </w:rPr>
                    <w:t>10：定位精度：</w:t>
                  </w:r>
                  <w:r>
                    <w:br/>
                  </w:r>
                  <w:r>
                    <w:rPr>
                      <w:rFonts w:ascii="仿宋_GB2312" w:hAnsi="仿宋_GB2312" w:cs="仿宋_GB2312" w:eastAsia="仿宋_GB2312"/>
                      <w:sz w:val="22"/>
                      <w:color w:val="000000"/>
                    </w:rPr>
                    <w:t>协议破解模式下，探测设备能定位并实时显示作用范围内的无人机经纬度坐标，探测到的经纬度坐标与无人机实际经纬度坐标间的距离误差</w:t>
                  </w:r>
                  <w:r>
                    <w:rPr>
                      <w:rFonts w:ascii="仿宋_GB2312" w:hAnsi="仿宋_GB2312" w:cs="仿宋_GB2312" w:eastAsia="仿宋_GB2312"/>
                      <w:sz w:val="22"/>
                      <w:color w:val="000000"/>
                    </w:rPr>
                    <w:t>≤1m。</w:t>
                  </w:r>
                  <w:r>
                    <w:br/>
                  </w:r>
                  <w:r>
                    <w:rPr>
                      <w:rFonts w:ascii="仿宋_GB2312" w:hAnsi="仿宋_GB2312" w:cs="仿宋_GB2312" w:eastAsia="仿宋_GB2312"/>
                      <w:sz w:val="22"/>
                      <w:color w:val="000000"/>
                    </w:rPr>
                    <w:t>协议破解模式下，探测设备能定位并实时显示作用范围内的遥控器（飞手）经纬度坐标，探测到的经纬度坐标与遥控器（飞手）实际经纬度坐标间的距离误差</w:t>
                  </w:r>
                  <w:r>
                    <w:rPr>
                      <w:rFonts w:ascii="仿宋_GB2312" w:hAnsi="仿宋_GB2312" w:cs="仿宋_GB2312" w:eastAsia="仿宋_GB2312"/>
                      <w:sz w:val="22"/>
                      <w:color w:val="000000"/>
                    </w:rPr>
                    <w:t>≤3m。</w:t>
                  </w:r>
                  <w:r>
                    <w:br/>
                  </w:r>
                  <w:r>
                    <w:rPr>
                      <w:rFonts w:ascii="仿宋_GB2312" w:hAnsi="仿宋_GB2312" w:cs="仿宋_GB2312" w:eastAsia="仿宋_GB2312"/>
                      <w:sz w:val="22"/>
                      <w:color w:val="000000"/>
                    </w:rPr>
                    <w:t>协议破解模式下，探测设备能实时定位并显示目标无人机的高度信息，探测到的高度数据与无人机实际飞行高度间的误差</w:t>
                  </w:r>
                  <w:r>
                    <w:rPr>
                      <w:rFonts w:ascii="仿宋_GB2312" w:hAnsi="仿宋_GB2312" w:cs="仿宋_GB2312" w:eastAsia="仿宋_GB2312"/>
                      <w:sz w:val="22"/>
                      <w:color w:val="000000"/>
                    </w:rPr>
                    <w:t>≤1m。</w:t>
                  </w:r>
                  <w:r>
                    <w:br/>
                  </w:r>
                  <w:r>
                    <w:rPr>
                      <w:rFonts w:ascii="仿宋_GB2312" w:hAnsi="仿宋_GB2312" w:cs="仿宋_GB2312" w:eastAsia="仿宋_GB2312"/>
                      <w:sz w:val="22"/>
                      <w:color w:val="000000"/>
                    </w:rPr>
                    <w:t>11：无人机飞行速度误差：协议破解模式下，探测设备应能实时定位并显示目标无人机的速度信息，探测到的速度数据与无人机实际飞行速度间的误差≤0.5m/s。</w:t>
                  </w:r>
                  <w:r>
                    <w:br/>
                  </w:r>
                  <w:r>
                    <w:rPr>
                      <w:rFonts w:ascii="仿宋_GB2312" w:hAnsi="仿宋_GB2312" w:cs="仿宋_GB2312" w:eastAsia="仿宋_GB2312"/>
                      <w:sz w:val="22"/>
                      <w:color w:val="000000"/>
                    </w:rPr>
                    <w:t>12：多目标探测功能：能同时探测的无人机数量≥30架（其中非大疆品牌无人机数量≥15架）。</w:t>
                  </w:r>
                  <w:r>
                    <w:br/>
                  </w:r>
                  <w:r>
                    <w:rPr>
                      <w:rFonts w:ascii="仿宋_GB2312" w:hAnsi="仿宋_GB2312" w:cs="仿宋_GB2312" w:eastAsia="仿宋_GB2312"/>
                      <w:sz w:val="22"/>
                      <w:color w:val="000000"/>
                    </w:rPr>
                    <w:t>13：远程识别结果显示功能：针对具有远程识别功能的RID无人机，能显示该无人机的远程识别广播信息，包括无人机SN码、经纬度、飞行高度、工作频率、遥控器（飞手）经纬度等，并能在电子地图上实时显示当前无人机和遥控器（飞手）的图标及飞行轨迹。</w:t>
                  </w:r>
                  <w:r>
                    <w:br/>
                  </w:r>
                  <w:r>
                    <w:rPr>
                      <w:rFonts w:ascii="仿宋_GB2312" w:hAnsi="仿宋_GB2312" w:cs="仿宋_GB2312" w:eastAsia="仿宋_GB2312"/>
                      <w:sz w:val="22"/>
                      <w:color w:val="000000"/>
                    </w:rPr>
                    <w:t>▲14：DIY图传探测功能：可探测433MHz、800MHz、872MHz、1.1GHz、1.2MHz、1.3GHz、2.4GHz、5.2GHz、5.8GHz、5.9GHz等图传/数传类自制穿越机，可显示穿越机工作频率、探测时间等信息。（提供公安部检验检测中心出具的检测报告佐证技术指标）</w:t>
                  </w:r>
                  <w:r>
                    <w:br/>
                  </w:r>
                  <w:r>
                    <w:rPr>
                      <w:rFonts w:ascii="仿宋_GB2312" w:hAnsi="仿宋_GB2312" w:cs="仿宋_GB2312" w:eastAsia="仿宋_GB2312"/>
                      <w:sz w:val="22"/>
                      <w:color w:val="000000"/>
                    </w:rPr>
                    <w:t>15：精准识别功能：在探测范围内，应能探测识别并区分多架次同品牌、同机型（型号）、同频段的不同架次无人机，并能分别显示每架次无人机的SN码。</w:t>
                  </w:r>
                  <w:r>
                    <w:br/>
                  </w:r>
                  <w:r>
                    <w:rPr>
                      <w:rFonts w:ascii="仿宋_GB2312" w:hAnsi="仿宋_GB2312" w:cs="仿宋_GB2312" w:eastAsia="仿宋_GB2312"/>
                      <w:sz w:val="22"/>
                      <w:color w:val="000000"/>
                    </w:rPr>
                    <w:t>16：跳频跟踪功能：目标无人机改变工作频段后，探测设备应能自动跟踪、并识别为同一架次无人机，并在电子地图上显示为同一条轨迹，并能同时跟踪跳频无人机目标的数量≥20架。</w:t>
                  </w:r>
                  <w:r>
                    <w:br/>
                  </w:r>
                  <w:r>
                    <w:rPr>
                      <w:rFonts w:ascii="仿宋_GB2312" w:hAnsi="仿宋_GB2312" w:cs="仿宋_GB2312" w:eastAsia="仿宋_GB2312"/>
                      <w:sz w:val="22"/>
                      <w:color w:val="000000"/>
                    </w:rPr>
                    <w:t>17：唯一身份识别功能：具备无人机唯一识别能力，可通过协议解析获取无人机唯一产品识别码，实现对目标无人机的识别与跟踪。</w:t>
                  </w:r>
                  <w:r>
                    <w:br/>
                  </w:r>
                  <w:r>
                    <w:rPr>
                      <w:rFonts w:ascii="仿宋_GB2312" w:hAnsi="仿宋_GB2312" w:cs="仿宋_GB2312" w:eastAsia="仿宋_GB2312"/>
                      <w:sz w:val="22"/>
                      <w:color w:val="000000"/>
                    </w:rPr>
                    <w:t>▲18：探测机型库清单：能提供探测机型库清单，机型库清单内的型号数量≥1000（其中无人机品牌数量≥190种）。（提供公安部检验检测中心出具的检测报告佐证技术指标）</w:t>
                  </w:r>
                  <w:r>
                    <w:br/>
                  </w:r>
                  <w:r>
                    <w:rPr>
                      <w:rFonts w:ascii="仿宋_GB2312" w:hAnsi="仿宋_GB2312" w:cs="仿宋_GB2312" w:eastAsia="仿宋_GB2312"/>
                      <w:sz w:val="22"/>
                      <w:color w:val="000000"/>
                    </w:rPr>
                    <w:t>19：测向距离：≥2km（空旷环境下）。</w:t>
                  </w:r>
                  <w:r>
                    <w:br/>
                  </w:r>
                  <w:r>
                    <w:rPr>
                      <w:rFonts w:ascii="仿宋_GB2312" w:hAnsi="仿宋_GB2312" w:cs="仿宋_GB2312" w:eastAsia="仿宋_GB2312"/>
                      <w:sz w:val="22"/>
                      <w:color w:val="000000"/>
                    </w:rPr>
                    <w:t>20：测向精度：协议破解模式下，探测设备能对定位到的无人机进行测向，测向误差≤1°。</w:t>
                  </w:r>
                  <w:r>
                    <w:br/>
                  </w:r>
                  <w:r>
                    <w:rPr>
                      <w:rFonts w:ascii="仿宋_GB2312" w:hAnsi="仿宋_GB2312" w:cs="仿宋_GB2312" w:eastAsia="仿宋_GB2312"/>
                      <w:sz w:val="22"/>
                      <w:color w:val="000000"/>
                    </w:rPr>
                    <w:t>21：无人机位置引导功能：系统管理平台应能实时显示所探测到无人机及遥控器（飞手）的经纬度信息，并支持生成对应位置二维码：使用移动终端扫描该二维码，可自动跳转至第三方地图应用并显示目标位置。</w:t>
                  </w:r>
                  <w:r>
                    <w:br/>
                  </w:r>
                  <w:r>
                    <w:rPr>
                      <w:rFonts w:ascii="仿宋_GB2312" w:hAnsi="仿宋_GB2312" w:cs="仿宋_GB2312" w:eastAsia="仿宋_GB2312"/>
                      <w:sz w:val="22"/>
                      <w:color w:val="000000"/>
                    </w:rPr>
                    <w:t>22：反制模式：具有无线电宽频压制干扰和无线电信号精准干扰两种工作模式，支持手动切换工作模式。</w:t>
                  </w:r>
                  <w:r>
                    <w:br/>
                  </w:r>
                  <w:r>
                    <w:rPr>
                      <w:rFonts w:ascii="仿宋_GB2312" w:hAnsi="仿宋_GB2312" w:cs="仿宋_GB2312" w:eastAsia="仿宋_GB2312"/>
                      <w:sz w:val="22"/>
                      <w:color w:val="000000"/>
                    </w:rPr>
                    <w:t>23：干扰频段：915MHz、2.4GHz、5.2GHz、5.8GHz。</w:t>
                  </w:r>
                  <w:r>
                    <w:br/>
                  </w:r>
                  <w:r>
                    <w:rPr>
                      <w:rFonts w:ascii="仿宋_GB2312" w:hAnsi="仿宋_GB2312" w:cs="仿宋_GB2312" w:eastAsia="仿宋_GB2312"/>
                      <w:sz w:val="22"/>
                      <w:color w:val="000000"/>
                    </w:rPr>
                    <w:t>▲24：发射带宽：干扰信号发射带宽为固定带宽模式，设备工作带宽指标满足：最大发射带宽≥170MHz，最小发射带宽≤5MHz。（提供公安部检验检测中心出具的检测报告佐证技术指标）</w:t>
                  </w:r>
                  <w:r>
                    <w:br/>
                  </w:r>
                  <w:r>
                    <w:rPr>
                      <w:rFonts w:ascii="仿宋_GB2312" w:hAnsi="仿宋_GB2312" w:cs="仿宋_GB2312" w:eastAsia="仿宋_GB2312"/>
                      <w:sz w:val="22"/>
                      <w:color w:val="000000"/>
                    </w:rPr>
                    <w:t>25：杂散信号：当设备开启2.4GHz、5.2GHz、5.8GHz 干扰频段时，不产生1090MHz、1.2GHz、1.5GHz的杂散信号。</w:t>
                  </w:r>
                  <w:r>
                    <w:br/>
                  </w:r>
                  <w:r>
                    <w:rPr>
                      <w:rFonts w:ascii="仿宋_GB2312" w:hAnsi="仿宋_GB2312" w:cs="仿宋_GB2312" w:eastAsia="仿宋_GB2312"/>
                      <w:sz w:val="22"/>
                      <w:color w:val="000000"/>
                    </w:rPr>
                    <w:t>▲26：干扰发射防误触机制：具备对干扰频段为915MHz的发射启动按键防误触安全机制，触发时系统自动弹出确认窗口，要求用户进行二次确认并输入操作密码，经校验通过后方可开启干扰信号执行反制打击。（提供公安部检验检测中心出具的检测报告佐证技术指标）</w:t>
                  </w:r>
                  <w:r>
                    <w:br/>
                  </w:r>
                  <w:r>
                    <w:rPr>
                      <w:rFonts w:ascii="仿宋_GB2312" w:hAnsi="仿宋_GB2312" w:cs="仿宋_GB2312" w:eastAsia="仿宋_GB2312"/>
                      <w:sz w:val="22"/>
                      <w:color w:val="000000"/>
                    </w:rPr>
                    <w:t>27：干扰距离：≥2.5km（空旷环境下）。</w:t>
                  </w:r>
                  <w:r>
                    <w:br/>
                  </w:r>
                  <w:r>
                    <w:rPr>
                      <w:rFonts w:ascii="仿宋_GB2312" w:hAnsi="仿宋_GB2312" w:cs="仿宋_GB2312" w:eastAsia="仿宋_GB2312"/>
                      <w:sz w:val="22"/>
                      <w:color w:val="000000"/>
                    </w:rPr>
                    <w:t>28：干扰角度：水平方向：360°。</w:t>
                  </w:r>
                  <w:r>
                    <w:br/>
                  </w:r>
                  <w:r>
                    <w:rPr>
                      <w:rFonts w:ascii="仿宋_GB2312" w:hAnsi="仿宋_GB2312" w:cs="仿宋_GB2312" w:eastAsia="仿宋_GB2312"/>
                      <w:sz w:val="22"/>
                      <w:color w:val="000000"/>
                    </w:rPr>
                    <w:t>29：干通比：≥25:1。</w:t>
                  </w:r>
                  <w:r>
                    <w:br/>
                  </w:r>
                  <w:r>
                    <w:rPr>
                      <w:rFonts w:ascii="仿宋_GB2312" w:hAnsi="仿宋_GB2312" w:cs="仿宋_GB2312" w:eastAsia="仿宋_GB2312"/>
                      <w:sz w:val="22"/>
                      <w:color w:val="000000"/>
                    </w:rPr>
                    <w:t>30：同时干扰无人机数量：能同时干扰的无人机数量≥25架。</w:t>
                  </w:r>
                  <w:r>
                    <w:br/>
                  </w:r>
                  <w:r>
                    <w:rPr>
                      <w:rFonts w:ascii="仿宋_GB2312" w:hAnsi="仿宋_GB2312" w:cs="仿宋_GB2312" w:eastAsia="仿宋_GB2312"/>
                      <w:sz w:val="22"/>
                      <w:color w:val="000000"/>
                    </w:rPr>
                    <w:t>▲31：精准打击功能：能对指定品牌无人机实施精准打击，且对周边其他无人机的飞行不造成干扰。（提供公安部检验检测中心出具的检测报告佐证技术指标）</w:t>
                  </w:r>
                  <w:r>
                    <w:br/>
                  </w:r>
                  <w:r>
                    <w:rPr>
                      <w:rFonts w:ascii="仿宋_GB2312" w:hAnsi="仿宋_GB2312" w:cs="仿宋_GB2312" w:eastAsia="仿宋_GB2312"/>
                      <w:sz w:val="22"/>
                      <w:color w:val="000000"/>
                    </w:rPr>
                    <w:t>对非白名单内的无人机进行精准打击时，应不影响白名单无人机正常飞行。</w:t>
                  </w:r>
                  <w:r>
                    <w:br/>
                  </w:r>
                  <w:r>
                    <w:rPr>
                      <w:rFonts w:ascii="仿宋_GB2312" w:hAnsi="仿宋_GB2312" w:cs="仿宋_GB2312" w:eastAsia="仿宋_GB2312"/>
                      <w:sz w:val="22"/>
                      <w:color w:val="000000"/>
                    </w:rPr>
                    <w:t>能在多架同一品牌、同一工作频段、同一方位的无人机目标中，精准打击指定无人机，且不影响其它无人机正常飞行。</w:t>
                  </w:r>
                  <w:r>
                    <w:br/>
                  </w:r>
                  <w:r>
                    <w:rPr>
                      <w:rFonts w:ascii="仿宋_GB2312" w:hAnsi="仿宋_GB2312" w:cs="仿宋_GB2312" w:eastAsia="仿宋_GB2312"/>
                      <w:sz w:val="22"/>
                      <w:color w:val="000000"/>
                    </w:rPr>
                    <w:t>能在多架同一品牌型号、同一方位的自动跳频无人机目标中，对指定无人机进行干扰，应不影响其他无人机的遥控及图传信号。</w:t>
                  </w:r>
                  <w:r>
                    <w:br/>
                  </w:r>
                  <w:r>
                    <w:rPr>
                      <w:rFonts w:ascii="仿宋_GB2312" w:hAnsi="仿宋_GB2312" w:cs="仿宋_GB2312" w:eastAsia="仿宋_GB2312"/>
                      <w:sz w:val="22"/>
                      <w:color w:val="000000"/>
                    </w:rPr>
                    <w:t>能在多架不同品牌、同一方位的无人机目标中，精准打击指定无人机，且不影响其它无人机正常飞行。</w:t>
                  </w:r>
                  <w:r>
                    <w:br/>
                  </w:r>
                  <w:r>
                    <w:rPr>
                      <w:rFonts w:ascii="仿宋_GB2312" w:hAnsi="仿宋_GB2312" w:cs="仿宋_GB2312" w:eastAsia="仿宋_GB2312"/>
                      <w:sz w:val="22"/>
                      <w:color w:val="000000"/>
                    </w:rPr>
                    <w:t>▲32：精准打击角度：在有效干扰范围内，当设备与目标无人机方位角≤10°，且存在2架工作频段相同的无人机时，可对指定目标无人机实施精准干扰，非目标无人机不受影响。（提供公安部检验检测中心出具的检测报告佐证技术指标）</w:t>
                  </w:r>
                  <w:r>
                    <w:br/>
                  </w:r>
                  <w:r>
                    <w:rPr>
                      <w:rFonts w:ascii="仿宋_GB2312" w:hAnsi="仿宋_GB2312" w:cs="仿宋_GB2312" w:eastAsia="仿宋_GB2312"/>
                      <w:sz w:val="22"/>
                      <w:color w:val="000000"/>
                    </w:rPr>
                    <w:t>33：无人值守白名单保护功能：能将指定无人机加入白名单，开启无人值守功能时，不打击白名单内的无人机，同时能打击非白名单内的无人机。</w:t>
                  </w:r>
                  <w:r>
                    <w:br/>
                  </w:r>
                  <w:r>
                    <w:rPr>
                      <w:rFonts w:ascii="仿宋_GB2312" w:hAnsi="仿宋_GB2312" w:cs="仿宋_GB2312" w:eastAsia="仿宋_GB2312"/>
                      <w:sz w:val="22"/>
                      <w:color w:val="000000"/>
                    </w:rPr>
                    <w:t>34：区域防控管理功能：系统管理平台能在电子地图上通过设置圆心半径或自定义圈选等方式，配置探测区域、预警区域、反制区域等多级防控区域，在探测范围内可多区域、多层级独立设置与管理。系统仅对进入预设探测区域范围内的无人机目标开展实时信号监测、协议解析、目标识别与航迹跟踪。</w:t>
                  </w:r>
                  <w:r>
                    <w:br/>
                  </w:r>
                  <w:r>
                    <w:rPr>
                      <w:rFonts w:ascii="仿宋_GB2312" w:hAnsi="仿宋_GB2312" w:cs="仿宋_GB2312" w:eastAsia="仿宋_GB2312"/>
                      <w:sz w:val="22"/>
                      <w:color w:val="000000"/>
                    </w:rPr>
                    <w:t>▲35：Wi-Fi无人机机型配置功能：能通过选择所属防区和设备，获取并显示实时Wi-Fi频点列表和配置列表，并能将MAC地址入库。（提供公安部检验检测中心出具的检测报告佐证技术指标）</w:t>
                  </w:r>
                  <w:r>
                    <w:br/>
                  </w:r>
                  <w:r>
                    <w:rPr>
                      <w:rFonts w:ascii="仿宋_GB2312" w:hAnsi="仿宋_GB2312" w:cs="仿宋_GB2312" w:eastAsia="仿宋_GB2312"/>
                      <w:sz w:val="22"/>
                      <w:color w:val="000000"/>
                    </w:rPr>
                    <w:t>36：（黑）白名单功能：具有（黑）白名单功能，能通过管理平台将侦测到的无人机加入白名单，侦测到白名单内的无人机时不进行报警。</w:t>
                  </w:r>
                  <w:r>
                    <w:br/>
                  </w:r>
                  <w:r>
                    <w:rPr>
                      <w:rFonts w:ascii="仿宋_GB2312" w:hAnsi="仿宋_GB2312" w:cs="仿宋_GB2312" w:eastAsia="仿宋_GB2312"/>
                      <w:sz w:val="22"/>
                      <w:color w:val="000000"/>
                    </w:rPr>
                    <w:t>能通过</w:t>
                  </w:r>
                  <w:r>
                    <w:rPr>
                      <w:rFonts w:ascii="仿宋_GB2312" w:hAnsi="仿宋_GB2312" w:cs="仿宋_GB2312" w:eastAsia="仿宋_GB2312"/>
                      <w:sz w:val="22"/>
                      <w:color w:val="000000"/>
                    </w:rPr>
                    <w:t>SN码和名称手动添加黑、白名单内的无人机。能批量导入、导出白名单无人机列表。</w:t>
                  </w:r>
                  <w:r>
                    <w:br/>
                  </w:r>
                  <w:r>
                    <w:rPr>
                      <w:rFonts w:ascii="仿宋_GB2312" w:hAnsi="仿宋_GB2312" w:cs="仿宋_GB2312" w:eastAsia="仿宋_GB2312"/>
                      <w:sz w:val="22"/>
                      <w:color w:val="000000"/>
                    </w:rPr>
                    <w:t>能对多台相同型号的白名单无人机分别显示</w:t>
                  </w:r>
                  <w:r>
                    <w:rPr>
                      <w:rFonts w:ascii="仿宋_GB2312" w:hAnsi="仿宋_GB2312" w:cs="仿宋_GB2312" w:eastAsia="仿宋_GB2312"/>
                      <w:sz w:val="22"/>
                      <w:color w:val="000000"/>
                    </w:rPr>
                    <w:t>SN码。</w:t>
                  </w:r>
                  <w:r>
                    <w:br/>
                  </w:r>
                  <w:r>
                    <w:rPr>
                      <w:rFonts w:ascii="仿宋_GB2312" w:hAnsi="仿宋_GB2312" w:cs="仿宋_GB2312" w:eastAsia="仿宋_GB2312"/>
                      <w:sz w:val="22"/>
                      <w:color w:val="000000"/>
                    </w:rPr>
                    <w:t>能对黑白名单中目标有效期限进行设置，超出设置有效期期限的目标，能自动从黑、白名单列表中移除。</w:t>
                  </w:r>
                  <w:r>
                    <w:br/>
                  </w:r>
                  <w:r>
                    <w:rPr>
                      <w:rFonts w:ascii="仿宋_GB2312" w:hAnsi="仿宋_GB2312" w:cs="仿宋_GB2312" w:eastAsia="仿宋_GB2312"/>
                      <w:sz w:val="22"/>
                      <w:color w:val="000000"/>
                    </w:rPr>
                    <w:t>▲37：消息推送功能：系统能对预设管控范围内出现的无人机入侵事件、前端探测设备离线等异常状态，通过短信、钉钉、邮箱、企业微信等多渠道向预留联系人实时推送告警通知，并提供消息模板自定义管理功能，支持告警模板的添加、编辑、删除、保存调用。（提供公安部检验检测中心出具的检测报告佐证技术指标）</w:t>
                  </w:r>
                  <w:r>
                    <w:br/>
                  </w:r>
                  <w:r>
                    <w:rPr>
                      <w:rFonts w:ascii="仿宋_GB2312" w:hAnsi="仿宋_GB2312" w:cs="仿宋_GB2312" w:eastAsia="仿宋_GB2312"/>
                      <w:sz w:val="22"/>
                      <w:color w:val="000000"/>
                    </w:rPr>
                    <w:t>38：登录权限管理功能：系统支持多用户登录，具备分级权限操作功能，可为不同账户分配对应操作权限，实现权限分级管控功能。</w:t>
                  </w:r>
                  <w:r>
                    <w:br/>
                  </w:r>
                  <w:r>
                    <w:rPr>
                      <w:rFonts w:ascii="仿宋_GB2312" w:hAnsi="仿宋_GB2312" w:cs="仿宋_GB2312" w:eastAsia="仿宋_GB2312"/>
                      <w:sz w:val="22"/>
                      <w:color w:val="000000"/>
                    </w:rPr>
                    <w:t>39：轨迹回放功能：具有无人机飞行轨迹回放功能。具备轨迹回放列表，回放记录可按时间查询并播放，播放速度可进行倍速设置，最大支持16倍速。</w:t>
                  </w:r>
                  <w:r>
                    <w:br/>
                  </w:r>
                  <w:r>
                    <w:rPr>
                      <w:rFonts w:ascii="仿宋_GB2312" w:hAnsi="仿宋_GB2312" w:cs="仿宋_GB2312" w:eastAsia="仿宋_GB2312"/>
                      <w:sz w:val="22"/>
                      <w:color w:val="000000"/>
                    </w:rPr>
                    <w:t>40：未知无人机入库功能：能将扫描到的未知Wi-Fi无人机信号添加到机型库中，当此Wi-Fi无人机再次出现时，能自动识别并预警。</w:t>
                  </w:r>
                  <w:r>
                    <w:br/>
                  </w:r>
                  <w:r>
                    <w:rPr>
                      <w:rFonts w:ascii="仿宋_GB2312" w:hAnsi="仿宋_GB2312" w:cs="仿宋_GB2312" w:eastAsia="仿宋_GB2312"/>
                      <w:sz w:val="22"/>
                      <w:color w:val="000000"/>
                    </w:rPr>
                    <w:t>41：电子地图功能：支持在线或离线电子地图。能显示无人机位置图标和经纬度、遥控器（飞手）位置图标和经纬度、返航点信息和无人机飞行轨迹。</w:t>
                  </w:r>
                  <w:r>
                    <w:br/>
                  </w:r>
                  <w:r>
                    <w:rPr>
                      <w:rFonts w:ascii="仿宋_GB2312" w:hAnsi="仿宋_GB2312" w:cs="仿宋_GB2312" w:eastAsia="仿宋_GB2312"/>
                      <w:sz w:val="22"/>
                      <w:color w:val="000000"/>
                    </w:rPr>
                    <w:t>▲42：本地化协议解析功能：能在无网络连接条件下，对接收到的无人机信号进行协议解析，解析内容包括品牌机型、SN号、经纬度、方位角、相对设备距离、飞行速度、飞行高度、遥控器（飞手）位置等。（提供公安部检验检测中心出具的检测报告佐证技术指标）</w:t>
                  </w:r>
                  <w:r>
                    <w:br/>
                  </w:r>
                  <w:r>
                    <w:rPr>
                      <w:rFonts w:ascii="仿宋_GB2312" w:hAnsi="仿宋_GB2312" w:cs="仿宋_GB2312" w:eastAsia="仿宋_GB2312"/>
                      <w:sz w:val="22"/>
                      <w:color w:val="000000"/>
                    </w:rPr>
                    <w:t>43：数据分析功能：系统能统计入侵无人机相关数据，可按照日、周、月、季度、半年固定时间维度或自定义选择时间段，对入侵无人机的品牌型号、探测次数/架数、预警次数/架数、入侵趋势、轨迹时长、入侵频率、区域分布热力图等信息进行统计分析：同时能将统计完成的所有数据信息整合成柱状图、折线图、饼状图一键导出为PDF格式的数据分析报告。</w:t>
                  </w:r>
                  <w:r>
                    <w:br/>
                  </w:r>
                  <w:r>
                    <w:rPr>
                      <w:rFonts w:ascii="仿宋_GB2312" w:hAnsi="仿宋_GB2312" w:cs="仿宋_GB2312" w:eastAsia="仿宋_GB2312"/>
                      <w:sz w:val="22"/>
                      <w:color w:val="000000"/>
                    </w:rPr>
                    <w:t>44：组网联动功能：设备能通过Web端管理平台与其他探测设备、诱骗设备、干扰设备实现统一组网联动：系统可将多台探测设备获取的同一无人机目标信息进行数据融合，合并输出为单一目标结果，并在平台上统一呈现为连续、完整的一条飞行轨迹。</w:t>
                  </w:r>
                  <w:r>
                    <w:br/>
                  </w:r>
                  <w:r>
                    <w:rPr>
                      <w:rFonts w:ascii="仿宋_GB2312" w:hAnsi="仿宋_GB2312" w:cs="仿宋_GB2312" w:eastAsia="仿宋_GB2312"/>
                      <w:sz w:val="22"/>
                      <w:color w:val="000000"/>
                    </w:rPr>
                    <w:t>可通过系统管理平台查看各接入设备的工作状态，并能对所有接入设备的防御配置、探测记录查询、历史轨迹回放等功能进行集中管控。</w:t>
                  </w:r>
                  <w:r>
                    <w:br/>
                  </w:r>
                  <w:r>
                    <w:rPr>
                      <w:rFonts w:ascii="仿宋_GB2312" w:hAnsi="仿宋_GB2312" w:cs="仿宋_GB2312" w:eastAsia="仿宋_GB2312"/>
                      <w:sz w:val="22"/>
                      <w:color w:val="000000"/>
                    </w:rPr>
                    <w:t>45：外壳防护等级：≥IP66。</w:t>
                  </w:r>
                  <w:r>
                    <w:br/>
                  </w:r>
                  <w:r>
                    <w:rPr>
                      <w:rFonts w:ascii="仿宋_GB2312" w:hAnsi="仿宋_GB2312" w:cs="仿宋_GB2312" w:eastAsia="仿宋_GB2312"/>
                      <w:sz w:val="22"/>
                      <w:color w:val="000000"/>
                    </w:rPr>
                    <w:t>▲46：电快速瞬变脉冲群抗扰度：满足GB/T 17626.4-2018等级3进行试验。（提供公安部检验检测中心出具的检测报告佐证技术指标）</w:t>
                  </w:r>
                  <w:r>
                    <w:br/>
                  </w:r>
                  <w:r>
                    <w:rPr>
                      <w:rFonts w:ascii="仿宋_GB2312" w:hAnsi="仿宋_GB2312" w:cs="仿宋_GB2312" w:eastAsia="仿宋_GB2312"/>
                      <w:sz w:val="22"/>
                      <w:color w:val="000000"/>
                    </w:rPr>
                    <w:t>浪涌（冲击）抗扰度：满足</w:t>
                  </w:r>
                  <w:r>
                    <w:rPr>
                      <w:rFonts w:ascii="仿宋_GB2312" w:hAnsi="仿宋_GB2312" w:cs="仿宋_GB2312" w:eastAsia="仿宋_GB2312"/>
                      <w:sz w:val="22"/>
                      <w:color w:val="000000"/>
                    </w:rPr>
                    <w:t>GB/T 17626.5-2019等级3进行试验。</w:t>
                  </w:r>
                  <w:r>
                    <w:br/>
                  </w:r>
                  <w:r>
                    <w:rPr>
                      <w:rFonts w:ascii="仿宋_GB2312" w:hAnsi="仿宋_GB2312" w:cs="仿宋_GB2312" w:eastAsia="仿宋_GB2312"/>
                      <w:sz w:val="22"/>
                      <w:color w:val="000000"/>
                    </w:rPr>
                    <w:t>射频场感应的传导骚扰抗扰度：满足</w:t>
                  </w:r>
                  <w:r>
                    <w:rPr>
                      <w:rFonts w:ascii="仿宋_GB2312" w:hAnsi="仿宋_GB2312" w:cs="仿宋_GB2312" w:eastAsia="仿宋_GB2312"/>
                      <w:sz w:val="22"/>
                      <w:color w:val="000000"/>
                    </w:rPr>
                    <w:t>GB/T 17626.6-2017等级3进行试验。</w:t>
                  </w:r>
                  <w:r>
                    <w:br/>
                  </w:r>
                  <w:r>
                    <w:rPr>
                      <w:rFonts w:ascii="仿宋_GB2312" w:hAnsi="仿宋_GB2312" w:cs="仿宋_GB2312" w:eastAsia="仿宋_GB2312"/>
                      <w:sz w:val="22"/>
                      <w:color w:val="000000"/>
                    </w:rPr>
                    <w:t>★47：须接入商洛市局区域动态信息管控平台。</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车辆改装</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增加皮卡尾箱、横杆、定制车贴、车顶行李架、改装费、逆变器</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应急作业手套</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1、结构：由手套、控制盒、电极片、强光炫目灯、照明警示灯、破窗模块、防撞模块、充电线组成；</w:t>
                  </w:r>
                  <w:r>
                    <w:br/>
                  </w:r>
                  <w:r>
                    <w:rPr>
                      <w:rFonts w:ascii="仿宋_GB2312" w:hAnsi="仿宋_GB2312" w:cs="仿宋_GB2312" w:eastAsia="仿宋_GB2312"/>
                      <w:sz w:val="22"/>
                      <w:color w:val="000000"/>
                    </w:rPr>
                    <w:t>2、功能：快速抓捕、防割防撞、紧急破拆、强光炫目、照明警示、可触屏；</w:t>
                  </w:r>
                  <w:r>
                    <w:br/>
                  </w:r>
                  <w:r>
                    <w:rPr>
                      <w:rFonts w:ascii="仿宋_GB2312" w:hAnsi="仿宋_GB2312" w:cs="仿宋_GB2312" w:eastAsia="仿宋_GB2312"/>
                      <w:sz w:val="22"/>
                      <w:color w:val="000000"/>
                    </w:rPr>
                    <w:t>3、手套坯材质：钨丝+HPPE，抗拉强度≥3000MPa，耐切割系数≥2.5；</w:t>
                  </w:r>
                  <w:r>
                    <w:br/>
                  </w:r>
                  <w:r>
                    <w:rPr>
                      <w:rFonts w:ascii="仿宋_GB2312" w:hAnsi="仿宋_GB2312" w:cs="仿宋_GB2312" w:eastAsia="仿宋_GB2312"/>
                      <w:sz w:val="22"/>
                      <w:color w:val="000000"/>
                    </w:rPr>
                    <w:t>★4、破窗模块：位于手套背面握拳处，TPU材质，内嵌2粒高硬度陶瓷珠，可快速击碎玻璃（提供具有CMA或CNAS资质的第三方检测机构出具的检测报告并加盖制造厂家公章）；</w:t>
                  </w:r>
                  <w:r>
                    <w:br/>
                  </w:r>
                  <w:r>
                    <w:rPr>
                      <w:rFonts w:ascii="仿宋_GB2312" w:hAnsi="仿宋_GB2312" w:cs="仿宋_GB2312" w:eastAsia="仿宋_GB2312"/>
                      <w:sz w:val="22"/>
                      <w:color w:val="000000"/>
                    </w:rPr>
                    <w:t>★5、防撞模块：位于手套背面手指部位，TPR材质，可承受150kg以上撞击压力（提供具有CMA或CNAS资质的第三方检测机构出具的检测报告并加盖制造厂家公章）；</w:t>
                  </w:r>
                  <w:r>
                    <w:br/>
                  </w:r>
                  <w:r>
                    <w:rPr>
                      <w:rFonts w:ascii="仿宋_GB2312" w:hAnsi="仿宋_GB2312" w:cs="仿宋_GB2312" w:eastAsia="仿宋_GB2312"/>
                      <w:sz w:val="22"/>
                      <w:color w:val="000000"/>
                    </w:rPr>
                    <w:t>6、尺寸（单只）：长310mm×宽150mm×高50mm（均码）（±2mm）；</w:t>
                  </w:r>
                  <w:r>
                    <w:br/>
                  </w:r>
                  <w:r>
                    <w:rPr>
                      <w:rFonts w:ascii="仿宋_GB2312" w:hAnsi="仿宋_GB2312" w:cs="仿宋_GB2312" w:eastAsia="仿宋_GB2312"/>
                      <w:sz w:val="22"/>
                      <w:color w:val="000000"/>
                    </w:rPr>
                    <w:t>7、重量（单只）：≤200g；</w:t>
                  </w:r>
                  <w:r>
                    <w:br/>
                  </w:r>
                  <w:r>
                    <w:rPr>
                      <w:rFonts w:ascii="仿宋_GB2312" w:hAnsi="仿宋_GB2312" w:cs="仿宋_GB2312" w:eastAsia="仿宋_GB2312"/>
                      <w:sz w:val="22"/>
                      <w:color w:val="000000"/>
                    </w:rPr>
                    <w:t>8、控制盒启动时间：≤2秒；</w:t>
                  </w:r>
                  <w:r>
                    <w:br/>
                  </w:r>
                  <w:r>
                    <w:rPr>
                      <w:rFonts w:ascii="仿宋_GB2312" w:hAnsi="仿宋_GB2312" w:cs="仿宋_GB2312" w:eastAsia="仿宋_GB2312"/>
                      <w:sz w:val="22"/>
                      <w:color w:val="000000"/>
                    </w:rPr>
                    <w:t>9、电池容量：3.7V，650mAh，Type-C充电口，充满电时间≤3小时；</w:t>
                  </w:r>
                  <w:r>
                    <w:br/>
                  </w:r>
                  <w:r>
                    <w:rPr>
                      <w:rFonts w:ascii="仿宋_GB2312" w:hAnsi="仿宋_GB2312" w:cs="仿宋_GB2312" w:eastAsia="仿宋_GB2312"/>
                      <w:sz w:val="22"/>
                      <w:color w:val="000000"/>
                    </w:rPr>
                    <w:t>10、充满电连续工作时间：全部功能打开≥1小时、仅照明警示≥24小时；</w:t>
                  </w:r>
                  <w:r>
                    <w:br/>
                  </w:r>
                  <w:r>
                    <w:rPr>
                      <w:rFonts w:ascii="仿宋_GB2312" w:hAnsi="仿宋_GB2312" w:cs="仿宋_GB2312" w:eastAsia="仿宋_GB2312"/>
                      <w:sz w:val="22"/>
                      <w:color w:val="000000"/>
                    </w:rPr>
                    <w:t>★11、脉冲功能：脉冲模块置于手套手指部位，脉冲电流约0.1mA，高频电压约170V，作用于人体时可使肌肉产生收缩、痉挛的强烈反应，无致命伤害（提供具有CMA或CNAS资质的第三方检测机构出具的检测报告并加盖制造厂家公章）；</w:t>
                  </w:r>
                  <w:r>
                    <w:br/>
                  </w:r>
                  <w:r>
                    <w:rPr>
                      <w:rFonts w:ascii="仿宋_GB2312" w:hAnsi="仿宋_GB2312" w:cs="仿宋_GB2312" w:eastAsia="仿宋_GB2312"/>
                      <w:sz w:val="22"/>
                      <w:color w:val="000000"/>
                    </w:rPr>
                    <w:t>★12、强光炫目：手套掌心脉冲模块处内嵌灯珠≥1粒，功率≥1W，强光频率≥5Hz，10米处直射人眼睛可瞬间致盲，视力恢复时间≥10秒（提供具有CMA或CNAS资质的第三方检测机构出具的检测报告并加盖制造厂家公章）；</w:t>
                  </w:r>
                  <w:r>
                    <w:br/>
                  </w:r>
                  <w:r>
                    <w:rPr>
                      <w:rFonts w:ascii="仿宋_GB2312" w:hAnsi="仿宋_GB2312" w:cs="仿宋_GB2312" w:eastAsia="仿宋_GB2312"/>
                      <w:sz w:val="22"/>
                      <w:color w:val="000000"/>
                    </w:rPr>
                    <w:t>★13、爆闪警示：手套背面破窗模块上置有LED灯珠≥2粒，功率≥2*0.15W，红蓝交替爆闪，爆闪频率≥10次/秒（提供具有CMA或CNAS资质的第三方检测机构出具的检测报告并加盖制造厂家公章）：</w:t>
                  </w:r>
                  <w:r>
                    <w:br/>
                  </w:r>
                  <w:r>
                    <w:rPr>
                      <w:rFonts w:ascii="仿宋_GB2312" w:hAnsi="仿宋_GB2312" w:cs="仿宋_GB2312" w:eastAsia="仿宋_GB2312"/>
                      <w:sz w:val="22"/>
                      <w:color w:val="000000"/>
                    </w:rPr>
                    <w:t>★14、照明功能： 手套背面控制盒上置有LED灯珠≥2粒，功率≥2*0.4W，可用作临时照明光源使用（提供具有CMA或CNAS资质的第三方检测机构出具的检测报告并加盖制造厂家公章）。</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5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应急作业路锥</w:t>
                  </w:r>
                </w:p>
              </w:tc>
              <w:tc>
                <w:tcPr>
                  <w:tcW w:type="dxa" w:w="2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1、结构：路锥主体为防水荧光橙色涂层布（牛津布）和反光条，反光条单独缝制在牛津布上，锥筒顶部有拱形拉手；</w:t>
                  </w:r>
                  <w:r>
                    <w:br/>
                  </w:r>
                  <w:r>
                    <w:rPr>
                      <w:rFonts w:ascii="仿宋_GB2312" w:hAnsi="仿宋_GB2312" w:cs="仿宋_GB2312" w:eastAsia="仿宋_GB2312"/>
                      <w:sz w:val="22"/>
                      <w:color w:val="000000"/>
                    </w:rPr>
                    <w:t>★2、材质：路锥的底座和塔圈材质为荧光橙色PP塑胶；警示材质为高亮反光条和3层灯条双重警示；（提供公安部检验检测中心出具的检测报告佐证技术指标）</w:t>
                  </w:r>
                  <w:r>
                    <w:br/>
                  </w:r>
                  <w:r>
                    <w:rPr>
                      <w:rFonts w:ascii="仿宋_GB2312" w:hAnsi="仿宋_GB2312" w:cs="仿宋_GB2312" w:eastAsia="仿宋_GB2312"/>
                      <w:sz w:val="22"/>
                      <w:color w:val="000000"/>
                    </w:rPr>
                    <w:t>3、尺寸：展开尺寸（296×296×700）mm±2mm，收纳尺寸（296×296×70）mm±2mm；</w:t>
                  </w:r>
                  <w:r>
                    <w:br/>
                  </w:r>
                  <w:r>
                    <w:rPr>
                      <w:rFonts w:ascii="仿宋_GB2312" w:hAnsi="仿宋_GB2312" w:cs="仿宋_GB2312" w:eastAsia="仿宋_GB2312"/>
                      <w:sz w:val="22"/>
                      <w:color w:val="000000"/>
                    </w:rPr>
                    <w:t>4、LED灯珠：≥55颗红灯，≥27颗蓝灯；</w:t>
                  </w:r>
                  <w:r>
                    <w:br/>
                  </w:r>
                  <w:r>
                    <w:rPr>
                      <w:rFonts w:ascii="仿宋_GB2312" w:hAnsi="仿宋_GB2312" w:cs="仿宋_GB2312" w:eastAsia="仿宋_GB2312"/>
                      <w:sz w:val="22"/>
                      <w:color w:val="000000"/>
                    </w:rPr>
                    <w:t>★5、发光模式：红蓝爆闪/慢闪,闪动频率3.0 Hz±0.5 Hz；快闪立体发光360度可视；（提供公安部检验检测中心出具的检测报告佐证技术指标）</w:t>
                  </w:r>
                  <w:r>
                    <w:br/>
                  </w:r>
                  <w:r>
                    <w:rPr>
                      <w:rFonts w:ascii="仿宋_GB2312" w:hAnsi="仿宋_GB2312" w:cs="仿宋_GB2312" w:eastAsia="仿宋_GB2312"/>
                      <w:sz w:val="22"/>
                      <w:color w:val="000000"/>
                    </w:rPr>
                    <w:t>6、工作时间：充满电后工作时间应≥25h；</w:t>
                  </w:r>
                  <w:r>
                    <w:br/>
                  </w:r>
                  <w:r>
                    <w:rPr>
                      <w:rFonts w:ascii="仿宋_GB2312" w:hAnsi="仿宋_GB2312" w:cs="仿宋_GB2312" w:eastAsia="仿宋_GB2312"/>
                      <w:sz w:val="22"/>
                      <w:color w:val="000000"/>
                    </w:rPr>
                    <w:t>★7、可视距离：可视距离不低于1000米；（提供公安部检验检测中心出具的检测报告佐证技术指标）</w:t>
                  </w:r>
                  <w:r>
                    <w:br/>
                  </w:r>
                  <w:r>
                    <w:rPr>
                      <w:rFonts w:ascii="仿宋_GB2312" w:hAnsi="仿宋_GB2312" w:cs="仿宋_GB2312" w:eastAsia="仿宋_GB2312"/>
                      <w:sz w:val="22"/>
                      <w:color w:val="000000"/>
                    </w:rPr>
                    <w:t>★8、反光膜：观测角0.2°，入射角-4°，逆反系数≥45（cd•lx-1•m-2）；观测角1°，入射角-4°，逆反系数≥5（cd•lx-1•m-2）；（提供公安部检验检测中心出具的检测报告佐证技术指标）</w:t>
                  </w:r>
                  <w:r>
                    <w:br/>
                  </w:r>
                  <w:r>
                    <w:rPr>
                      <w:rFonts w:ascii="仿宋_GB2312" w:hAnsi="仿宋_GB2312" w:cs="仿宋_GB2312" w:eastAsia="仿宋_GB2312"/>
                      <w:sz w:val="22"/>
                      <w:color w:val="000000"/>
                    </w:rPr>
                    <w:t>9、防护等级：≥IP54；</w:t>
                  </w:r>
                  <w:r>
                    <w:br/>
                  </w:r>
                  <w:r>
                    <w:rPr>
                      <w:rFonts w:ascii="仿宋_GB2312" w:hAnsi="仿宋_GB2312" w:cs="仿宋_GB2312" w:eastAsia="仿宋_GB2312"/>
                      <w:sz w:val="22"/>
                      <w:color w:val="000000"/>
                    </w:rPr>
                    <w:t>★10、电池性能：电池容量≥2000mA，充放电不低于500次；（提供公安部检验检测中心出具的检测报告佐证技术指标）</w:t>
                  </w:r>
                  <w:r>
                    <w:br/>
                  </w:r>
                  <w:r>
                    <w:rPr>
                      <w:rFonts w:ascii="仿宋_GB2312" w:hAnsi="仿宋_GB2312" w:cs="仿宋_GB2312" w:eastAsia="仿宋_GB2312"/>
                      <w:sz w:val="22"/>
                      <w:color w:val="000000"/>
                    </w:rPr>
                    <w:t>11、执行标准：《GB/T 18833-2012 道路交通反光膜》。</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合同签订之日起15天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商洛市公安局商州分局</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进度款，在合同签订生效后，达到付款条件起10个工作日内，支付合同总金额的40.0%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进度款，全部产品供货完毕、验收合格后，达到付款条件起10个工作日内，支付合同总金额的60.0%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1.货物验收由甲方组织，乙方配合，并按下列程序进行： （1）交货验收时，乙方须提供质检部门产品抽样检查合格的检测报告（或生产厂家自检报告）及所提供货物（产品）的合格证、装箱清单、配件、随机工具、用户使用手册（产品使用说明书）、保修卡等资料交付给甲方； （2）货物到达后，按合同要求的货物清单和装箱单逐一核对，同时检查货物外观，是否有划痕或破损的，并做好相应记录； （3）达到正常使用条件后 30 日内完成最终验收； （4）验收合格，双方签署验收报告。 2.货物验收依据： （1）招标文件； （2）响应文件； （3）采购合同及补充协议； （4）质检部门抽样检查货物（产品）合格的检测报告。 3.货物验收时发现问题的处理办法： （1）乙方提供不符合文件和合同规定的货物（产品），甲方有权拒绝接受； （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 （3）如货物经乙方 3 次更换仍不能达到合同约定的质量标准，甲方有权视作乙方不能交付货物，无履约能力，乙方须支付违约赔偿金给甲方，甲方还可依法追究乙方的违约责任； （4）货物交货完成后 60 日内，甲方无故不进行验收工作并已使用货物的，视同已验收合格； （5）乙方不能完整交付货物及规定的单证和工具的，必须负责补齐，否则视为未按合同约定交货。 4.项目验收要求： 验收由采购人负责组织，验收标准须以合同、国家相应的标准、规范等为依据。乙方提供的全部产品到位后，在达到使用条件时，由乙方提交验收申请，甲方同意后，由甲方组织乙方和有关部门组成验收小组对产品进行验收;验收合格的，甲乙双方交接验收相关资料，并填制采购项目验收报告单，验收人员共同签字后生效。</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1.乙方须提供全新的、未使用过的合格正品货物（含零部件、配件等），完全符合合同规定的质量、规格和性能的要求。 2.质量标准按照最新颁布的国家标准、行业标准或制造商企业标准确定，上述标准不一致的，以严格标准为准。 3.货物质量出现问题，乙方应负责三包（包修、包换、包退），费用由乙方负担，甲方有权到乙方生产场地检查货物质量和生产进度。 4.质保期：免费提供不少于12个月质保，质保期自甲方验收合格之日起算。质保期内非人为原因，产品出现质量问题，乙方免费保修，质保期满后产品实行有偿维护。 5.售后服务要求： 提供7×24小时全天候技术支持和售后响应，电话/线上咨询1小时内回复，需上门维修的12小时内到达现场。</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1.甲方违约责任 （1）甲方无正当理由拒收货物的，甲方应偿付合同总价 1%的违约金； （2）甲方逾期支付货款的，除应及时付足货款外，应向乙方每天支付欠款总额 1 ‰的滞纳金；但累计滞纳金总额不超过欠款总额的 2%。 2.乙方违约责任 （1）如乙方不能交付货物，甲方有权扣留全部履约保证金；同时乙方应向甲方支付合同总价5％的违约金； （2）乙方逾期交付货物的，每逾期 1 天，乙方向甲方偿付逾期交货部分货款总额的 3‰的滞纳金。如乙方逾期交货达 7天，甲方有权解除合同，解除合同的通知自到达乙方时生效； （3）乙方所交付的货物品种、型号、规格不符合合同规定的，甲方有权拒收。甲方拒收的，乙方应向甲方支付货款总额 5%的违约金； （4）乙方货物经甲方送交具有法定资格条件的质量技术监督机构检测后，如检测结果认定货物质量不符合本合同规定标准的，则视为乙方没有按时交货而违约，乙方须在 5 天内无条件更换合格的货物，如逾期不能更换合格的货物，甲方有权终止本合同，乙方应另向甲方支付货款总额的10 %的违约金； （5）在乙方承诺的或国家规定的质量保证期内（取两者中最长的期限），如经乙方两次维修或更换，货物仍不能达到合同约定的质量标准，甲方有权退货，乙方应退回全部货款，并按第 3 款处理，同时，乙方还须赔偿甲方因此遭受的损失； （6）乙方未按本合同的规定和“服务承诺”提供伴随服务/售后服务的，应按合同总价款的 5 %向甲方承担违约责任； （7）乙方在承担上述 1-6款一项或多项违约责任后，仍应继续履行合同规定的义务（甲方解除合同的除外）。甲方未能及时追究乙方的任何一项违约责任并不表明甲方放弃追究乙方该项或其他违约责任； （8）乙方偿付的违约金不足以弥补甲方损失的，还应按甲方损失尚未弥补的部分，支付赔偿金给甲方。 争议的解决 1.因货物的质量问题发生争议，由质量技术监督部门或其指定的质量鉴定机构进行质量鉴定。 货物符合标准的，鉴定费由甲方承担；货物不符合质量标准的，鉴定费由乙方承担。 2.因履行本合同引起的或与本合同有关的争议，甲、乙双方应首先通过友好协商解决，如果协商不成，则向甲方所在地有管辖权的人民法院提起诉讼； 3.在裁决期间，本合同应继续履行。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2.为保障政府采购电子化交易平台项目实施，供应商需要在线提交所有通过电子化交易平台实施的政府采购项目的投标文件，成交供应商在中标(成交)结果公示期结束后须向代理机构(陕西省商洛市商州区城关街道办事处通江路九号（青花汾酒）三楼提交纸质版响应文件正本1套、副本2套、电子版1份。纸质响应文件应与电子响应文件保持一致。3.采购文件所列标准与国家现行标准不一致时，以国家现行标准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标的清单 关于符合本国产品标准的声明函 投标文件封面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具有独立承担民事责任的能力（法人单位提供有效的营业执照等证明文件，非法人单位参照执行，自然人提供身份证明）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提供法定代表人身份证明及授权委托书（法定代表人参与投标的无须提供授权委托书）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投标人应提供至投标文件递交截止时间前近六个月至少一个月的纳税凭据或完税证明(任意税种)，依法免税的应提供相关证明材料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投标人应提供至投标文件递交截止时间前近六个月至少一个月的社会保障资金缴存单据或社保机构开具的社会保险参保缴费情况证明，依法不需要缴纳社会保障资金的应提供相关证明材料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提供具有财务审计资质单位出具的2025年度的财务报告(成立时间至开标时间不足一年的可提供成立后任意时段的资产负债表)或开标前六个月内其基本账户银行出具的资信证明(附开户许可证或开户备案证明);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信誉情况</w:t>
            </w:r>
          </w:p>
        </w:tc>
        <w:tc>
          <w:tcPr>
            <w:tcW w:type="dxa" w:w="3322"/>
          </w:tcPr>
          <w:p>
            <w:pPr>
              <w:pStyle w:val="null3"/>
            </w:pPr>
            <w:r>
              <w:rPr>
                <w:rFonts w:ascii="仿宋_GB2312" w:hAnsi="仿宋_GB2312" w:cs="仿宋_GB2312" w:eastAsia="仿宋_GB2312"/>
              </w:rPr>
              <w:t>投标人不得为"信用中国”网站(www.creditchina.gov.cn)中列入"失信被执行人(中国执行信息公开网http://zxgk.court.gov.cn/shixin)"和"重大税收违法失信主体”的投标人，不得为中国政府采购网(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书面申明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中小企业声明函 残疾人福利性单位声明函 监狱企业的证明文件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投标报价未超过采购预算或已设置的最高限价，且投标人每种货物及服务内容只允许有一个报价。</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投标方案</w:t>
            </w:r>
          </w:p>
        </w:tc>
        <w:tc>
          <w:tcPr>
            <w:tcW w:type="dxa" w:w="3322"/>
          </w:tcPr>
          <w:p>
            <w:pPr>
              <w:pStyle w:val="null3"/>
            </w:pPr>
            <w:r>
              <w:rPr>
                <w:rFonts w:ascii="仿宋_GB2312" w:hAnsi="仿宋_GB2312" w:cs="仿宋_GB2312" w:eastAsia="仿宋_GB2312"/>
              </w:rPr>
              <w:t>投标方案唯一，不接受备选方案，每种货物及服务只能投标一个品牌及方案。</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按招标文件要求编制投标文件，满足招标文件实质性要求条款。</w:t>
            </w:r>
          </w:p>
        </w:tc>
        <w:tc>
          <w:tcPr>
            <w:tcW w:type="dxa" w:w="1661"/>
          </w:tcPr>
          <w:p>
            <w:pPr>
              <w:pStyle w:val="null3"/>
            </w:pPr>
            <w:r>
              <w:rPr>
                <w:rFonts w:ascii="仿宋_GB2312" w:hAnsi="仿宋_GB2312" w:cs="仿宋_GB2312" w:eastAsia="仿宋_GB2312"/>
              </w:rPr>
              <w:t>产品技术参数表 投标函 商务应答表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满足磋商文件技术要求的，计38分；其中“★”参数为实质性参数，不得负偏离，否则视为无效响应；“▲”参数为重要参数每有一条参数负偏离扣2分；其他参数为一般参数，每有一条参数负偏离扣1分，扣完为止。 注：标注“★”、“▲”须提供相关证明材料（参数有要求佐证材料形式的按参数要求提供，其余佐证材料形式包括但不限于检验报告、官网功能截图、彩页、技术白皮书等任意一种），参数不满足磋商文件要求或未提供相关证明材料或提供的证明材料不能佐证该项参数的均视为负偏离。</w:t>
            </w:r>
          </w:p>
        </w:tc>
        <w:tc>
          <w:tcPr>
            <w:tcW w:type="dxa" w:w="831"/>
          </w:tcPr>
          <w:p>
            <w:pPr>
              <w:pStyle w:val="null3"/>
              <w:jc w:val="right"/>
            </w:pPr>
            <w:r>
              <w:rPr>
                <w:rFonts w:ascii="仿宋_GB2312" w:hAnsi="仿宋_GB2312" w:cs="仿宋_GB2312" w:eastAsia="仿宋_GB2312"/>
              </w:rPr>
              <w:t>38.0000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总体实施方案：内容包括但不限于：①供货实施方案、实施进度计划及保证措施；②设备安装、检测、调试方案及措施；③设备运维方案等；④验收方案；⑤人员安排计划、岗位划分及责任制度等。 评审标准： 方案各项内容全面详细、阐述条理清晰、能有效保障本项目实施得10分；方案中每有一项内容缺失扣2分，方案内容要素中每存在一处缺陷扣0.5分，该分项分值扣完为止。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包含但不限于：①对突发事件的预防、处理程序、处理方法；②故障时处理方案。 评审标准：方案各项内容全面详细、阐述条理清晰、能有效保障本项目实施得3分；方案中每有一项内容缺失扣1.5分，方案内容要素中每存在一处缺陷扣0.5分，该分项分值扣完为止。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内容包括但不限于：①质量管理制度；②质量保证范围；③质量保证承诺及措施。 评审标准：方案各项内容全面详细、阐述条理清晰、能有效保障本项目实施得3分；方案中每有一项内容缺失扣1分，方案内容要素中每存在一处缺陷扣0.5分，该分项分值扣完为止。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内容包括但不限于：①售后服务保障承诺及措施；②售后人员安排（配置、分工等）；③项目交付用户后出现故障响应时间及措施；④培训方案（培训计划、方式、内容、培训反馈及总结等）。 评审标准：方案各项内容全面详细、阐述条理清晰、能有效保障本项目实施得4分；方案中每有一项内容缺失扣1分，方案内容要素中每存在一处缺陷扣0.5分，该分项分值扣完为止。 注：缺陷是指内容表述宽泛不具体、仅有框架或标题、内容前后表述不一致、逻辑混乱、方案内容不符合行业实际或国家法规政策、存在项目名称错误或地点区域或采购人名称错误、内容明显与本项目需求无关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以供应商提供的2023年8月1日起至今类似业绩（以合同签订时间为准，截止日为本项目公告发布之日）计算，每份合同为1个业绩，每提供一个得2分，最高得6分。提供合同复印件，未提供的不得分。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制造商授权书</w:t>
            </w:r>
          </w:p>
        </w:tc>
        <w:tc>
          <w:tcPr>
            <w:tcW w:type="dxa" w:w="2492"/>
          </w:tcPr>
          <w:p>
            <w:pPr>
              <w:pStyle w:val="null3"/>
            </w:pPr>
            <w:r>
              <w:rPr>
                <w:rFonts w:ascii="仿宋_GB2312" w:hAnsi="仿宋_GB2312" w:cs="仿宋_GB2312" w:eastAsia="仿宋_GB2312"/>
              </w:rPr>
              <w:t>提供所投产品区域动态信息管控设备、应急作业手套、应急作业路锥的的合法来源渠道证明文件（包括但不限于产品制造商授权、销售协议、代理协议、原厂授权等任意一种），提供一个产品得2分，共计6分，不提供的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按照财政部财库[2014]214 号文件第二十四条和财库[2020]46号文件的规定，采用低价优先法计算，以本次满足招标文件要求的最低评审价为基准价，其价格为满分。供应商的价格分，统一按照下列公式计算：最后报价得分=(基准价／最后报价)×100×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