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版本号：JZZB-【2026】-4820260717004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2026年果皮箱维护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JZZB-【2026】-48</w:t>
      </w:r>
      <w:r>
        <w:br/>
      </w:r>
      <w:r>
        <w:br/>
      </w:r>
      <w:r>
        <w:br/>
      </w:r>
    </w:p>
    <w:p>
      <w:pPr>
        <w:pStyle w:val="null3"/>
        <w:jc w:val="center"/>
        <w:outlineLvl w:val="2"/>
      </w:pPr>
      <w:r>
        <w:rPr>
          <w:rFonts w:ascii="仿宋_GB2312" w:hAnsi="仿宋_GB2312" w:cs="仿宋_GB2312" w:eastAsia="仿宋_GB2312"/>
          <w:sz w:val="28"/>
          <w:b/>
        </w:rPr>
        <w:t>西安市雁塔区环境卫生管理站</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西安市雁塔区环境卫生管理站</w:t>
      </w:r>
      <w:r>
        <w:rPr>
          <w:rFonts w:ascii="仿宋_GB2312" w:hAnsi="仿宋_GB2312" w:cs="仿宋_GB2312" w:eastAsia="仿宋_GB2312"/>
        </w:rPr>
        <w:t>委托，拟对</w:t>
      </w:r>
      <w:r>
        <w:rPr>
          <w:rFonts w:ascii="仿宋_GB2312" w:hAnsi="仿宋_GB2312" w:cs="仿宋_GB2312" w:eastAsia="仿宋_GB2312"/>
        </w:rPr>
        <w:t>2026年果皮箱维护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2026年果皮箱维护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为保障雁塔区路段日常道路果皮箱能够正常使用，不影响人民日常生活和市容环境，需要对道路果皮箱维护、维修、安装、巡查等。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采购包1（2026年果皮箱维护（西区））：属于专门面向中小企业采购。</w:t>
      </w:r>
    </w:p>
    <w:p>
      <w:pPr>
        <w:pStyle w:val="null3"/>
      </w:pPr>
      <w:r>
        <w:rPr>
          <w:rFonts w:ascii="仿宋_GB2312" w:hAnsi="仿宋_GB2312" w:cs="仿宋_GB2312" w:eastAsia="仿宋_GB2312"/>
        </w:rPr>
        <w:t>采购包2（2026年果皮箱维护(东区））：属于专门面向中小企业采购。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2、法定代表人授权书或授权委托书：提供法定代表人授权书（附法定代表人、被授权人身份证复印件）；法定代表人直接参加，须提供法定代表人身份证明（附法定代表人身份证复印件）；</w:t>
      </w:r>
    </w:p>
    <w:p>
      <w:pPr>
        <w:pStyle w:val="null3"/>
      </w:pPr>
      <w:r>
        <w:rPr>
          <w:rFonts w:ascii="仿宋_GB2312" w:hAnsi="仿宋_GB2312" w:cs="仿宋_GB2312" w:eastAsia="仿宋_GB2312"/>
        </w:rPr>
        <w:t>3、税收缴纳证明：提供投标截止日前一年内已缴纳的至少一个月的纳税证明或完税证明(任意税种)，依法免税的单位应提供相关证明材料；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4、社会保障资金缴纳证明：提供投标截止日前一年内已缴纳的至少一个月的社会保障资金缴存单据或社保机构开具的社会保险参保缴费情况证明，依法不需要缴纳社会保障资金的单位应提供相关证明材料；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w:t>
      </w:r>
    </w:p>
    <w:p>
      <w:pPr>
        <w:pStyle w:val="null3"/>
      </w:pPr>
      <w:r>
        <w:rPr>
          <w:rFonts w:ascii="仿宋_GB2312" w:hAnsi="仿宋_GB2312" w:cs="仿宋_GB2312" w:eastAsia="仿宋_GB2312"/>
        </w:rPr>
        <w:t>6、履约能力承诺：提供具有履行本合同所必需的设备和专业技术能力的说明及承诺书；</w:t>
      </w:r>
    </w:p>
    <w:p>
      <w:pPr>
        <w:pStyle w:val="null3"/>
      </w:pPr>
      <w:r>
        <w:rPr>
          <w:rFonts w:ascii="仿宋_GB2312" w:hAnsi="仿宋_GB2312" w:cs="仿宋_GB2312" w:eastAsia="仿宋_GB2312"/>
        </w:rPr>
        <w:t>7、信用记录查询结果：供应商不得为“信用中国(www.creditchina.gov.cn)”中列入失信被执行人和重大税收违法案件当事人名单的供应商，不得为“中国政府采购网(www.ccgp.gov.cn)”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1、独立承担民事责任能力：具有独立承担民事责任能力的法人、其他组织或自然人，并出具合法有效的统一社会信用代码的营业执照或事业单位法人证书等国家规定的相关证明，自然人参与的提供其身份证明；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2、法定代表人授权书或授权委托书：提供法定代表人授权书（附法定代表人、被授权人身份证复印件）；法定代表人直接参加，须提供法定代表人身份证明（附法定代表人身份证复印件）；</w:t>
      </w:r>
    </w:p>
    <w:p>
      <w:pPr>
        <w:pStyle w:val="null3"/>
      </w:pPr>
      <w:r>
        <w:rPr>
          <w:rFonts w:ascii="仿宋_GB2312" w:hAnsi="仿宋_GB2312" w:cs="仿宋_GB2312" w:eastAsia="仿宋_GB2312"/>
        </w:rPr>
        <w:t>3、税收缴纳证明：提供投标截止日前一年内已缴纳的至少一个月的纳税证明或完税证明(任意税种)，依法免税的单位应提供相关证明材料；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4、社会保障资金缴纳证明：提供投标截止日前一年内已缴纳的至少一个月的社会保障资金缴存单据或社保机构开具的社会保险参保缴费情况证明，依法不需要缴纳社会保障资金的单位应提供相关证明材料；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w:t>
      </w:r>
    </w:p>
    <w:p>
      <w:pPr>
        <w:pStyle w:val="null3"/>
      </w:pPr>
      <w:r>
        <w:rPr>
          <w:rFonts w:ascii="仿宋_GB2312" w:hAnsi="仿宋_GB2312" w:cs="仿宋_GB2312" w:eastAsia="仿宋_GB2312"/>
        </w:rPr>
        <w:t>6、履约能力承诺：提供具有履行本合同所必需的设备和专业技术能力的说明及承诺书；</w:t>
      </w:r>
    </w:p>
    <w:p>
      <w:pPr>
        <w:pStyle w:val="null3"/>
      </w:pPr>
      <w:r>
        <w:rPr>
          <w:rFonts w:ascii="仿宋_GB2312" w:hAnsi="仿宋_GB2312" w:cs="仿宋_GB2312" w:eastAsia="仿宋_GB2312"/>
        </w:rPr>
        <w:t>7、信用记录查询结果：供应商不得为“信用中国(www.creditchina.gov.cn)”中列入失信被执行人和重大税收违法案件当事人名单的供应商，不得为“中国政府采购网(www.ccgp.gov.cn)”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西安市雁塔区环境卫生管理站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西安市雁塔区杜城街道办西部大道与沈家桥二路交汇处东北角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西安市雁塔区环境卫生管理站经办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88242103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王闯、高翠翠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以本项目中标价为基数，参照国家计委关于印发《招标代理服务收费管理暂行办法》的通知（计价格【2002】1980号）《国家发展改革委关于降低部分建设项目收费标准规范收费行为等有关问题的通知》（发改价格[2011]534号）规定计取招标代理服务费。2.招标代理服务费由中标单位支付，于发出中标通知书前一次性付清。 3、招标代理服务费缴纳信息： 银行户名：陕西金泽盛业项目管理有限公司 开户银行：北京银行股份有限公司西安大明宫支行 账 号：20000043048200033180933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西安市雁塔区环境卫生管理站</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西安市雁塔区环境卫生管理站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西安市雁塔区环境卫生管理站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单位应保证在本项目中使用的任何产品和服务(包括部分使用)，不会产生因第三方提出侵犯其专利权、商标权或其它知识产权而引起的法律和经济纠纷，如因专利权、商标权或其它知识产权而引起法律和经济纠纷，由成交单位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符合国家（行业）强制性标准要求。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符合国家（行业）强制性标准要求。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为保障雁塔区路段日常道路果皮箱能够正常使用，不影响人民日常生活和市容环境，需要对道路果皮箱维护、维修、安装、巡查等。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2026年果皮箱维护(西区）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2026年果皮箱维护（东区）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标的名称：2026年果皮箱维护(西区）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包括电子城街道办事处、杜城街道办事处、漳浒寨街道办事处、西安市雁塔区新技术产业发展服务中心、西安市雁塔区未来产业城管理委员会辖区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298"/>
              <w:gridCol w:w="871"/>
              <w:gridCol w:w="563"/>
              <w:gridCol w:w="222"/>
              <w:gridCol w:w="37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维修类型</w:t>
                  </w:r>
                </w:p>
              </w:tc>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项目</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（元</w:t>
                  </w:r>
                  <w:r>
                    <w:rPr>
                      <w:rFonts w:ascii="仿宋_GB2312" w:hAnsi="仿宋_GB2312" w:cs="仿宋_GB2312" w:eastAsia="仿宋_GB2312"/>
                      <w:sz w:val="24"/>
                      <w:b/>
                    </w:rPr>
                    <w:t>/项）</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换背板</w:t>
                  </w:r>
                </w:p>
              </w:tc>
              <w:tc>
                <w:tcPr>
                  <w:tcW w:type="dxa" w:w="5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具体以实际发生数量为准</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换门子</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换顶盖</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换底座</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换立柱</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换侧板</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凹陷修复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钣金</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9</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金属焊接</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喷漆</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果皮箱拆除移位路面修复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定位安装（含新修道路新装）</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794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火烧清洗剂清洗修复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旧果皮箱换新</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794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太阳能板果皮箱（顶部换太阳能板）</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235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太阳能板果皮箱（更换电池盒）</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果皮箱拆除（市政修路施工）</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果皮箱移位（市政修理增设）</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19</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更换内胆</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补装果皮箱烟缸</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标识印刷</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换门锁</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换合页</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果皮箱保养合页打润滑油</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果皮箱污垢清理（胶、漆等）</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太阳能板果皮箱（更换照明灯）</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更换果皮箱门把手</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现场维修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果皮箱门锁钥匙</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716"/>
              <w:jc w:val="left"/>
            </w:pPr>
            <w:r>
              <w:rPr>
                <w:rFonts w:ascii="仿宋_GB2312" w:hAnsi="仿宋_GB2312" w:cs="仿宋_GB2312" w:eastAsia="仿宋_GB2312"/>
                <w:sz w:val="16"/>
                <w:color w:val="000000"/>
              </w:rPr>
              <w:t>技术要求：</w:t>
            </w:r>
          </w:p>
          <w:p>
            <w:pPr>
              <w:pStyle w:val="null3"/>
            </w:pPr>
            <w:r>
              <w:rPr>
                <w:rFonts w:ascii="仿宋_GB2312" w:hAnsi="仿宋_GB2312" w:cs="仿宋_GB2312" w:eastAsia="仿宋_GB2312"/>
                <w:sz w:val="16"/>
                <w:color w:val="000000"/>
              </w:rPr>
              <w:t xml:space="preserve">              保证</w:t>
            </w:r>
            <w:r>
              <w:rPr>
                <w:rFonts w:ascii="仿宋_GB2312" w:hAnsi="仿宋_GB2312" w:cs="仿宋_GB2312" w:eastAsia="仿宋_GB2312"/>
                <w:sz w:val="16"/>
                <w:color w:val="000000"/>
              </w:rPr>
              <w:t>365天管辖路段果皮箱完整。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sz w:val="16"/>
                <w:color w:val="000000"/>
              </w:rPr>
              <w:t>服务要求</w:t>
            </w:r>
            <w:r>
              <w:rPr>
                <w:rFonts w:ascii="仿宋_GB2312" w:hAnsi="仿宋_GB2312" w:cs="仿宋_GB2312" w:eastAsia="仿宋_GB2312"/>
                <w:sz w:val="16"/>
                <w:color w:val="000000"/>
              </w:rPr>
              <w:t>：</w:t>
            </w:r>
          </w:p>
          <w:p>
            <w:pPr>
              <w:pStyle w:val="null3"/>
              <w:ind w:firstLine="640"/>
              <w:jc w:val="left"/>
            </w:pPr>
            <w:r>
              <w:rPr>
                <w:rFonts w:ascii="仿宋_GB2312" w:hAnsi="仿宋_GB2312" w:cs="仿宋_GB2312" w:eastAsia="仿宋_GB2312"/>
                <w:sz w:val="16"/>
                <w:color w:val="000000"/>
              </w:rPr>
              <w:t>1.维修效果：保证365天全路段果皮箱完整，当天损坏的果皮箱当天进行修补或更换，必须确保果皮箱增补的油漆颜色和原颜色一致，增补的焊接部分平整，无疤痕及焊孔，外形规整，安装牢靠。</w:t>
            </w:r>
          </w:p>
          <w:p>
            <w:pPr>
              <w:pStyle w:val="null3"/>
              <w:ind w:firstLine="640"/>
              <w:jc w:val="left"/>
            </w:pPr>
            <w:r>
              <w:rPr>
                <w:rFonts w:ascii="仿宋_GB2312" w:hAnsi="仿宋_GB2312" w:cs="仿宋_GB2312" w:eastAsia="仿宋_GB2312"/>
                <w:sz w:val="16"/>
                <w:color w:val="000000"/>
              </w:rPr>
              <w:t>2.维修工艺：365天每天必须不少于4人上路巡查，发现小的问题现场维修处理，发现有严重变形的，拆回固定维修地点修整以后，再安装，如果损坏严重，无法修复的，更换与原外形、颜色一致的果皮箱。</w:t>
            </w:r>
          </w:p>
          <w:p>
            <w:pPr>
              <w:pStyle w:val="null3"/>
              <w:ind w:firstLine="640"/>
              <w:jc w:val="left"/>
            </w:pPr>
            <w:r>
              <w:rPr>
                <w:rFonts w:ascii="仿宋_GB2312" w:hAnsi="仿宋_GB2312" w:cs="仿宋_GB2312" w:eastAsia="仿宋_GB2312"/>
                <w:sz w:val="16"/>
                <w:color w:val="000000"/>
              </w:rPr>
              <w:t>3.人员设备要求</w:t>
            </w:r>
          </w:p>
          <w:p>
            <w:pPr>
              <w:pStyle w:val="null3"/>
              <w:ind w:firstLine="640"/>
              <w:jc w:val="left"/>
            </w:pPr>
            <w:r>
              <w:rPr>
                <w:rFonts w:ascii="仿宋_GB2312" w:hAnsi="仿宋_GB2312" w:cs="仿宋_GB2312" w:eastAsia="仿宋_GB2312"/>
                <w:sz w:val="16"/>
                <w:color w:val="000000"/>
              </w:rPr>
              <w:t>3.1.配备专业的维修人员不少于4名，管理人员不少于1名。</w:t>
            </w:r>
          </w:p>
          <w:p>
            <w:pPr>
              <w:pStyle w:val="null3"/>
            </w:pPr>
            <w:r>
              <w:rPr>
                <w:rFonts w:ascii="仿宋_GB2312" w:hAnsi="仿宋_GB2312" w:cs="仿宋_GB2312" w:eastAsia="仿宋_GB2312"/>
                <w:sz w:val="16"/>
                <w:color w:val="000000"/>
              </w:rPr>
              <w:t xml:space="preserve">              3.2.有2辆及以上专业维修车辆，有发电机、电焊机、空压机等维修工具及设备。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sz w:val="16"/>
                <w:color w:val="000000"/>
              </w:rPr>
              <w:t>成果交付要求：</w:t>
            </w:r>
          </w:p>
          <w:p>
            <w:pPr>
              <w:pStyle w:val="null3"/>
              <w:ind w:firstLine="640"/>
              <w:jc w:val="left"/>
            </w:pPr>
            <w:r>
              <w:rPr>
                <w:rFonts w:ascii="仿宋_GB2312" w:hAnsi="仿宋_GB2312" w:cs="仿宋_GB2312" w:eastAsia="仿宋_GB2312"/>
                <w:sz w:val="16"/>
                <w:color w:val="000000"/>
              </w:rPr>
              <w:t>1、维修效果：保证365天全路段果皮箱完整，当天损坏的果皮箱当天进行修补或更换，必须确保果皮箱增补的油漆颜色和原颜色一致，增补的焊接部分平整，无疤痕及焊孔，外形规整，安装牢靠。</w:t>
            </w:r>
          </w:p>
          <w:p>
            <w:pPr>
              <w:pStyle w:val="null3"/>
            </w:pPr>
            <w:r>
              <w:rPr>
                <w:rFonts w:ascii="仿宋_GB2312" w:hAnsi="仿宋_GB2312" w:cs="仿宋_GB2312" w:eastAsia="仿宋_GB2312"/>
                <w:sz w:val="16"/>
                <w:color w:val="000000"/>
              </w:rPr>
              <w:t xml:space="preserve">             2、换新：更换与原外形、颜色一致的果皮箱。</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考核办法：</w:t>
            </w:r>
          </w:p>
          <w:p>
            <w:pPr>
              <w:pStyle w:val="null3"/>
            </w:pPr>
            <w:r>
              <w:rPr>
                <w:rFonts w:ascii="仿宋_GB2312" w:hAnsi="仿宋_GB2312" w:cs="仿宋_GB2312" w:eastAsia="仿宋_GB2312"/>
              </w:rPr>
              <w:t>1.定期维护（40分）</w:t>
            </w:r>
          </w:p>
          <w:p>
            <w:pPr>
              <w:pStyle w:val="null3"/>
            </w:pPr>
            <w:r>
              <w:rPr>
                <w:rFonts w:ascii="仿宋_GB2312" w:hAnsi="仿宋_GB2312" w:cs="仿宋_GB2312" w:eastAsia="仿宋_GB2312"/>
              </w:rPr>
              <w:t>（</w:t>
            </w:r>
            <w:r>
              <w:rPr>
                <w:rFonts w:ascii="仿宋_GB2312" w:hAnsi="仿宋_GB2312" w:cs="仿宋_GB2312" w:eastAsia="仿宋_GB2312"/>
              </w:rPr>
              <w:t>1）未按规定每周进行全面检查，每次扣2分。（满分20分）</w:t>
            </w:r>
          </w:p>
          <w:p>
            <w:pPr>
              <w:pStyle w:val="null3"/>
            </w:pPr>
            <w:r>
              <w:rPr>
                <w:rFonts w:ascii="仿宋_GB2312" w:hAnsi="仿宋_GB2312" w:cs="仿宋_GB2312" w:eastAsia="仿宋_GB2312"/>
              </w:rPr>
              <w:t>（</w:t>
            </w:r>
            <w:r>
              <w:rPr>
                <w:rFonts w:ascii="仿宋_GB2312" w:hAnsi="仿宋_GB2312" w:cs="仿宋_GB2312" w:eastAsia="仿宋_GB2312"/>
              </w:rPr>
              <w:t>2）发现果皮箱损坏、缺失未及时维修或更换，每发现一处扣2分。（满分20分）</w:t>
            </w:r>
          </w:p>
          <w:p>
            <w:pPr>
              <w:pStyle w:val="null3"/>
            </w:pPr>
            <w:r>
              <w:rPr>
                <w:rFonts w:ascii="仿宋_GB2312" w:hAnsi="仿宋_GB2312" w:cs="仿宋_GB2312" w:eastAsia="仿宋_GB2312"/>
              </w:rPr>
              <w:t>2.特殊情况处理（40分）</w:t>
            </w:r>
          </w:p>
          <w:p>
            <w:pPr>
              <w:pStyle w:val="null3"/>
            </w:pPr>
            <w:r>
              <w:rPr>
                <w:rFonts w:ascii="仿宋_GB2312" w:hAnsi="仿宋_GB2312" w:cs="仿宋_GB2312" w:eastAsia="仿宋_GB2312"/>
              </w:rPr>
              <w:t>（</w:t>
            </w:r>
            <w:r>
              <w:rPr>
                <w:rFonts w:ascii="仿宋_GB2312" w:hAnsi="仿宋_GB2312" w:cs="仿宋_GB2312" w:eastAsia="仿宋_GB2312"/>
              </w:rPr>
              <w:t>1）在大节日、活动期间，未及时检查果皮箱损坏状态或完整程度；遇到恶劣天气后，未及时对果皮箱进行检查，每发现一处扣5分。（满分20分）</w:t>
            </w:r>
          </w:p>
          <w:p>
            <w:pPr>
              <w:pStyle w:val="null3"/>
            </w:pPr>
            <w:r>
              <w:rPr>
                <w:rFonts w:ascii="仿宋_GB2312" w:hAnsi="仿宋_GB2312" w:cs="仿宋_GB2312" w:eastAsia="仿宋_GB2312"/>
              </w:rPr>
              <w:t>（</w:t>
            </w:r>
            <w:r>
              <w:rPr>
                <w:rFonts w:ascii="仿宋_GB2312" w:hAnsi="仿宋_GB2312" w:cs="仿宋_GB2312" w:eastAsia="仿宋_GB2312"/>
              </w:rPr>
              <w:t>2）在大节日、活动期间，发现果皮箱损坏但未及时维修处理的，每发现1处扣5分。（满分20分）</w:t>
            </w:r>
          </w:p>
          <w:p>
            <w:pPr>
              <w:pStyle w:val="null3"/>
            </w:pPr>
            <w:r>
              <w:rPr>
                <w:rFonts w:ascii="仿宋_GB2312" w:hAnsi="仿宋_GB2312" w:cs="仿宋_GB2312" w:eastAsia="仿宋_GB2312"/>
              </w:rPr>
              <w:t>3.台账管理（20分）</w:t>
            </w:r>
          </w:p>
          <w:p>
            <w:pPr>
              <w:pStyle w:val="null3"/>
            </w:pPr>
            <w:r>
              <w:rPr>
                <w:rFonts w:ascii="仿宋_GB2312" w:hAnsi="仿宋_GB2312" w:cs="仿宋_GB2312" w:eastAsia="仿宋_GB2312"/>
              </w:rPr>
              <w:t>（</w:t>
            </w:r>
            <w:r>
              <w:rPr>
                <w:rFonts w:ascii="仿宋_GB2312" w:hAnsi="仿宋_GB2312" w:cs="仿宋_GB2312" w:eastAsia="仿宋_GB2312"/>
              </w:rPr>
              <w:t>1）未建立果皮箱维护管理台账，扣20分。</w:t>
            </w:r>
          </w:p>
          <w:p>
            <w:pPr>
              <w:pStyle w:val="null3"/>
            </w:pPr>
            <w:r>
              <w:rPr>
                <w:rFonts w:ascii="仿宋_GB2312" w:hAnsi="仿宋_GB2312" w:cs="仿宋_GB2312" w:eastAsia="仿宋_GB2312"/>
              </w:rPr>
              <w:t>（</w:t>
            </w:r>
            <w:r>
              <w:rPr>
                <w:rFonts w:ascii="仿宋_GB2312" w:hAnsi="仿宋_GB2312" w:cs="仿宋_GB2312" w:eastAsia="仿宋_GB2312"/>
              </w:rPr>
              <w:t>2）台账记录不完整、不准确，每发现一处扣2分。</w:t>
            </w:r>
          </w:p>
          <w:p>
            <w:pPr>
              <w:pStyle w:val="null3"/>
            </w:pPr>
            <w:r>
              <w:rPr>
                <w:rFonts w:ascii="仿宋_GB2312" w:hAnsi="仿宋_GB2312" w:cs="仿宋_GB2312" w:eastAsia="仿宋_GB2312"/>
                <w:sz w:val="21"/>
              </w:rPr>
              <w:t>该办法按季进行考核评分，每次付款前按照对应时间段的评分进行扣款，按照审定价</w:t>
            </w:r>
            <w:r>
              <w:rPr>
                <w:rFonts w:ascii="仿宋_GB2312" w:hAnsi="仿宋_GB2312" w:cs="仿宋_GB2312" w:eastAsia="仿宋_GB2312"/>
                <w:sz w:val="21"/>
              </w:rPr>
              <w:t>(比例)进行相应的扣除。具体比例按合同执行。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标的名称：2026年果皮箱维护（东区）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包括等驾坡街道办事处、曲江街道办事处大雁塔街道办事处、小寨路街道办事处、长延堡街道办事处辖区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298"/>
              <w:gridCol w:w="871"/>
              <w:gridCol w:w="563"/>
              <w:gridCol w:w="222"/>
              <w:gridCol w:w="37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维修类型</w:t>
                  </w:r>
                </w:p>
              </w:tc>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项目</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（元</w:t>
                  </w:r>
                  <w:r>
                    <w:rPr>
                      <w:rFonts w:ascii="仿宋_GB2312" w:hAnsi="仿宋_GB2312" w:cs="仿宋_GB2312" w:eastAsia="仿宋_GB2312"/>
                      <w:sz w:val="24"/>
                      <w:b/>
                    </w:rPr>
                    <w:t>/项）</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换背板</w:t>
                  </w:r>
                </w:p>
              </w:tc>
              <w:tc>
                <w:tcPr>
                  <w:tcW w:type="dxa" w:w="5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具体以实际发生数量为准</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换门子</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换顶盖</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换底座</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换立柱</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换侧板</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凹陷修复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钣金</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9</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金属焊接</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喷漆</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果皮箱拆除移位路面修复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定位安装（含新修道路新装）</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794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火烧清洗剂清洗修复</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旧果皮箱换新</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794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太阳能板果皮箱（顶部换太阳能板）</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235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大维修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太阳能板果皮箱（更换电池盒）</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果皮箱拆除（市政修路施工）</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果皮箱移位（市政修理增设）</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19</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更换内胆</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补装果皮箱烟缸</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21</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标识印刷</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22</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换门锁</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23</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换合页</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24</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果皮箱保养合页打润滑油</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25</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果皮箱污垢清理（胶、漆等）</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26</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太阳能板果皮箱（更换照明灯）</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27</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小维修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更换果皮箱门把手</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28</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现场维修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果皮箱门锁钥匙</w:t>
                  </w:r>
                </w:p>
              </w:tc>
              <w:tc>
                <w:tcPr>
                  <w:tcW w:type="dxa" w:w="563"/>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716"/>
              <w:jc w:val="left"/>
            </w:pPr>
            <w:r>
              <w:rPr>
                <w:rFonts w:ascii="仿宋_GB2312" w:hAnsi="仿宋_GB2312" w:cs="仿宋_GB2312" w:eastAsia="仿宋_GB2312"/>
                <w:sz w:val="16"/>
                <w:color w:val="000000"/>
              </w:rPr>
              <w:t>技术要求：</w:t>
            </w:r>
          </w:p>
          <w:p>
            <w:pPr>
              <w:pStyle w:val="null3"/>
            </w:pPr>
            <w:r>
              <w:rPr>
                <w:rFonts w:ascii="仿宋_GB2312" w:hAnsi="仿宋_GB2312" w:cs="仿宋_GB2312" w:eastAsia="仿宋_GB2312"/>
                <w:sz w:val="16"/>
                <w:color w:val="000000"/>
              </w:rPr>
              <w:t xml:space="preserve">                保证</w:t>
            </w:r>
            <w:r>
              <w:rPr>
                <w:rFonts w:ascii="仿宋_GB2312" w:hAnsi="仿宋_GB2312" w:cs="仿宋_GB2312" w:eastAsia="仿宋_GB2312"/>
                <w:sz w:val="16"/>
                <w:color w:val="000000"/>
              </w:rPr>
              <w:t>365天管辖路段果皮箱完整。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sz w:val="16"/>
                <w:color w:val="000000"/>
              </w:rPr>
              <w:t>服务要求</w:t>
            </w:r>
            <w:r>
              <w:rPr>
                <w:rFonts w:ascii="仿宋_GB2312" w:hAnsi="仿宋_GB2312" w:cs="仿宋_GB2312" w:eastAsia="仿宋_GB2312"/>
                <w:sz w:val="16"/>
                <w:color w:val="000000"/>
              </w:rPr>
              <w:t>：</w:t>
            </w:r>
          </w:p>
          <w:p>
            <w:pPr>
              <w:pStyle w:val="null3"/>
              <w:ind w:firstLine="640"/>
              <w:jc w:val="left"/>
            </w:pPr>
            <w:r>
              <w:rPr>
                <w:rFonts w:ascii="仿宋_GB2312" w:hAnsi="仿宋_GB2312" w:cs="仿宋_GB2312" w:eastAsia="仿宋_GB2312"/>
                <w:sz w:val="16"/>
                <w:color w:val="000000"/>
              </w:rPr>
              <w:t>1.维修效果：保证365天全路段果皮箱完整，当天损坏的果皮箱当天进行修补或更换，必须确保果皮箱增补的油漆颜色和原颜色一致，增补的焊接部分平整，无疤痕及焊孔，外形规整，安装牢靠。</w:t>
            </w:r>
          </w:p>
          <w:p>
            <w:pPr>
              <w:pStyle w:val="null3"/>
              <w:ind w:firstLine="640"/>
              <w:jc w:val="left"/>
            </w:pPr>
            <w:r>
              <w:rPr>
                <w:rFonts w:ascii="仿宋_GB2312" w:hAnsi="仿宋_GB2312" w:cs="仿宋_GB2312" w:eastAsia="仿宋_GB2312"/>
                <w:sz w:val="16"/>
                <w:color w:val="000000"/>
              </w:rPr>
              <w:t>2.维修工艺：365天每天必须不少于4人上路巡查，发现小的问题现场维修处理，发现有严重变形的，拆回固定维修地点修整以后，再安装，如果损坏严重，无法修复的，更换与原外形、颜色一致的果皮箱。</w:t>
            </w:r>
          </w:p>
          <w:p>
            <w:pPr>
              <w:pStyle w:val="null3"/>
              <w:ind w:firstLine="640"/>
              <w:jc w:val="left"/>
            </w:pPr>
            <w:r>
              <w:rPr>
                <w:rFonts w:ascii="仿宋_GB2312" w:hAnsi="仿宋_GB2312" w:cs="仿宋_GB2312" w:eastAsia="仿宋_GB2312"/>
                <w:sz w:val="16"/>
                <w:color w:val="000000"/>
              </w:rPr>
              <w:t>3.人员设备要求</w:t>
            </w:r>
          </w:p>
          <w:p>
            <w:pPr>
              <w:pStyle w:val="null3"/>
              <w:ind w:firstLine="640"/>
              <w:jc w:val="left"/>
            </w:pPr>
            <w:r>
              <w:rPr>
                <w:rFonts w:ascii="仿宋_GB2312" w:hAnsi="仿宋_GB2312" w:cs="仿宋_GB2312" w:eastAsia="仿宋_GB2312"/>
                <w:sz w:val="16"/>
                <w:color w:val="000000"/>
              </w:rPr>
              <w:t>3.1.配备专业的维修人员不少于4名，管理人员不少于1名。</w:t>
            </w:r>
          </w:p>
          <w:p>
            <w:pPr>
              <w:pStyle w:val="null3"/>
            </w:pPr>
            <w:r>
              <w:rPr>
                <w:rFonts w:ascii="仿宋_GB2312" w:hAnsi="仿宋_GB2312" w:cs="仿宋_GB2312" w:eastAsia="仿宋_GB2312"/>
                <w:sz w:val="16"/>
                <w:color w:val="000000"/>
              </w:rPr>
              <w:t xml:space="preserve">             3.2.有2辆及以上专业维修车辆，有发电机、电焊机、空压机等维修工具及设备。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sz w:val="16"/>
                <w:color w:val="000000"/>
              </w:rPr>
              <w:t>成果交付要求</w:t>
            </w:r>
          </w:p>
          <w:p>
            <w:pPr>
              <w:pStyle w:val="null3"/>
              <w:ind w:firstLine="640"/>
              <w:jc w:val="left"/>
            </w:pPr>
            <w:r>
              <w:rPr>
                <w:rFonts w:ascii="仿宋_GB2312" w:hAnsi="仿宋_GB2312" w:cs="仿宋_GB2312" w:eastAsia="仿宋_GB2312"/>
                <w:sz w:val="16"/>
                <w:color w:val="000000"/>
              </w:rPr>
              <w:t>1、维修效果：保证365天全路段果皮箱完整，当天损坏的果皮箱当天进行修补或更换，必须确保果皮箱增补的油漆颜色和原颜色一致，增补的焊接部分平整，无疤痕及焊孔，外形规整，安装牢靠。</w:t>
            </w:r>
          </w:p>
          <w:p>
            <w:pPr>
              <w:pStyle w:val="null3"/>
            </w:pPr>
            <w:r>
              <w:rPr>
                <w:rFonts w:ascii="仿宋_GB2312" w:hAnsi="仿宋_GB2312" w:cs="仿宋_GB2312" w:eastAsia="仿宋_GB2312"/>
                <w:sz w:val="16"/>
                <w:color w:val="000000"/>
              </w:rPr>
              <w:t xml:space="preserve">              2、换新：更换与原外形、颜色一致的果皮箱。</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考核办法：</w:t>
            </w:r>
          </w:p>
          <w:p>
            <w:pPr>
              <w:pStyle w:val="null3"/>
            </w:pPr>
            <w:r>
              <w:rPr>
                <w:rFonts w:ascii="仿宋_GB2312" w:hAnsi="仿宋_GB2312" w:cs="仿宋_GB2312" w:eastAsia="仿宋_GB2312"/>
              </w:rPr>
              <w:t>1.定期维护（40分）</w:t>
            </w:r>
          </w:p>
          <w:p>
            <w:pPr>
              <w:pStyle w:val="null3"/>
            </w:pPr>
            <w:r>
              <w:rPr>
                <w:rFonts w:ascii="仿宋_GB2312" w:hAnsi="仿宋_GB2312" w:cs="仿宋_GB2312" w:eastAsia="仿宋_GB2312"/>
              </w:rPr>
              <w:t>（</w:t>
            </w:r>
            <w:r>
              <w:rPr>
                <w:rFonts w:ascii="仿宋_GB2312" w:hAnsi="仿宋_GB2312" w:cs="仿宋_GB2312" w:eastAsia="仿宋_GB2312"/>
              </w:rPr>
              <w:t>1）未按规定每周进行全面检查，每次扣2分。（满分20分）</w:t>
            </w:r>
          </w:p>
          <w:p>
            <w:pPr>
              <w:pStyle w:val="null3"/>
            </w:pPr>
            <w:r>
              <w:rPr>
                <w:rFonts w:ascii="仿宋_GB2312" w:hAnsi="仿宋_GB2312" w:cs="仿宋_GB2312" w:eastAsia="仿宋_GB2312"/>
              </w:rPr>
              <w:t>（</w:t>
            </w:r>
            <w:r>
              <w:rPr>
                <w:rFonts w:ascii="仿宋_GB2312" w:hAnsi="仿宋_GB2312" w:cs="仿宋_GB2312" w:eastAsia="仿宋_GB2312"/>
              </w:rPr>
              <w:t>2）发现果皮箱损坏、缺失未及时维修或更换，每发现一处扣2分。（满分20分）</w:t>
            </w:r>
          </w:p>
          <w:p>
            <w:pPr>
              <w:pStyle w:val="null3"/>
            </w:pPr>
            <w:r>
              <w:rPr>
                <w:rFonts w:ascii="仿宋_GB2312" w:hAnsi="仿宋_GB2312" w:cs="仿宋_GB2312" w:eastAsia="仿宋_GB2312"/>
              </w:rPr>
              <w:t>2.特殊情况处理（40分）</w:t>
            </w:r>
          </w:p>
          <w:p>
            <w:pPr>
              <w:pStyle w:val="null3"/>
            </w:pPr>
            <w:r>
              <w:rPr>
                <w:rFonts w:ascii="仿宋_GB2312" w:hAnsi="仿宋_GB2312" w:cs="仿宋_GB2312" w:eastAsia="仿宋_GB2312"/>
              </w:rPr>
              <w:t>（</w:t>
            </w:r>
            <w:r>
              <w:rPr>
                <w:rFonts w:ascii="仿宋_GB2312" w:hAnsi="仿宋_GB2312" w:cs="仿宋_GB2312" w:eastAsia="仿宋_GB2312"/>
              </w:rPr>
              <w:t>1）在大节日、活动期间，未及时检查果皮箱损坏状态或完整程度；遇到恶劣天气后，未及时对果皮箱进行检查，每发现一处扣5分。（满分20分）</w:t>
            </w:r>
          </w:p>
          <w:p>
            <w:pPr>
              <w:pStyle w:val="null3"/>
            </w:pPr>
            <w:r>
              <w:rPr>
                <w:rFonts w:ascii="仿宋_GB2312" w:hAnsi="仿宋_GB2312" w:cs="仿宋_GB2312" w:eastAsia="仿宋_GB2312"/>
              </w:rPr>
              <w:t>（</w:t>
            </w:r>
            <w:r>
              <w:rPr>
                <w:rFonts w:ascii="仿宋_GB2312" w:hAnsi="仿宋_GB2312" w:cs="仿宋_GB2312" w:eastAsia="仿宋_GB2312"/>
              </w:rPr>
              <w:t>2）在大节日、活动期间，发现果皮箱损坏但未及时维修处理的，每发现1处扣5分。（满分20分）</w:t>
            </w:r>
          </w:p>
          <w:p>
            <w:pPr>
              <w:pStyle w:val="null3"/>
            </w:pPr>
            <w:r>
              <w:rPr>
                <w:rFonts w:ascii="仿宋_GB2312" w:hAnsi="仿宋_GB2312" w:cs="仿宋_GB2312" w:eastAsia="仿宋_GB2312"/>
              </w:rPr>
              <w:t>3.台账管理（20分）</w:t>
            </w:r>
          </w:p>
          <w:p>
            <w:pPr>
              <w:pStyle w:val="null3"/>
            </w:pPr>
            <w:r>
              <w:rPr>
                <w:rFonts w:ascii="仿宋_GB2312" w:hAnsi="仿宋_GB2312" w:cs="仿宋_GB2312" w:eastAsia="仿宋_GB2312"/>
              </w:rPr>
              <w:t>（</w:t>
            </w:r>
            <w:r>
              <w:rPr>
                <w:rFonts w:ascii="仿宋_GB2312" w:hAnsi="仿宋_GB2312" w:cs="仿宋_GB2312" w:eastAsia="仿宋_GB2312"/>
              </w:rPr>
              <w:t>1）未建立果皮箱维护管理台账，扣20分。</w:t>
            </w:r>
          </w:p>
          <w:p>
            <w:pPr>
              <w:pStyle w:val="null3"/>
            </w:pPr>
            <w:r>
              <w:rPr>
                <w:rFonts w:ascii="仿宋_GB2312" w:hAnsi="仿宋_GB2312" w:cs="仿宋_GB2312" w:eastAsia="仿宋_GB2312"/>
              </w:rPr>
              <w:t>（</w:t>
            </w:r>
            <w:r>
              <w:rPr>
                <w:rFonts w:ascii="仿宋_GB2312" w:hAnsi="仿宋_GB2312" w:cs="仿宋_GB2312" w:eastAsia="仿宋_GB2312"/>
              </w:rPr>
              <w:t>2）台账记录不完整、不准确，每发现一处扣2分。</w:t>
            </w:r>
          </w:p>
          <w:p>
            <w:pPr>
              <w:pStyle w:val="null3"/>
            </w:pPr>
            <w:r>
              <w:rPr>
                <w:rFonts w:ascii="仿宋_GB2312" w:hAnsi="仿宋_GB2312" w:cs="仿宋_GB2312" w:eastAsia="仿宋_GB2312"/>
                <w:sz w:val="21"/>
              </w:rPr>
              <w:t>该办法按季进行考核评分，每次付款前按照对应时间段的评分进行扣款，按照审定价</w:t>
            </w:r>
            <w:r>
              <w:rPr>
                <w:rFonts w:ascii="仿宋_GB2312" w:hAnsi="仿宋_GB2312" w:cs="仿宋_GB2312" w:eastAsia="仿宋_GB2312"/>
                <w:sz w:val="21"/>
              </w:rPr>
              <w:t>(比例)进行相应的扣除。具体比例按合同执行。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详见服务要求，根据服务要求自行配置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详见服务要求，根据服务要求自行配置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详见服务要求，根据服务要求自行配置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详见服务要求，根据服务要求自行配置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如遇重大活动，采购人可根据实际需要，调动东西片区服务人员互相配合工作，成交供应商必须无条件配合。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如遇重大活动，采购人可根据实际需要，调动东西片区服务人员互相配合工作，成交供应商必须无条件配合。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2026年全年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2026年全年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符合国家或行业验收质量合格标准。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符合国家或行业验收质量合格标准。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进度款，（分两次支付,两次支付合同金额不得超过本年度财政预算下达金额）第一次成果交付并验收合格并经审计后，审计费用由采购单位承担，达到付款条件起5个工作日内，支付合同总金额的50.0%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进度款，（分两次支付,两次支付合同金额不得超过本年度财政预算下达金额）第二次成果交付并验收合格并经审计后，审计费用由采购单位承担，达到付款条件起5个工作日内，支付合同总金额的50.0%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进度款，（分两次支付,两次支付合同金额不得超过本年度财政预算下达金额）第一次成果交付并验收合格并经审计后，审计费用由采购单位承担，达到付款条件起5个工作日内，支付合同总金额的50.0%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进度款，（分两次支付,两次支付合同金额不得超过本年度财政预算下达金额）第二次成果交付并验收合格并经审计后，审计费用由采购单位承担，达到付款条件起5个工作日内，支付合同总金额的50.0%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未按合同要求提供货物或服务不能满足要求，会同监督机构有权终止合同，对成交供应商违约行为进行追究，同时按政府采购法的有关规定进行相应的处罚。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未按合同要求提供货物或服务不能满足要求，会同监督机构有权终止合同，对成交供应商违约行为进行追究，同时按政府采购法的有关规定进行相应的处罚。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至少包括资产负债表和利润表，成立时间至提交投标文件截止时间不足一年的可提供成立后任意时段的资产负债表）；或其开标前半年内基本存款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至少包括资产负债表和利润表，成立时间至提交投标文件截止时间不足一年的可提供成立后任意时段的资产负债表）；或其开标前半年内基本存款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应符合“竞争性磋商文件格式”要求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应符合“竞争性磋商文件格式”要求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15分； 内容专门针对本项目编制，符合本项目实际情况及实施要求，内容详细，方案涵盖角度基本全面，有一定的合理性和可行性的，得10分； 内容专门针对本项目编制，基本符合本项目实际情况及实施要求，内容较详细，方案涵盖角度较全面，基本合理可行的，得6 分；内容简单笼统，且实施难度大的，得 1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配备专业的维修人员4名，管理人员1名满足本项目基本服务要求不得分，在此基础上，每增加一名维修人员得2分，每增加一名管理人员得4分，最多得16分。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设备、设施配置方案</w:t>
            </w:r>
          </w:p>
        </w:tc>
        <w:tc>
          <w:tcPr>
            <w:tcW w:type="dxa" w:w="2492"/>
          </w:tcPr>
          <w:p>
            <w:pPr>
              <w:pStyle w:val="null3"/>
            </w:pPr>
            <w:r>
              <w:rPr>
                <w:rFonts w:ascii="仿宋_GB2312" w:hAnsi="仿宋_GB2312" w:cs="仿宋_GB2312" w:eastAsia="仿宋_GB2312"/>
              </w:rPr>
              <w:t>有2辆专业维修车辆满足本项目基本服务要求不得分，在此基础上，每增加1辆专业维修车辆得2分，最多得8分。有发电机、电焊机、空压机各2台满足本项目基本服务要求不得分，在此基础上，每增加1台专用设备得2分，最多得10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设备、设施配置方案.docx</w:t>
            </w:r>
          </w:p>
        </w:tc>
      </w:tr>
      <w:tr>
        <w:tc>
          <w:tcPr>
            <w:tcW w:type="dxa" w:w="831"/>
            <w:vMerge/>
          </w:tcPr>
          <w:p/>
        </w:tc>
        <w:tc>
          <w:tcPr>
            <w:tcW w:type="dxa" w:w="1661"/>
          </w:tcPr>
          <w:p>
            <w:pPr>
              <w:pStyle w:val="null3"/>
            </w:pPr>
            <w:r>
              <w:rPr>
                <w:rFonts w:ascii="仿宋_GB2312" w:hAnsi="仿宋_GB2312" w:cs="仿宋_GB2312" w:eastAsia="仿宋_GB2312"/>
              </w:rPr>
              <w:t>突发事件应急保障措施</w:t>
            </w:r>
          </w:p>
        </w:tc>
        <w:tc>
          <w:tcPr>
            <w:tcW w:type="dxa" w:w="2492"/>
          </w:tcPr>
          <w:p>
            <w:pPr>
              <w:pStyle w:val="null3"/>
            </w:pPr>
            <w:r>
              <w:rPr>
                <w:rFonts w:ascii="仿宋_GB2312" w:hAnsi="仿宋_GB2312" w:cs="仿宋_GB2312" w:eastAsia="仿宋_GB2312"/>
              </w:rPr>
              <w:t>针对本项目制定合理、可行的各种突发情况的安全应急预案。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7 分； 方案内容专门针对本项目编制，基本符合本项目实际情况及实施要求，方案较详细，方案涵盖角度较全面，基本合理可行的，得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突发事件应急保障措施.docx</w:t>
            </w:r>
          </w:p>
        </w:tc>
      </w:tr>
      <w:tr>
        <w:tc>
          <w:tcPr>
            <w:tcW w:type="dxa" w:w="831"/>
            <w:vMerge/>
          </w:tcPr>
          <w:p/>
        </w:tc>
        <w:tc>
          <w:tcPr>
            <w:tcW w:type="dxa" w:w="1661"/>
          </w:tcPr>
          <w:p>
            <w:pPr>
              <w:pStyle w:val="null3"/>
            </w:pPr>
            <w:r>
              <w:rPr>
                <w:rFonts w:ascii="仿宋_GB2312" w:hAnsi="仿宋_GB2312" w:cs="仿宋_GB2312" w:eastAsia="仿宋_GB2312"/>
              </w:rPr>
              <w:t>质量控制的保证措施</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（2）对供应商针对本项目提供的服务人员与采购人工作配合的保障措施进行评审；（3分） 评审标准：内容专门针对本项目编制，符合本项目实际情况及实施要求，内容详尽、方案涵盖角度全面，合理性和可行性强，能够保障项目顺利实施的，得 3分； 内容专门针对本项目编制，符合本项目实际情况及实施要求，内容详细，方案涵盖角度基本全面，有一定的合理性和可行性的，得2分；内容简单笼统，且实施难度大的，得 1 分；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1、承诺完整、考虑全面、细节描述详细，得7分; 2、承诺较完整、考虑较全面、细节描述较详细，得5分;3、承诺内容较少、考虑欠缺、描述简单，得3分；4、承诺内容简单笼统，且描述不清，得 1 分； 未响应不得分。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供应商2023年1月至今同类项目业绩；每提供1份计4分，最高得16分。 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价格分采用低价优先法计算，即满足磋商文件要求且磋商下浮率最高的供应商的价格为磋商基准价，其价格分为满分。 其他供应商的价格分统一按照下列公式计算：磋商报价得分=(1-最高下浮率)/(1-最终磋商下浮率)*100%*10。 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15分； 内容专门针对本项目编制，符合本项目实际情况及实施要求，内容详细，方案涵盖角度基本全面，有一定的合理性和可行性的，得10分； 内容专门针对本项目编制，基本符合本项目实际情况及实施要求，内容较详细，方案涵盖角度较全面，基本合理可行的，得6 分；内容简单笼统，且实施难度大的，得 1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配备专业的维修人员4名，管理人员1名满足本项目基本服务要求不得分，在此基础上，每增加一名维修人员得2分，每增加一名管理人员得4分，最多得16分。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设备、设施配置方案</w:t>
            </w:r>
          </w:p>
        </w:tc>
        <w:tc>
          <w:tcPr>
            <w:tcW w:type="dxa" w:w="2492"/>
          </w:tcPr>
          <w:p>
            <w:pPr>
              <w:pStyle w:val="null3"/>
            </w:pPr>
            <w:r>
              <w:rPr>
                <w:rFonts w:ascii="仿宋_GB2312" w:hAnsi="仿宋_GB2312" w:cs="仿宋_GB2312" w:eastAsia="仿宋_GB2312"/>
              </w:rPr>
              <w:t>有2辆专业维修车辆满足本项目基本服务要求不得分，在此基础上，每增加1辆专业维修车辆得2分，最多得8分。有发电机、电焊机、空压机各2台满足本项目基本服务要求不得分，在此基础上，每增加1台专用设备得2分，最多得10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设备、设施配置方案.docx</w:t>
            </w:r>
          </w:p>
        </w:tc>
      </w:tr>
      <w:tr>
        <w:tc>
          <w:tcPr>
            <w:tcW w:type="dxa" w:w="831"/>
            <w:vMerge/>
          </w:tcPr>
          <w:p/>
        </w:tc>
        <w:tc>
          <w:tcPr>
            <w:tcW w:type="dxa" w:w="1661"/>
          </w:tcPr>
          <w:p>
            <w:pPr>
              <w:pStyle w:val="null3"/>
            </w:pPr>
            <w:r>
              <w:rPr>
                <w:rFonts w:ascii="仿宋_GB2312" w:hAnsi="仿宋_GB2312" w:cs="仿宋_GB2312" w:eastAsia="仿宋_GB2312"/>
              </w:rPr>
              <w:t>突发事件应急保障措施</w:t>
            </w:r>
          </w:p>
        </w:tc>
        <w:tc>
          <w:tcPr>
            <w:tcW w:type="dxa" w:w="2492"/>
          </w:tcPr>
          <w:p>
            <w:pPr>
              <w:pStyle w:val="null3"/>
            </w:pPr>
            <w:r>
              <w:rPr>
                <w:rFonts w:ascii="仿宋_GB2312" w:hAnsi="仿宋_GB2312" w:cs="仿宋_GB2312" w:eastAsia="仿宋_GB2312"/>
              </w:rPr>
              <w:t>针对本项目制定合理、可行的各种突发情况的安全应急预案。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7 分； 方案内容专门针对本项目编制，基本符合本项目实际情况及实施要求，方案较详细，方案涵盖角度较全面，基本合理可行的，得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突发事件应急保障措施.docx</w:t>
            </w:r>
          </w:p>
        </w:tc>
      </w:tr>
      <w:tr>
        <w:tc>
          <w:tcPr>
            <w:tcW w:type="dxa" w:w="831"/>
            <w:vMerge/>
          </w:tcPr>
          <w:p/>
        </w:tc>
        <w:tc>
          <w:tcPr>
            <w:tcW w:type="dxa" w:w="1661"/>
          </w:tcPr>
          <w:p>
            <w:pPr>
              <w:pStyle w:val="null3"/>
            </w:pPr>
            <w:r>
              <w:rPr>
                <w:rFonts w:ascii="仿宋_GB2312" w:hAnsi="仿宋_GB2312" w:cs="仿宋_GB2312" w:eastAsia="仿宋_GB2312"/>
              </w:rPr>
              <w:t>质量控制的保证措施</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（2）对供应商针对本项目提供的服务人员与采购人工作配合的保障措施进行评审；（3分） 评审标准：内容专门针对本项目编制，符合本项目实际情况及实施要求，内容详尽、方案涵盖角度全面，合理性和可行性强，能够保障项目顺利实施的，得 3分； 内容专门针对本项目编制，符合本项目实际情况及实施要求，内容详细，方案涵盖角度基本全面，有一定的合理性和可行性的，得2分；内容简单笼统，且实施难度大的，得 1 分；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1、承诺完整、考虑全面、细节描述详细，得7分; 2、承诺较完整、考虑较全面、细节描述较详细，得5分;3、承诺内容较少、考虑欠缺、描述简单，得3分；4、承诺内容简单笼统，且描述不清，得 1 分； 未响应不得分。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供应商2023年1月至今同类项目业绩；每提供1份计4分，最高得16分。 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价格分采用低价优先法计算，即满足磋商文件要求且磋商下浮率最高的供应商的价格为磋商基准价，其价格分为满分。 其他供应商的价格分统一按照下列公式计算：磋商报价得分=(1-最高下浮率)/(1-最终磋商下浮率)*100%*10。 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详见附件：设备、设施配置方案.docx</w:t>
      </w:r>
    </w:p>
    <w:p>
      <w:pPr>
        <w:pStyle w:val="null3"/>
        <w:ind w:firstLine="960"/>
      </w:pPr>
      <w:r>
        <w:rPr>
          <w:rFonts w:ascii="仿宋_GB2312" w:hAnsi="仿宋_GB2312" w:cs="仿宋_GB2312" w:eastAsia="仿宋_GB2312"/>
        </w:rPr>
        <w:t>详见附件：突发事件应急保障措施.docx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详见附件：设备、设施配置方案.docx</w:t>
      </w:r>
    </w:p>
    <w:p>
      <w:pPr>
        <w:pStyle w:val="null3"/>
        <w:ind w:firstLine="960"/>
      </w:pPr>
      <w:r>
        <w:rPr>
          <w:rFonts w:ascii="仿宋_GB2312" w:hAnsi="仿宋_GB2312" w:cs="仿宋_GB2312" w:eastAsia="仿宋_GB2312"/>
        </w:rPr>
        <w:t>详见附件：突发事件应急保障措施.docx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