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9BAACF">
      <w:pPr>
        <w:jc w:val="center"/>
        <w:rPr>
          <w:rFonts w:hint="eastAsia" w:ascii="方正小标宋简体" w:eastAsia="方正小标宋简体"/>
          <w:sz w:val="44"/>
          <w:szCs w:val="44"/>
          <w:lang w:eastAsia="zh-CN"/>
        </w:rPr>
      </w:pPr>
      <w:r>
        <w:rPr>
          <w:rFonts w:hint="eastAsia" w:ascii="方正小标宋简体" w:eastAsia="方正小标宋简体"/>
          <w:sz w:val="44"/>
          <w:szCs w:val="44"/>
          <w:lang w:eastAsia="zh-CN"/>
        </w:rPr>
        <w:t>采购内容及要求</w:t>
      </w:r>
    </w:p>
    <w:tbl>
      <w:tblPr>
        <w:tblStyle w:val="9"/>
        <w:tblW w:w="0" w:type="auto"/>
        <w:jc w:val="center"/>
        <w:tblLayout w:type="autofit"/>
        <w:tblCellMar>
          <w:top w:w="0" w:type="dxa"/>
          <w:left w:w="108" w:type="dxa"/>
          <w:bottom w:w="0" w:type="dxa"/>
          <w:right w:w="108" w:type="dxa"/>
        </w:tblCellMar>
      </w:tblPr>
      <w:tblGrid>
        <w:gridCol w:w="469"/>
        <w:gridCol w:w="1350"/>
        <w:gridCol w:w="4764"/>
        <w:gridCol w:w="6435"/>
        <w:gridCol w:w="470"/>
        <w:gridCol w:w="470"/>
      </w:tblGrid>
      <w:tr w14:paraId="23B77161">
        <w:tblPrEx>
          <w:tblCellMar>
            <w:top w:w="0" w:type="dxa"/>
            <w:left w:w="108" w:type="dxa"/>
            <w:bottom w:w="0" w:type="dxa"/>
            <w:right w:w="108" w:type="dxa"/>
          </w:tblCellMar>
        </w:tblPrEx>
        <w:trPr>
          <w:trHeight w:val="60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51AACC">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7B1E3CD1">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名称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41AA0553">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技术参数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7D8FB4D5">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功能要求</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40636135">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097471E">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r>
      <w:tr w14:paraId="3052E895">
        <w:tblPrEx>
          <w:tblCellMar>
            <w:top w:w="0" w:type="dxa"/>
            <w:left w:w="108" w:type="dxa"/>
            <w:bottom w:w="0" w:type="dxa"/>
            <w:right w:w="108" w:type="dxa"/>
          </w:tblCellMar>
        </w:tblPrEx>
        <w:trPr>
          <w:trHeight w:val="60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43340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2F92DFB">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分散（远程异地）评标视频终端（国产化）</w:t>
            </w:r>
          </w:p>
          <w:p w14:paraId="0C6921F8">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为核心产品</w:t>
            </w:r>
            <w:bookmarkStart w:id="0" w:name="_GoBack"/>
            <w:bookmarkEnd w:id="0"/>
          </w:p>
        </w:tc>
        <w:tc>
          <w:tcPr>
            <w:tcW w:w="0" w:type="auto"/>
            <w:tcBorders>
              <w:top w:val="single" w:color="000000" w:sz="8" w:space="0"/>
              <w:left w:val="nil"/>
              <w:bottom w:val="single" w:color="000000" w:sz="8" w:space="0"/>
              <w:right w:val="single" w:color="000000" w:sz="8" w:space="0"/>
            </w:tcBorders>
            <w:shd w:val="clear" w:color="auto" w:fill="auto"/>
            <w:vAlign w:val="center"/>
          </w:tcPr>
          <w:p w14:paraId="298F464C">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自动读取公共资源系统提供的标准数据接口，为评委提供分散（远程异地）评标时所需要的视音频、文字交流功能。支持适配自主可控终端。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1、视频布局：提供多种分屏布局方式（4分屏、9分屏），支持单路视频图像全屏显示，支持双流显示。</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2、分辨率：支持1920*1080、720*567、704*567、640*480、352*288、320*240、176*144、160*120</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3、双工情况：全双工音频（同时双向的音频）。</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4、回声消除：支持软件自动进行回声消除。</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5、降噪处理：支持软件自动进行降噪处理。</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6、动态码率：可变动码率，能够适应更复杂网络环境。</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7、多级管理权限：须提供多级管理用户和部门的功能，根据客户的实际需要进行多级用户管理。</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8、设置功能：支持手动调节麦克风、话筒功能。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9、通讯协议：采用标准的IETF XMPP协议，完全模块化、分布式架构，模块之间通过XML进行协议和信令传递，以便于扩展的灵活性。</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10、网络协议：支持TCP/IP(互联网和专网所采用的传输协议)、RTP/RTCP（流媒体传输所采用的标准传输协议）、HTTP Tunneling（传输隧道技术，有效的防火墙和网络穿透技术）；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11、音视频传输协议：支持UDP、HTTP传输协议，支持DIFESERVER/LBR等QOS技术，运用网络修包技术和防抖动算法，以及码流控制算法，结合前向纠错抗丢包技术，流畅度高。</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12、网络要求：支持Ethernet（以太网）、FrameRelay（帧中继）、ATM Cable、802.11b任何基于IP的网络。</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13、断线重连：支持客户端断线重连，客户端和服务器断开后服务器具有容错及自动恢复功能。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14、适用系统版本：适用于PAAS平台模式下的四合一管理系统。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视音频录制授权终端：配合录制管理机进行使用，每个授权终端支持一个用户进行录制。支持适配自主可控终端。</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7DB4555">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总体要求：在分散（远程异地）评标过程中，实现本地评委与远程异地评委通过视频、语音、文字等方式进行实时沟通交流。</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功能要求：1.自动读取公共资源系统提供的标准数据接口，为评委提供分散（远程异地）评标时所需要的视音频、文字交流功能。支持适配自主可控终端。2.录制分散工位的评标过程中专家交流音视频和桌面操作数据，配合录制管理机进行使用，每个授权终端支持一个用户进行录制。支持适配自主可控终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★1、监管人员功能：监管人员可以对远程评标项目进行全面综合的在线监督监控，包含对各地评标现场整体环境监控、评标专家个人视音频监控、评标专家计算机桌面操作监控。</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监督人员根据需要，可以监管各地（包含各省级、市级、县级）远程评标项目，监管用户打开监管客户端，对具体的远程评标项目进行在线监督，监管人员具有隐身登录（会议室中不出现监管人员身份）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3、系统构架：支持服务器级联，满足大容量的远程评标场景下使用；管理端页面基于WEB方式应用，界面友好直观；支持多级结构；服务器自动容错。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4、灵活性：提供控制登陆会议室后客户端是最小化到系统托盘或正常最大化显示在桌面的接口；评委视频客户端能够根据评标的项目是否结束，自动关闭视频会议客户端，无需手动操作。</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5、信令通道：提供远程异地评标项目下线上评标沟通的信令SDK，支持实时通信线上场景构建，支持用户管理，兼容市面上主流音视频厂商的SDK，实现监控的查看功能。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6、屏幕共享：支持共享更流畅，支持远程异地评标环节评委共享桌面给其他评委查看。</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7、界面友好：要求系统界面规划整齐，易于学习掌握和操作使用。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8、文字交流：提供文字交流功能。所有参与人员都可以利用公共文字交流平台进行文字交流。</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9、视频质量：要求视频清晰、流畅、帧率最高可达30帧/秒。</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10、视频完整性：适应复杂网络环境，抵抗超高网络丢包，保证视频清晰、流畅。</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4D09C7F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个</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82AD6F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27</w:t>
            </w:r>
          </w:p>
        </w:tc>
      </w:tr>
      <w:tr w14:paraId="30A5E7CF">
        <w:tblPrEx>
          <w:tblCellMar>
            <w:top w:w="0" w:type="dxa"/>
            <w:left w:w="108" w:type="dxa"/>
            <w:bottom w:w="0" w:type="dxa"/>
            <w:right w:w="108" w:type="dxa"/>
          </w:tblCellMar>
        </w:tblPrEx>
        <w:trPr>
          <w:trHeight w:val="82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2BC3E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85F457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开评标视音频管理机（国产化）</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B4C66EA">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1、国产化CPU≥64核处理器；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2、内存≥32GB DDR4 ECC；</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3、硬盘≥4T 企业级SATA硬盘；</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4、网口≥2个千兆电口；</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5、电源≥冗余双电源；</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6、正版国产化操作系统；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7、自动读取公共资源系统提供的标准数据接口，自动创建分散（远程异地）评标交流通道，实现评委之间交流的功能。</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5698F318">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总体要求：自动读取公共资源系统提供的标准数据接口，自动创建分散（远程异地）评标交流通道，实现评委之间交流的功能。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功能要求：</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▲1、自动创建线上会议室：在管理平台界面下，具有线上会议室自动创建功能；（功能描述须提供第三方检测报告证明材料）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▲2、账号信息：在管理平台界面下，具有查看自动读取接口数据、标段名称和标段编号、自动创建线上会议室、自动 分配角色（评委组长、普通评委、投标人）、人员绑定会议室功能；（功能描述须提供第三方检测报告证明材料）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3、入会硬件检测：在入会界面下，具有弹出提示信息、检测扬声器、选择扬声器、选择麦克风功能；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远程视频音频交流系统：在远程视频音频交流系统界面下具有静音、解除静音、全场静音、开启视频、关闭视频、共享屏幕、整个屏幕或窗口共享、结束共享、上传附件、输入文字、发送、开始询标、结束询标、显示变声处理状态、弹出提示信息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5、最大支持150路视频流并发。</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29EE65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1EB7885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14:paraId="7C96814E">
        <w:tblPrEx>
          <w:tblCellMar>
            <w:top w:w="0" w:type="dxa"/>
            <w:left w:w="108" w:type="dxa"/>
            <w:bottom w:w="0" w:type="dxa"/>
            <w:right w:w="108" w:type="dxa"/>
          </w:tblCellMar>
        </w:tblPrEx>
        <w:trPr>
          <w:trHeight w:val="323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3CA24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07A687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视音频录制管理机（国产化）</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78437A01">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1、国产化CPU≥64核处理器；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2、内存≥32GB DDR4 ECC；</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3、硬盘≥4T 企业级SATA硬盘；</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4、网口≥2个千兆电口；</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5、电源≥冗余双电源；</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6、正版国产化操作系统；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7、适用于分散（远程异地）评标或询标答疑环节，将线上会议室中专家与专家、投标人及专家的桌面操作及摄像头的视音频录制。支持把合成后文件存到指定的存储上。</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CC0B146">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总体要求：适用于分散（远程异地）评标环节，将分散工位的评标过程中专家交流音视频数据录制存储。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功能要求：将线上会议室中专家与专家、投标人及专家的桌面操作及摄像头的视音频录制。支持把合成后文件存到指定的存储上。</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最大支持75路同时在线进行录制。</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3DF57A9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6E53A3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14:paraId="44916892">
        <w:tblPrEx>
          <w:tblCellMar>
            <w:top w:w="0" w:type="dxa"/>
            <w:left w:w="108" w:type="dxa"/>
            <w:bottom w:w="0" w:type="dxa"/>
            <w:right w:w="108" w:type="dxa"/>
          </w:tblCellMar>
        </w:tblPrEx>
        <w:trPr>
          <w:trHeight w:val="60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78CCD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4</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429B76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多因子评标互动终端</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4BAA795">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1、Android六核处理器；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2、内存≥4GB；</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3、内置存储器≥32GB；</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4、显示模块：≥10.1英寸，支持触摸，分辨率支持1920*1080；集成主动式电磁笔；</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5、内置800万高清摄像头；支持人证比对功能；不低于Android 7.1；</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6、网络类型：支持WIFI、RJ45；</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7、支持IPv6；</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8、内置身份证识别模块；</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9、内置指纹识别模块；</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10、集成一体式支架，支持自调节。</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3CE11631">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总体要求：具备专家人像采集、专家手写签字、读取身份信息等能力，解决专家登录身份认证及评标结束后签字确认场景。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功能要求：自动读取公共资源系统提供的标准数据接口，实现专家人像采集、专家手写签字、读取身份信息等功能；支持签字带事件证书功能。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人证核验：评标专家可以在多因子评标互动终端上通过刷身份证进行人证比对操作，实现专家的实名认证；比对成功后，多因子支持自动唤醒桌面的评标系统，自动登录到该专家的所要评标的标段页面进行评标；（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▲（2）手写签字：评标专家在评标完成后需要对评标报告进行签字确认。评标专家可以直接在多因子评标互动终端上进行签字，签字内容自动合并到评标报告中；（功能描述须提供第三方检测报告证明材料）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（3）界面友好：系统界面规划整齐，易于学习掌握和操作使用。</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1420F9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0A78B57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7</w:t>
            </w:r>
          </w:p>
        </w:tc>
      </w:tr>
      <w:tr w14:paraId="508B6A95">
        <w:tblPrEx>
          <w:tblCellMar>
            <w:top w:w="0" w:type="dxa"/>
            <w:left w:w="108" w:type="dxa"/>
            <w:bottom w:w="0" w:type="dxa"/>
            <w:right w:w="108" w:type="dxa"/>
          </w:tblCellMar>
        </w:tblPrEx>
        <w:trPr>
          <w:trHeight w:val="60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E7B99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5</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04D2C5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电子交易监控视频传输管理机（国产化）</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1C6FB6F7">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1、国产化CPU≥1</w:t>
            </w:r>
            <w:r>
              <w:rPr>
                <w:rFonts w:ascii="宋体" w:hAnsi="宋体" w:eastAsia="宋体" w:cs="宋体"/>
                <w:color w:val="000000"/>
                <w:kern w:val="0"/>
                <w:szCs w:val="21"/>
                <w:lang w:bidi="ar"/>
              </w:rPr>
              <w:t>6</w:t>
            </w:r>
            <w:r>
              <w:rPr>
                <w:rFonts w:hint="eastAsia" w:ascii="宋体" w:hAnsi="宋体" w:eastAsia="宋体" w:cs="宋体"/>
                <w:color w:val="000000"/>
                <w:kern w:val="0"/>
                <w:szCs w:val="21"/>
                <w:lang w:bidi="ar"/>
              </w:rPr>
              <w:t>核处理器；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2、内存≥32GB DDR4 ECC；</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3、硬盘≥4TB 7.2K SATA 3.5寸硬盘；</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4、正版国产化操作系统；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5、支持IPv6；</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6、网卡：双口千兆以太网卡；</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7、最大支持同时传输3个视频文件。</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7F8AD91A">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总体要求：自动读取远程异地监控视频传输调度系统的传输任务，实现副场分散（远程异地）评标项目环境监控自动归档。</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1、功能要求：</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★（1）支持配置接入远程异地监控视频传输调度系统，并自动完成监控视频传输管理机注册；</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★（2）支持同步分散（远程异地）评标项目信息，包括定期自动同步项目信息以及手动同步指定日期的项目信息，并可以查看和搜索项目信息；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（3）支持同步评标房间或席位的环境监控摄像头信息，包括房间或席位名称、摄像头名称、IP、端口，并可以查看、搜索和编辑摄像头信息；</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（4）支持在网络连通的情况下根据项目信息和摄像头信息自动从本地NVR中下载对应环境监控视频文件；</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（5）支持对监控视频传输管理机中的环境监控视频文件进行管理，包括查看视频文件相关信息、视频文件下载、视频文件删除；</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（6）支持定期从远程异地监控视频传输调度系统获取传输任务并执行，传输任务支持多节点，可查看每个节点的传输任务信息以及当前节点传输任务的上传或下载进度；</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（7）支持视频文件断点续传；</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8）支持配置传输优先级，包括按评标时间优先和按本地项目优化，前者优先传输评标开始时间早的环境监控视频文件，后者优先传输本交易中心作为主副场的项目，本地有多个项目的再按照评标开始时间先后顺序传输；</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9）支持对监控视频传输管理机运行情况进行监控预警，包括CPU、内存、磁盘使用率超出阈值，以及传输任务获取失败、视频文件上传失败、视频文件下载失败异常情况，可将预警信息上报至远程异地监控视频传输管理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（10）支持对接电子交易录像文件存储机，自动将视频文件传输到存储机中，并按项目进行打包归档；</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（11）支持对本监控视频传输管理机的传输任务按照时间、地区、传输状态、传输结果进行统计分析，形成统计图表进行展示；</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（12）支持用户管理，可创建组织架构，包括部门、角色、用户，并可以对角色和用户进行模块授权。</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5D7EDC5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3E8A5E8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14:paraId="43FA460F">
        <w:tblPrEx>
          <w:tblCellMar>
            <w:top w:w="0" w:type="dxa"/>
            <w:left w:w="108" w:type="dxa"/>
            <w:bottom w:w="0" w:type="dxa"/>
            <w:right w:w="108" w:type="dxa"/>
          </w:tblCellMar>
        </w:tblPrEx>
        <w:trPr>
          <w:trHeight w:val="60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EE0B0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6</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4F5963E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可信流媒体管理机（国产化）</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719D31A">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1、国产化CPU≥16核处理器；</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2、内存≥32GB DDR4 ECC；</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3、硬盘≥4TB  7.2K 3.5英寸 SATA；</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4、正版国产化操作系统；</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5、双口千兆以太网卡；</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6、支持IPv6。</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7、自动读取公共资源系统提供的标准数据接口，将中心主流的网络摄像机转换成RTMP、FLV、HLS中一种视频流格式，并提供IP限制、视频防盗链功能。</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2CECC28C">
            <w:pPr>
              <w:widowControl/>
              <w:jc w:val="left"/>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总体要求：作为副场在分散（远程异地）评标过程中将副场的环境音视频监控加密传输给主场查看。（在线实时查看，无法下载）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功能要求：自动读取公共资源系统提供的标准数据接口，将中心主流的网络摄像机转换成RTMP、FLV、HLS中一种视频流格式，并提供IP限制、视频防盗功能。</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▲（1）转发查看：在可信流媒体管理系统，具有推送请求、RTSP流实时转码、转发并查看视频功能；（功能描述须提供第三方检测报告证明材料）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▲（2）防盗链：在可信流媒体管理系统，具有防盗链功能；（功能描述须提供第三方检测报告证明材料）</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（3）客户端IP限制：在可信流媒体管理系统，具有客户端IP地址管理功能，能允许、禁止指定用户IP查看转发视频；</w:t>
            </w:r>
            <w:r>
              <w:rPr>
                <w:rFonts w:hint="eastAsia" w:ascii="宋体" w:hAnsi="宋体" w:eastAsia="宋体" w:cs="宋体"/>
                <w:color w:val="000000"/>
                <w:kern w:val="0"/>
                <w:szCs w:val="21"/>
                <w:lang w:bidi="ar"/>
              </w:rPr>
              <w:br w:type="textWrapping"/>
            </w:r>
            <w:r>
              <w:rPr>
                <w:rFonts w:hint="eastAsia" w:ascii="宋体" w:hAnsi="宋体" w:eastAsia="宋体" w:cs="宋体"/>
                <w:color w:val="000000"/>
                <w:kern w:val="0"/>
                <w:szCs w:val="21"/>
                <w:lang w:bidi="ar"/>
              </w:rPr>
              <w:t>（4）与音视频系统做好衔接：与音视频系统做好衔接，保证开标、评标系统的安全、稳定</w:t>
            </w:r>
            <w:r>
              <w:rPr>
                <w:rFonts w:hint="eastAsia" w:ascii="宋体" w:hAnsi="宋体" w:eastAsia="宋体" w:cs="宋体"/>
                <w:color w:val="000000"/>
                <w:kern w:val="0"/>
                <w:szCs w:val="21"/>
                <w:lang w:eastAsia="zh-CN" w:bidi="ar"/>
              </w:rPr>
              <w:t>。</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38972DE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台</w:t>
            </w:r>
          </w:p>
        </w:tc>
        <w:tc>
          <w:tcPr>
            <w:tcW w:w="0" w:type="auto"/>
            <w:tcBorders>
              <w:top w:val="single" w:color="000000" w:sz="8" w:space="0"/>
              <w:left w:val="nil"/>
              <w:bottom w:val="single" w:color="000000" w:sz="8" w:space="0"/>
              <w:right w:val="single" w:color="000000" w:sz="8" w:space="0"/>
            </w:tcBorders>
            <w:shd w:val="clear" w:color="auto" w:fill="auto"/>
            <w:vAlign w:val="center"/>
          </w:tcPr>
          <w:p w14:paraId="681BF79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bl>
    <w:p w14:paraId="4B8E4898"/>
    <w:p w14:paraId="5C10A850"/>
    <w:p w14:paraId="6C85B1DF"/>
    <w:sectPr>
      <w:pgSz w:w="16838" w:h="11906" w:orient="landscape"/>
      <w:pgMar w:top="1418" w:right="1440" w:bottom="1418"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7C44CB"/>
    <w:multiLevelType w:val="multilevel"/>
    <w:tmpl w:val="427C44CB"/>
    <w:lvl w:ilvl="0" w:tentative="0">
      <w:start w:val="1"/>
      <w:numFmt w:val="chineseCountingThousand"/>
      <w:pStyle w:val="14"/>
      <w:suff w:val="space"/>
      <w:lvlText w:val="%1、"/>
      <w:lvlJc w:val="left"/>
      <w:pPr>
        <w:ind w:left="866" w:hanging="440"/>
      </w:pPr>
      <w:rPr>
        <w:rFonts w:hint="eastAsia"/>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pStyle w:val="4"/>
      <w:isLgl/>
      <w:suff w:val="nothing"/>
      <w:lvlText w:val="%1.%2、"/>
      <w:lvlJc w:val="left"/>
      <w:pPr>
        <w:ind w:left="567" w:hanging="567"/>
      </w:pPr>
      <w:rPr>
        <w:rFonts w:hint="default" w:ascii="Arial" w:hAnsi="Arial" w:cs="Arial"/>
      </w:rPr>
    </w:lvl>
    <w:lvl w:ilvl="2" w:tentative="0">
      <w:start w:val="1"/>
      <w:numFmt w:val="decimal"/>
      <w:pStyle w:val="5"/>
      <w:isLgl/>
      <w:suff w:val="nothing"/>
      <w:lvlText w:val="%1.%2.%3、"/>
      <w:lvlJc w:val="left"/>
      <w:pPr>
        <w:ind w:left="1069" w:hanging="1069"/>
      </w:pPr>
      <w:rPr>
        <w:rFonts w:hint="default" w:ascii="Arial" w:hAnsi="Arial" w:cs="Arial"/>
        <w:lang w:val="en-US"/>
      </w:rPr>
    </w:lvl>
    <w:lvl w:ilvl="3" w:tentative="0">
      <w:start w:val="1"/>
      <w:numFmt w:val="decimal"/>
      <w:pStyle w:val="6"/>
      <w:isLgl/>
      <w:suff w:val="nothing"/>
      <w:lvlText w:val="%1.%2.%3.%4、"/>
      <w:lvlJc w:val="left"/>
      <w:pPr>
        <w:ind w:left="3687" w:hanging="851"/>
      </w:pPr>
      <w:rPr>
        <w:rFonts w:hint="default" w:ascii="Arial" w:hAnsi="Arial" w:cs="Arial"/>
        <w:b/>
        <w:sz w:val="24"/>
        <w:szCs w:val="24"/>
      </w:rPr>
    </w:lvl>
    <w:lvl w:ilvl="4" w:tentative="0">
      <w:start w:val="1"/>
      <w:numFmt w:val="decimal"/>
      <w:isLgl/>
      <w:suff w:val="nothing"/>
      <w:lvlText w:val="%1.%2.%3.%4.%5、"/>
      <w:lvlJc w:val="left"/>
      <w:pPr>
        <w:ind w:left="992" w:hanging="992"/>
      </w:pPr>
      <w:rPr>
        <w:rFonts w:hint="default" w:ascii="Arial" w:hAnsi="Arial" w:cs="Arial"/>
      </w:rPr>
    </w:lvl>
    <w:lvl w:ilvl="5" w:tentative="0">
      <w:start w:val="1"/>
      <w:numFmt w:val="decimal"/>
      <w:isLgl/>
      <w:suff w:val="nothing"/>
      <w:lvlText w:val="%1.%2.%3.%4.%5.%6、"/>
      <w:lvlJc w:val="left"/>
      <w:pPr>
        <w:ind w:left="1134" w:hanging="1134"/>
      </w:pPr>
      <w:rPr>
        <w:rFonts w:hint="default" w:ascii="Arial" w:hAnsi="Arial" w:cs="Arial"/>
        <w:sz w:val="24"/>
        <w:szCs w:val="24"/>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2Mjg2YTZkZTMyMTYwY2M1OTQ5YzJlN2MyYmRjOGEifQ=="/>
  </w:docVars>
  <w:rsids>
    <w:rsidRoot w:val="00946864"/>
    <w:rsid w:val="000D3158"/>
    <w:rsid w:val="00346C8F"/>
    <w:rsid w:val="007B2CB8"/>
    <w:rsid w:val="007C22A2"/>
    <w:rsid w:val="00946864"/>
    <w:rsid w:val="00A27E62"/>
    <w:rsid w:val="00CE13BE"/>
    <w:rsid w:val="0119548C"/>
    <w:rsid w:val="01FF0B93"/>
    <w:rsid w:val="0281434E"/>
    <w:rsid w:val="02E64D83"/>
    <w:rsid w:val="047D21ED"/>
    <w:rsid w:val="04D40454"/>
    <w:rsid w:val="04E253B2"/>
    <w:rsid w:val="05814B98"/>
    <w:rsid w:val="05ED43B2"/>
    <w:rsid w:val="06EE5B1B"/>
    <w:rsid w:val="07205F73"/>
    <w:rsid w:val="085F1BF5"/>
    <w:rsid w:val="09732F58"/>
    <w:rsid w:val="0A2F7D59"/>
    <w:rsid w:val="0ABC6477"/>
    <w:rsid w:val="0BEF1661"/>
    <w:rsid w:val="0BF73399"/>
    <w:rsid w:val="0C2604C0"/>
    <w:rsid w:val="0C442B79"/>
    <w:rsid w:val="0C49620B"/>
    <w:rsid w:val="0D7E1E55"/>
    <w:rsid w:val="0DB25F8E"/>
    <w:rsid w:val="0E7F2B1B"/>
    <w:rsid w:val="0F643A71"/>
    <w:rsid w:val="109616FF"/>
    <w:rsid w:val="12182709"/>
    <w:rsid w:val="13AF2E27"/>
    <w:rsid w:val="142C15D6"/>
    <w:rsid w:val="150B70A1"/>
    <w:rsid w:val="166B7F5F"/>
    <w:rsid w:val="1740342D"/>
    <w:rsid w:val="181754FF"/>
    <w:rsid w:val="18700496"/>
    <w:rsid w:val="188B26BE"/>
    <w:rsid w:val="19212420"/>
    <w:rsid w:val="1A455535"/>
    <w:rsid w:val="1AC74457"/>
    <w:rsid w:val="1C1C7172"/>
    <w:rsid w:val="1C2910AC"/>
    <w:rsid w:val="1E390EBA"/>
    <w:rsid w:val="1F1840BF"/>
    <w:rsid w:val="21134A26"/>
    <w:rsid w:val="2132516C"/>
    <w:rsid w:val="21AB746C"/>
    <w:rsid w:val="224964E1"/>
    <w:rsid w:val="22A13425"/>
    <w:rsid w:val="22A77C33"/>
    <w:rsid w:val="241D658D"/>
    <w:rsid w:val="243A6885"/>
    <w:rsid w:val="25082C09"/>
    <w:rsid w:val="2522189A"/>
    <w:rsid w:val="25AF44BF"/>
    <w:rsid w:val="25DE7DD7"/>
    <w:rsid w:val="26321DB7"/>
    <w:rsid w:val="263F0F61"/>
    <w:rsid w:val="26CB2538"/>
    <w:rsid w:val="276E6D6C"/>
    <w:rsid w:val="27706936"/>
    <w:rsid w:val="28616067"/>
    <w:rsid w:val="28722A91"/>
    <w:rsid w:val="28B24878"/>
    <w:rsid w:val="28C97966"/>
    <w:rsid w:val="28F9697A"/>
    <w:rsid w:val="293E36F2"/>
    <w:rsid w:val="294B383A"/>
    <w:rsid w:val="29590F4B"/>
    <w:rsid w:val="295C46E2"/>
    <w:rsid w:val="2A455A9C"/>
    <w:rsid w:val="2ABC7C20"/>
    <w:rsid w:val="2ACC6856"/>
    <w:rsid w:val="2B285F1F"/>
    <w:rsid w:val="2B377668"/>
    <w:rsid w:val="2B577D1D"/>
    <w:rsid w:val="2B886FBC"/>
    <w:rsid w:val="2C27669C"/>
    <w:rsid w:val="2C602C01"/>
    <w:rsid w:val="2F257B09"/>
    <w:rsid w:val="2F3D2CF4"/>
    <w:rsid w:val="30DC319E"/>
    <w:rsid w:val="31D413BE"/>
    <w:rsid w:val="326975DA"/>
    <w:rsid w:val="32743396"/>
    <w:rsid w:val="32B15E0D"/>
    <w:rsid w:val="32E53C88"/>
    <w:rsid w:val="331F0EA3"/>
    <w:rsid w:val="332C084C"/>
    <w:rsid w:val="3330782C"/>
    <w:rsid w:val="335162E6"/>
    <w:rsid w:val="339E7EF1"/>
    <w:rsid w:val="33B54FBA"/>
    <w:rsid w:val="33EF2FB5"/>
    <w:rsid w:val="340670B0"/>
    <w:rsid w:val="345B500D"/>
    <w:rsid w:val="346D0F85"/>
    <w:rsid w:val="35DD60E5"/>
    <w:rsid w:val="37DA79AC"/>
    <w:rsid w:val="38353194"/>
    <w:rsid w:val="39011417"/>
    <w:rsid w:val="39927CED"/>
    <w:rsid w:val="3A1D0126"/>
    <w:rsid w:val="3A5730C6"/>
    <w:rsid w:val="3A6B14F1"/>
    <w:rsid w:val="3A7E0C06"/>
    <w:rsid w:val="3A81788C"/>
    <w:rsid w:val="3B5A25BB"/>
    <w:rsid w:val="3DC70D32"/>
    <w:rsid w:val="3E306D2D"/>
    <w:rsid w:val="3EDA2DAA"/>
    <w:rsid w:val="3F402B4A"/>
    <w:rsid w:val="3F4B7F08"/>
    <w:rsid w:val="3FC05A73"/>
    <w:rsid w:val="3FDF2D92"/>
    <w:rsid w:val="40044826"/>
    <w:rsid w:val="402706A2"/>
    <w:rsid w:val="40846445"/>
    <w:rsid w:val="40F40090"/>
    <w:rsid w:val="44C61D43"/>
    <w:rsid w:val="45E353E9"/>
    <w:rsid w:val="465A24BC"/>
    <w:rsid w:val="478C743E"/>
    <w:rsid w:val="49F7299F"/>
    <w:rsid w:val="4AA62CE5"/>
    <w:rsid w:val="4B87775F"/>
    <w:rsid w:val="4CF948CA"/>
    <w:rsid w:val="4D2B6C09"/>
    <w:rsid w:val="4E1B4E0F"/>
    <w:rsid w:val="4EE00295"/>
    <w:rsid w:val="4EE03B53"/>
    <w:rsid w:val="4F137B53"/>
    <w:rsid w:val="4FE675FC"/>
    <w:rsid w:val="50615198"/>
    <w:rsid w:val="50B4512E"/>
    <w:rsid w:val="51655545"/>
    <w:rsid w:val="51FE1BA6"/>
    <w:rsid w:val="520524DA"/>
    <w:rsid w:val="526C6440"/>
    <w:rsid w:val="52A048C1"/>
    <w:rsid w:val="53E53868"/>
    <w:rsid w:val="546A5FD0"/>
    <w:rsid w:val="552F5274"/>
    <w:rsid w:val="554C533A"/>
    <w:rsid w:val="55836F62"/>
    <w:rsid w:val="559B63B0"/>
    <w:rsid w:val="55B822F6"/>
    <w:rsid w:val="55E579EA"/>
    <w:rsid w:val="55F31801"/>
    <w:rsid w:val="56904254"/>
    <w:rsid w:val="57C228A8"/>
    <w:rsid w:val="57D66F8F"/>
    <w:rsid w:val="57E14F0B"/>
    <w:rsid w:val="59E46F47"/>
    <w:rsid w:val="5A0F6902"/>
    <w:rsid w:val="5A783F11"/>
    <w:rsid w:val="5B3A660D"/>
    <w:rsid w:val="5C951968"/>
    <w:rsid w:val="5CB8513F"/>
    <w:rsid w:val="5D067024"/>
    <w:rsid w:val="5D710612"/>
    <w:rsid w:val="5DEC61B6"/>
    <w:rsid w:val="5E1D188A"/>
    <w:rsid w:val="5EBA1690"/>
    <w:rsid w:val="5EDC7F7C"/>
    <w:rsid w:val="60A2320D"/>
    <w:rsid w:val="62F27B1C"/>
    <w:rsid w:val="638E7A78"/>
    <w:rsid w:val="63B67ED0"/>
    <w:rsid w:val="64227C65"/>
    <w:rsid w:val="64EA3615"/>
    <w:rsid w:val="67500D38"/>
    <w:rsid w:val="6808095C"/>
    <w:rsid w:val="681349F0"/>
    <w:rsid w:val="68631499"/>
    <w:rsid w:val="68BC0B54"/>
    <w:rsid w:val="68F20F6E"/>
    <w:rsid w:val="69151320"/>
    <w:rsid w:val="696D35EF"/>
    <w:rsid w:val="69CA37DE"/>
    <w:rsid w:val="6AD6356F"/>
    <w:rsid w:val="6B42550B"/>
    <w:rsid w:val="6B85017A"/>
    <w:rsid w:val="6BBA58AE"/>
    <w:rsid w:val="6BC95AF1"/>
    <w:rsid w:val="6C497871"/>
    <w:rsid w:val="6EF405AA"/>
    <w:rsid w:val="6FE1138F"/>
    <w:rsid w:val="70907908"/>
    <w:rsid w:val="70C679A7"/>
    <w:rsid w:val="721114C6"/>
    <w:rsid w:val="7281552D"/>
    <w:rsid w:val="7323719E"/>
    <w:rsid w:val="73B85D61"/>
    <w:rsid w:val="751A7182"/>
    <w:rsid w:val="758E001D"/>
    <w:rsid w:val="768A438B"/>
    <w:rsid w:val="769C0522"/>
    <w:rsid w:val="76C33F3C"/>
    <w:rsid w:val="77514B6D"/>
    <w:rsid w:val="78663765"/>
    <w:rsid w:val="78CD4186"/>
    <w:rsid w:val="7A4810B9"/>
    <w:rsid w:val="7A4D3D91"/>
    <w:rsid w:val="7A8544FB"/>
    <w:rsid w:val="7AB20098"/>
    <w:rsid w:val="7B62559E"/>
    <w:rsid w:val="7B6E2211"/>
    <w:rsid w:val="7BCA0E7B"/>
    <w:rsid w:val="7CC9506D"/>
    <w:rsid w:val="7CEB08E7"/>
    <w:rsid w:val="7E7B6519"/>
    <w:rsid w:val="7F2A3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numPr>
        <w:ilvl w:val="1"/>
        <w:numId w:val="1"/>
      </w:numPr>
      <w:spacing w:before="120" w:after="120"/>
      <w:ind w:firstLine="0"/>
      <w:outlineLvl w:val="1"/>
    </w:pPr>
    <w:rPr>
      <w:b/>
      <w:bCs/>
      <w:sz w:val="30"/>
      <w:szCs w:val="32"/>
    </w:rPr>
  </w:style>
  <w:style w:type="paragraph" w:styleId="5">
    <w:name w:val="heading 3"/>
    <w:basedOn w:val="1"/>
    <w:next w:val="1"/>
    <w:qFormat/>
    <w:uiPriority w:val="0"/>
    <w:pPr>
      <w:keepNext/>
      <w:keepLines/>
      <w:numPr>
        <w:ilvl w:val="2"/>
        <w:numId w:val="1"/>
      </w:numPr>
      <w:spacing w:before="120" w:after="120"/>
      <w:ind w:firstLine="0"/>
      <w:outlineLvl w:val="2"/>
    </w:pPr>
    <w:rPr>
      <w:b/>
      <w:bCs/>
      <w:szCs w:val="18"/>
    </w:rPr>
  </w:style>
  <w:style w:type="paragraph" w:styleId="6">
    <w:name w:val="heading 4"/>
    <w:basedOn w:val="1"/>
    <w:next w:val="1"/>
    <w:qFormat/>
    <w:uiPriority w:val="0"/>
    <w:pPr>
      <w:keepNext/>
      <w:keepLines/>
      <w:numPr>
        <w:ilvl w:val="3"/>
        <w:numId w:val="1"/>
      </w:numPr>
      <w:spacing w:before="120" w:after="120"/>
      <w:ind w:firstLine="0"/>
      <w:outlineLvl w:val="3"/>
    </w:pPr>
    <w:rPr>
      <w:rFonts w:ascii="Arial" w:hAnsi="Arial"/>
      <w:b/>
      <w:bCs/>
      <w:szCs w:val="28"/>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customStyle="1" w:styleId="3">
    <w:name w:val="正文2"/>
    <w:basedOn w:val="1"/>
    <w:qFormat/>
    <w:uiPriority w:val="0"/>
    <w:pPr>
      <w:spacing w:line="360" w:lineRule="auto"/>
      <w:ind w:firstLine="420" w:firstLineChars="200"/>
    </w:pPr>
  </w:style>
  <w:style w:type="paragraph" w:styleId="7">
    <w:name w:val="annotation text"/>
    <w:basedOn w:val="1"/>
    <w:qFormat/>
    <w:uiPriority w:val="0"/>
    <w:pPr>
      <w:jc w:val="left"/>
    </w:pPr>
  </w:style>
  <w:style w:type="paragraph" w:styleId="8">
    <w:name w:val="Body Text"/>
    <w:basedOn w:val="1"/>
    <w:next w:val="1"/>
    <w:unhideWhenUsed/>
    <w:qFormat/>
    <w:uiPriority w:val="99"/>
    <w:pPr>
      <w:spacing w:after="120"/>
    </w:pPr>
  </w:style>
  <w:style w:type="paragraph" w:customStyle="1" w:styleId="11">
    <w:name w:val="小四缩进"/>
    <w:basedOn w:val="1"/>
    <w:qFormat/>
    <w:uiPriority w:val="0"/>
    <w:pPr>
      <w:spacing w:line="360" w:lineRule="auto"/>
      <w:ind w:firstLine="480" w:firstLineChars="200"/>
    </w:pPr>
    <w:rPr>
      <w:sz w:val="24"/>
    </w:rPr>
  </w:style>
  <w:style w:type="paragraph" w:customStyle="1" w:styleId="12">
    <w:name w:val="普通正文1 Char Char Char Char"/>
    <w:basedOn w:val="1"/>
    <w:qFormat/>
    <w:uiPriority w:val="0"/>
    <w:pPr>
      <w:spacing w:line="360" w:lineRule="auto"/>
      <w:ind w:firstLine="482"/>
    </w:pPr>
    <w:rPr>
      <w:sz w:val="24"/>
    </w:rPr>
  </w:style>
  <w:style w:type="paragraph" w:customStyle="1" w:styleId="13">
    <w:name w:val="系统正文"/>
    <w:basedOn w:val="1"/>
    <w:qFormat/>
    <w:uiPriority w:val="0"/>
    <w:pPr>
      <w:spacing w:line="420" w:lineRule="exact"/>
      <w:ind w:firstLine="420" w:firstLineChars="200"/>
    </w:pPr>
    <w:rPr>
      <w:rFonts w:ascii="宋体" w:hAnsi="宋体"/>
    </w:rPr>
  </w:style>
  <w:style w:type="paragraph" w:customStyle="1" w:styleId="14">
    <w:name w:val="公文一级标"/>
    <w:next w:val="15"/>
    <w:qFormat/>
    <w:uiPriority w:val="0"/>
    <w:pPr>
      <w:numPr>
        <w:ilvl w:val="0"/>
        <w:numId w:val="2"/>
      </w:numPr>
      <w:adjustRightInd w:val="0"/>
      <w:snapToGrid w:val="0"/>
      <w:spacing w:line="560" w:lineRule="exact"/>
      <w:ind w:left="0" w:firstLine="200" w:firstLineChars="200"/>
      <w:outlineLvl w:val="0"/>
    </w:pPr>
    <w:rPr>
      <w:rFonts w:ascii="黑体" w:hAnsi="Arial" w:eastAsia="黑体" w:cs="Arial"/>
      <w:bCs/>
      <w:sz w:val="32"/>
      <w:szCs w:val="52"/>
      <w:lang w:val="en-US" w:eastAsia="zh-CN" w:bidi="ar-SA"/>
    </w:rPr>
  </w:style>
  <w:style w:type="paragraph" w:customStyle="1" w:styleId="15">
    <w:name w:val="公文正文"/>
    <w:qFormat/>
    <w:uiPriority w:val="0"/>
    <w:pPr>
      <w:adjustRightInd w:val="0"/>
      <w:snapToGrid w:val="0"/>
      <w:spacing w:line="560" w:lineRule="exact"/>
      <w:ind w:firstLine="200" w:firstLineChars="200"/>
    </w:pPr>
    <w:rPr>
      <w:rFonts w:ascii="仿宋_GB2312" w:hAnsi="Arial" w:eastAsia="仿宋_GB2312" w:cs="Arial"/>
      <w:bCs/>
      <w:sz w:val="32"/>
      <w:szCs w:val="52"/>
      <w:lang w:val="en-US" w:eastAsia="zh-CN" w:bidi="ar-SA"/>
    </w:rPr>
  </w:style>
  <w:style w:type="paragraph" w:customStyle="1" w:styleId="16">
    <w:name w:val="正文缩进2"/>
    <w:basedOn w:val="1"/>
    <w:qFormat/>
    <w:uiPriority w:val="0"/>
    <w:pPr>
      <w:wordWrap w:val="0"/>
      <w:ind w:firstLine="480"/>
    </w:pPr>
    <w:rPr>
      <w:iCs/>
      <w:shd w:val="clear" w:color="auto" w:fill="FFFFFF" w:themeFill="background1"/>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4107</Words>
  <Characters>4410</Characters>
  <Lines>32</Lines>
  <Paragraphs>9</Paragraphs>
  <TotalTime>1</TotalTime>
  <ScaleCrop>false</ScaleCrop>
  <LinksUpToDate>false</LinksUpToDate>
  <CharactersWithSpaces>4432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2026-07-23T08:02:00Z</dcterms:created>
  <dc:creator>LJN</dc:creator>
  <cp:lastModifiedBy>李慧</cp:lastModifiedBy>
  <dcterms:modified xsi:type="dcterms:W3CDTF">2026-07-31T02:35:22Z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C52F9D5F6D284FA8878F8002027D54AF</vt:lpwstr>
  </property>
  <property fmtid="{D5CDD505-2E9C-101B-9397-08002B2CF9AE}" pid="4" name="KSOTemplateDocerSaveRecord">
    <vt:lpwstr>eyJoZGlkIjoiZjdmODQxMGVhYjY5ODMxNTViY2MwMTQ2YjM0YThkODQiLCJ1c2VySWQiOiIxMDE1NzY5NTQzIn0=</vt:lpwstr>
  </property>
</Properties>
</file>