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B83B8">
      <w:pPr>
        <w:keepNext w:val="0"/>
        <w:keepLines w:val="0"/>
        <w:pageBreakBefore w:val="0"/>
        <w:kinsoku/>
        <w:wordWrap/>
        <w:overflowPunct/>
        <w:autoSpaceDE/>
        <w:autoSpaceDN/>
        <w:bidi w:val="0"/>
        <w:adjustRightInd/>
        <w:spacing w:line="360" w:lineRule="auto"/>
        <w:jc w:val="right"/>
        <w:textAlignment w:val="auto"/>
        <w:rPr>
          <w:rFonts w:hint="eastAsia" w:ascii="宋体" w:hAnsi="宋体" w:eastAsia="宋体" w:cs="宋体"/>
          <w:sz w:val="24"/>
          <w:szCs w:val="24"/>
        </w:rPr>
      </w:pPr>
      <w:r>
        <w:rPr>
          <w:rFonts w:hint="eastAsia" w:ascii="宋体" w:hAnsi="宋体" w:eastAsia="宋体" w:cs="宋体"/>
          <w:sz w:val="24"/>
          <w:szCs w:val="24"/>
        </w:rPr>
        <w:t>合同编号：</w:t>
      </w:r>
    </w:p>
    <w:p w14:paraId="335DD004">
      <w:pPr>
        <w:keepNext w:val="0"/>
        <w:keepLines w:val="0"/>
        <w:pageBreakBefore w:val="0"/>
        <w:kinsoku/>
        <w:wordWrap/>
        <w:overflowPunct/>
        <w:autoSpaceDE/>
        <w:autoSpaceDN/>
        <w:bidi w:val="0"/>
        <w:adjustRightInd/>
        <w:spacing w:line="360" w:lineRule="auto"/>
        <w:jc w:val="center"/>
        <w:textAlignment w:val="auto"/>
        <w:rPr>
          <w:rFonts w:hint="eastAsia" w:ascii="宋体" w:hAnsi="宋体" w:eastAsia="宋体" w:cs="宋体"/>
          <w:sz w:val="24"/>
          <w:szCs w:val="24"/>
        </w:rPr>
      </w:pPr>
    </w:p>
    <w:p w14:paraId="79EC5B5F">
      <w:pPr>
        <w:keepNext w:val="0"/>
        <w:keepLines w:val="0"/>
        <w:pageBreakBefore w:val="0"/>
        <w:kinsoku/>
        <w:wordWrap/>
        <w:overflowPunct/>
        <w:autoSpaceDE/>
        <w:autoSpaceDN/>
        <w:bidi w:val="0"/>
        <w:adjustRightInd/>
        <w:spacing w:line="360" w:lineRule="auto"/>
        <w:jc w:val="center"/>
        <w:textAlignment w:val="auto"/>
        <w:rPr>
          <w:rFonts w:hint="eastAsia" w:ascii="宋体" w:hAnsi="宋体" w:eastAsia="宋体" w:cs="宋体"/>
          <w:sz w:val="24"/>
          <w:szCs w:val="24"/>
        </w:rPr>
      </w:pPr>
    </w:p>
    <w:p w14:paraId="0D23F1B8">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4"/>
          <w:szCs w:val="24"/>
        </w:rPr>
      </w:pPr>
      <w:bookmarkStart w:id="0" w:name="_GoBack"/>
      <w:bookmarkEnd w:id="0"/>
    </w:p>
    <w:p w14:paraId="4A9F41FD">
      <w:pPr>
        <w:keepNext w:val="0"/>
        <w:keepLines w:val="0"/>
        <w:pageBreakBefore w:val="0"/>
        <w:kinsoku/>
        <w:wordWrap/>
        <w:overflowPunct/>
        <w:autoSpaceDE/>
        <w:autoSpaceDN/>
        <w:bidi w:val="0"/>
        <w:adjustRightInd/>
        <w:spacing w:line="360" w:lineRule="auto"/>
        <w:jc w:val="both"/>
        <w:textAlignment w:val="auto"/>
        <w:rPr>
          <w:rFonts w:hint="eastAsia" w:ascii="仿宋_GB2312" w:hAnsi="仿宋_GB2312" w:eastAsia="仿宋_GB2312" w:cs="仿宋_GB2312"/>
          <w:b/>
          <w:bCs/>
          <w:sz w:val="48"/>
          <w:szCs w:val="48"/>
        </w:rPr>
      </w:pPr>
    </w:p>
    <w:p w14:paraId="734E8BD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36"/>
          <w:szCs w:val="36"/>
          <w:lang w:eastAsia="zh-CN"/>
        </w:rPr>
      </w:pPr>
      <w:r>
        <w:rPr>
          <w:rFonts w:hint="eastAsia" w:ascii="仿宋_GB2312" w:hAnsi="仿宋_GB2312" w:eastAsia="仿宋_GB2312" w:cs="仿宋_GB2312"/>
          <w:b/>
          <w:bCs/>
          <w:sz w:val="36"/>
          <w:szCs w:val="36"/>
          <w:lang w:eastAsia="zh-CN"/>
        </w:rPr>
        <w:t>秦岭区域五乱问题及火情感知巡检能力提升项目</w:t>
      </w:r>
    </w:p>
    <w:p w14:paraId="338C088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rPr>
        <w:t>项目合同</w:t>
      </w:r>
    </w:p>
    <w:p w14:paraId="5302C06C">
      <w:pPr>
        <w:keepNext w:val="0"/>
        <w:keepLines w:val="0"/>
        <w:pageBreakBefore w:val="0"/>
        <w:kinsoku/>
        <w:wordWrap/>
        <w:overflowPunct/>
        <w:autoSpaceDE/>
        <w:autoSpaceDN/>
        <w:bidi w:val="0"/>
        <w:adjustRightInd/>
        <w:spacing w:line="360" w:lineRule="auto"/>
        <w:jc w:val="center"/>
        <w:textAlignment w:val="auto"/>
        <w:rPr>
          <w:rFonts w:hint="eastAsia" w:ascii="仿宋_GB2312" w:hAnsi="仿宋_GB2312" w:eastAsia="仿宋_GB2312" w:cs="仿宋_GB2312"/>
          <w:sz w:val="24"/>
          <w:szCs w:val="24"/>
        </w:rPr>
      </w:pPr>
    </w:p>
    <w:p w14:paraId="6B1C9987">
      <w:pPr>
        <w:keepNext w:val="0"/>
        <w:keepLines w:val="0"/>
        <w:pageBreakBefore w:val="0"/>
        <w:kinsoku/>
        <w:wordWrap/>
        <w:overflowPunct/>
        <w:autoSpaceDE/>
        <w:autoSpaceDN/>
        <w:bidi w:val="0"/>
        <w:adjustRightInd/>
        <w:spacing w:line="360" w:lineRule="auto"/>
        <w:jc w:val="center"/>
        <w:textAlignment w:val="auto"/>
        <w:rPr>
          <w:rFonts w:hint="eastAsia" w:ascii="仿宋_GB2312" w:hAnsi="仿宋_GB2312" w:eastAsia="仿宋_GB2312" w:cs="仿宋_GB2312"/>
          <w:sz w:val="24"/>
          <w:szCs w:val="24"/>
        </w:rPr>
      </w:pPr>
    </w:p>
    <w:p w14:paraId="1A44E246">
      <w:pPr>
        <w:keepNext w:val="0"/>
        <w:keepLines w:val="0"/>
        <w:pageBreakBefore w:val="0"/>
        <w:kinsoku/>
        <w:wordWrap/>
        <w:overflowPunct/>
        <w:autoSpaceDE/>
        <w:autoSpaceDN/>
        <w:bidi w:val="0"/>
        <w:adjustRightInd/>
        <w:spacing w:line="360" w:lineRule="auto"/>
        <w:jc w:val="center"/>
        <w:textAlignment w:val="auto"/>
        <w:rPr>
          <w:rFonts w:hint="eastAsia" w:ascii="仿宋_GB2312" w:hAnsi="仿宋_GB2312" w:eastAsia="仿宋_GB2312" w:cs="仿宋_GB2312"/>
          <w:sz w:val="24"/>
          <w:szCs w:val="24"/>
        </w:rPr>
      </w:pPr>
    </w:p>
    <w:p w14:paraId="672540A3">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4"/>
          <w:szCs w:val="24"/>
        </w:rPr>
      </w:pPr>
    </w:p>
    <w:p w14:paraId="5E323EB8">
      <w:pPr>
        <w:keepNext w:val="0"/>
        <w:keepLines w:val="0"/>
        <w:pageBreakBefore w:val="0"/>
        <w:kinsoku/>
        <w:wordWrap/>
        <w:overflowPunct/>
        <w:autoSpaceDE/>
        <w:autoSpaceDN/>
        <w:bidi w:val="0"/>
        <w:adjustRightInd/>
        <w:spacing w:line="360" w:lineRule="auto"/>
        <w:ind w:firstLine="720" w:firstLineChars="300"/>
        <w:textAlignment w:val="auto"/>
        <w:rPr>
          <w:rFonts w:hint="eastAsia" w:ascii="仿宋_GB2312" w:hAnsi="仿宋_GB2312" w:eastAsia="仿宋_GB2312" w:cs="仿宋_GB2312"/>
          <w:sz w:val="24"/>
          <w:szCs w:val="24"/>
        </w:rPr>
      </w:pPr>
    </w:p>
    <w:p w14:paraId="142CE5FF">
      <w:pPr>
        <w:keepNext w:val="0"/>
        <w:keepLines w:val="0"/>
        <w:pageBreakBefore w:val="0"/>
        <w:kinsoku/>
        <w:wordWrap/>
        <w:overflowPunct/>
        <w:autoSpaceDE/>
        <w:autoSpaceDN/>
        <w:bidi w:val="0"/>
        <w:adjustRightInd/>
        <w:spacing w:line="360" w:lineRule="auto"/>
        <w:ind w:firstLine="720" w:firstLineChars="3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7D965CA5">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0A9D3A33">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4"/>
          <w:szCs w:val="24"/>
        </w:rPr>
      </w:pPr>
    </w:p>
    <w:p w14:paraId="770719F3">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4"/>
          <w:szCs w:val="24"/>
        </w:rPr>
      </w:pPr>
    </w:p>
    <w:p w14:paraId="14A1E336">
      <w:pPr>
        <w:keepNext w:val="0"/>
        <w:keepLines w:val="0"/>
        <w:pageBreakBefore w:val="0"/>
        <w:kinsoku/>
        <w:wordWrap/>
        <w:overflowPunct/>
        <w:autoSpaceDE/>
        <w:autoSpaceDN/>
        <w:bidi w:val="0"/>
        <w:adjustRightInd/>
        <w:spacing w:line="360" w:lineRule="auto"/>
        <w:ind w:firstLine="600" w:firstLineChars="3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委 托 方（甲 方）：  </w:t>
      </w:r>
    </w:p>
    <w:p w14:paraId="164A2B73">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受 托 方（乙 方）：  </w:t>
      </w:r>
    </w:p>
    <w:p w14:paraId="07CD39F9">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签订时间：                         </w:t>
      </w:r>
    </w:p>
    <w:p w14:paraId="0A5CA10F">
      <w:pPr>
        <w:keepNext w:val="0"/>
        <w:keepLines w:val="0"/>
        <w:pageBreakBefore w:val="0"/>
        <w:kinsoku/>
        <w:wordWrap/>
        <w:overflowPunct/>
        <w:autoSpaceDE/>
        <w:autoSpaceDN/>
        <w:bidi w:val="0"/>
        <w:adjustRightInd/>
        <w:spacing w:line="360" w:lineRule="auto"/>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w:t>
      </w:r>
    </w:p>
    <w:p w14:paraId="774D8086">
      <w:pPr>
        <w:keepNext w:val="0"/>
        <w:keepLines w:val="0"/>
        <w:pageBreakBefore w:val="0"/>
        <w:kinsoku/>
        <w:wordWrap/>
        <w:overflowPunct/>
        <w:autoSpaceDE/>
        <w:autoSpaceDN/>
        <w:bidi w:val="0"/>
        <w:adjustRightInd/>
        <w:spacing w:line="360" w:lineRule="auto"/>
        <w:jc w:val="both"/>
        <w:textAlignment w:val="auto"/>
        <w:rPr>
          <w:rFonts w:hint="eastAsia" w:ascii="仿宋_GB2312" w:hAnsi="仿宋_GB2312" w:eastAsia="仿宋_GB2312" w:cs="仿宋_GB2312"/>
          <w:sz w:val="20"/>
          <w:szCs w:val="20"/>
          <w:highlight w:val="none"/>
        </w:rPr>
      </w:pPr>
    </w:p>
    <w:p w14:paraId="4270D2FE">
      <w:pPr>
        <w:keepNext w:val="0"/>
        <w:keepLines w:val="0"/>
        <w:pageBreakBefore w:val="0"/>
        <w:kinsoku/>
        <w:wordWrap/>
        <w:overflowPunct/>
        <w:autoSpaceDE/>
        <w:autoSpaceDN/>
        <w:bidi w:val="0"/>
        <w:adjustRightInd/>
        <w:spacing w:line="360" w:lineRule="auto"/>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br w:type="page"/>
      </w:r>
      <w:r>
        <w:rPr>
          <w:rFonts w:hint="eastAsia" w:ascii="仿宋_GB2312" w:hAnsi="仿宋_GB2312" w:eastAsia="仿宋_GB2312" w:cs="仿宋_GB2312"/>
          <w:b/>
          <w:bCs/>
          <w:sz w:val="20"/>
          <w:szCs w:val="20"/>
          <w:highlight w:val="none"/>
        </w:rPr>
        <w:t xml:space="preserve">委托方（甲方）： </w:t>
      </w:r>
      <w:r>
        <w:rPr>
          <w:rFonts w:hint="eastAsia" w:ascii="仿宋_GB2312" w:hAnsi="仿宋_GB2312" w:eastAsia="仿宋_GB2312" w:cs="仿宋_GB2312"/>
          <w:sz w:val="20"/>
          <w:szCs w:val="20"/>
          <w:highlight w:val="none"/>
        </w:rPr>
        <w:t xml:space="preserve">                                     </w:t>
      </w:r>
    </w:p>
    <w:p w14:paraId="24DD5FB8">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eastAsia="zh-CN"/>
        </w:rPr>
        <w:t>联系</w:t>
      </w:r>
      <w:r>
        <w:rPr>
          <w:rFonts w:hint="eastAsia" w:ascii="仿宋_GB2312" w:hAnsi="仿宋_GB2312" w:eastAsia="仿宋_GB2312" w:cs="仿宋_GB2312"/>
          <w:sz w:val="20"/>
          <w:szCs w:val="20"/>
          <w:highlight w:val="none"/>
        </w:rPr>
        <w:t xml:space="preserve">地址：          </w:t>
      </w:r>
    </w:p>
    <w:p w14:paraId="211F1B6B">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w:t>
      </w:r>
    </w:p>
    <w:p w14:paraId="48D843DE">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b/>
          <w:bCs/>
          <w:sz w:val="20"/>
          <w:szCs w:val="20"/>
          <w:highlight w:val="none"/>
        </w:rPr>
        <w:t>受托方（乙方）：</w:t>
      </w:r>
      <w:r>
        <w:rPr>
          <w:rFonts w:hint="eastAsia" w:ascii="仿宋_GB2312" w:hAnsi="仿宋_GB2312" w:eastAsia="仿宋_GB2312" w:cs="仿宋_GB2312"/>
          <w:sz w:val="20"/>
          <w:szCs w:val="20"/>
          <w:highlight w:val="none"/>
        </w:rPr>
        <w:t xml:space="preserve">                                </w:t>
      </w:r>
    </w:p>
    <w:p w14:paraId="1EB5398A">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eastAsia="zh-CN"/>
        </w:rPr>
        <w:t>联系</w:t>
      </w:r>
      <w:r>
        <w:rPr>
          <w:rFonts w:hint="eastAsia" w:ascii="仿宋_GB2312" w:hAnsi="仿宋_GB2312" w:eastAsia="仿宋_GB2312" w:cs="仿宋_GB2312"/>
          <w:sz w:val="20"/>
          <w:szCs w:val="20"/>
          <w:highlight w:val="none"/>
        </w:rPr>
        <w:t xml:space="preserve">地址：                                                             </w:t>
      </w:r>
    </w:p>
    <w:p w14:paraId="5652EA7C">
      <w:pPr>
        <w:keepNext w:val="0"/>
        <w:keepLines w:val="0"/>
        <w:pageBreakBefore w:val="0"/>
        <w:kinsoku/>
        <w:wordWrap/>
        <w:overflowPunct/>
        <w:autoSpaceDE/>
        <w:autoSpaceDN/>
        <w:bidi w:val="0"/>
        <w:adjustRightInd/>
        <w:spacing w:line="360" w:lineRule="auto"/>
        <w:ind w:left="-26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w:t>
      </w:r>
    </w:p>
    <w:p w14:paraId="1519CFE3">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本合同甲方委托乙方就</w:t>
      </w:r>
      <w:r>
        <w:rPr>
          <w:rFonts w:hint="eastAsia" w:ascii="仿宋_GB2312" w:hAnsi="仿宋_GB2312" w:eastAsia="仿宋_GB2312" w:cs="仿宋_GB2312"/>
          <w:sz w:val="20"/>
          <w:szCs w:val="20"/>
          <w:highlight w:val="none"/>
          <w:u w:val="single"/>
          <w:lang w:eastAsia="zh-CN"/>
        </w:rPr>
        <w:t>秦岭区域五乱问题及火情感知巡检能力提升</w:t>
      </w:r>
      <w:r>
        <w:rPr>
          <w:rFonts w:hint="eastAsia" w:ascii="仿宋_GB2312" w:hAnsi="仿宋_GB2312" w:eastAsia="仿宋_GB2312" w:cs="仿宋_GB2312"/>
          <w:b w:val="0"/>
          <w:bCs w:val="0"/>
          <w:sz w:val="20"/>
          <w:szCs w:val="20"/>
          <w:highlight w:val="none"/>
          <w:u w:val="single"/>
        </w:rPr>
        <w:t>项目</w:t>
      </w:r>
      <w:r>
        <w:rPr>
          <w:rFonts w:hint="eastAsia" w:ascii="仿宋_GB2312" w:hAnsi="仿宋_GB2312" w:eastAsia="仿宋_GB2312" w:cs="仿宋_GB2312"/>
          <w:sz w:val="20"/>
          <w:szCs w:val="20"/>
          <w:highlight w:val="none"/>
        </w:rPr>
        <w:t>进行的专项服务，并支付相应的服务报酬。双方经过平等协商，在真实、充分地表达各自意愿的基础上，根据《中华人民共和国民法典》的规定，达成如下协议，并由双方共同恪守。</w:t>
      </w:r>
    </w:p>
    <w:p w14:paraId="3CBD9A99">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第一条：甲方委托乙方进行</w:t>
      </w:r>
      <w:r>
        <w:rPr>
          <w:rFonts w:hint="eastAsia" w:ascii="仿宋_GB2312" w:hAnsi="仿宋_GB2312" w:eastAsia="仿宋_GB2312" w:cs="仿宋_GB2312"/>
          <w:b/>
          <w:bCs/>
          <w:sz w:val="20"/>
          <w:szCs w:val="20"/>
          <w:highlight w:val="none"/>
          <w:lang w:val="en-US" w:eastAsia="zh-CN"/>
        </w:rPr>
        <w:t>专项</w:t>
      </w:r>
      <w:r>
        <w:rPr>
          <w:rFonts w:hint="eastAsia" w:ascii="仿宋_GB2312" w:hAnsi="仿宋_GB2312" w:eastAsia="仿宋_GB2312" w:cs="仿宋_GB2312"/>
          <w:b/>
          <w:bCs/>
          <w:sz w:val="20"/>
          <w:szCs w:val="20"/>
          <w:highlight w:val="none"/>
        </w:rPr>
        <w:t>服务的内容如下：</w:t>
      </w:r>
    </w:p>
    <w:p w14:paraId="73EF7908">
      <w:pPr>
        <w:keepNext w:val="0"/>
        <w:keepLines w:val="0"/>
        <w:pageBreakBefore w:val="0"/>
        <w:numPr>
          <w:ilvl w:val="0"/>
          <w:numId w:val="1"/>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专项</w:t>
      </w:r>
      <w:r>
        <w:rPr>
          <w:rFonts w:hint="eastAsia" w:ascii="仿宋_GB2312" w:hAnsi="仿宋_GB2312" w:eastAsia="仿宋_GB2312" w:cs="仿宋_GB2312"/>
          <w:sz w:val="20"/>
          <w:szCs w:val="20"/>
          <w:highlight w:val="none"/>
        </w:rPr>
        <w:t>服务的目标： 保障设备稳定高效运行，提升各区县无人机实际使用效能；构建秦岭项目区域无人机巡检体系，完成区域内自动巡航；实现秦岭区域火情及五乱问题的智能自动识别，提升火情早期发现能力和五乱问题监管效能</w:t>
      </w:r>
      <w:r>
        <w:rPr>
          <w:rFonts w:hint="eastAsia" w:ascii="仿宋_GB2312" w:hAnsi="仿宋_GB2312" w:eastAsia="仿宋_GB2312" w:cs="仿宋_GB2312"/>
          <w:sz w:val="20"/>
          <w:szCs w:val="20"/>
          <w:highlight w:val="none"/>
          <w:lang w:val="en-US" w:eastAsia="zh-CN"/>
        </w:rPr>
        <w:t>。</w:t>
      </w:r>
    </w:p>
    <w:p w14:paraId="1D5AAC61">
      <w:pPr>
        <w:pStyle w:val="12"/>
        <w:keepNext w:val="0"/>
        <w:keepLines w:val="0"/>
        <w:pageBreakBefore w:val="0"/>
        <w:numPr>
          <w:ilvl w:val="0"/>
          <w:numId w:val="1"/>
        </w:numPr>
        <w:wordWrap/>
        <w:autoSpaceDE/>
        <w:autoSpaceDN/>
        <w:bidi w:val="0"/>
        <w:adjustRightInd/>
        <w:spacing w:line="360" w:lineRule="auto"/>
        <w:ind w:left="0" w:leftChars="0"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专项</w:t>
      </w:r>
      <w:r>
        <w:rPr>
          <w:rFonts w:hint="eastAsia" w:ascii="仿宋_GB2312" w:hAnsi="仿宋_GB2312" w:eastAsia="仿宋_GB2312" w:cs="仿宋_GB2312"/>
          <w:sz w:val="20"/>
          <w:szCs w:val="20"/>
          <w:highlight w:val="none"/>
        </w:rPr>
        <w:t>服务的内容：</w:t>
      </w:r>
    </w:p>
    <w:p w14:paraId="701E1E46">
      <w:pPr>
        <w:pStyle w:val="12"/>
        <w:keepNext w:val="0"/>
        <w:keepLines w:val="0"/>
        <w:pageBreakBefore w:val="0"/>
        <w:numPr>
          <w:ilvl w:val="0"/>
          <w:numId w:val="0"/>
        </w:numPr>
        <w:wordWrap/>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一</w:t>
      </w:r>
      <w:r>
        <w:rPr>
          <w:rFonts w:hint="eastAsia" w:ascii="仿宋_GB2312" w:hAnsi="仿宋_GB2312" w:eastAsia="仿宋_GB2312" w:cs="仿宋_GB2312"/>
          <w:sz w:val="20"/>
          <w:szCs w:val="20"/>
          <w:highlight w:val="none"/>
          <w:lang w:eastAsia="zh-CN"/>
        </w:rPr>
        <w:t>）重点区域点位布局优化与基础作业能力升级</w:t>
      </w:r>
    </w:p>
    <w:p w14:paraId="64EC4977">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①</w:t>
      </w:r>
      <w:r>
        <w:rPr>
          <w:rFonts w:hint="eastAsia" w:ascii="仿宋_GB2312" w:hAnsi="仿宋_GB2312" w:eastAsia="仿宋_GB2312" w:cs="仿宋_GB2312"/>
          <w:sz w:val="20"/>
          <w:szCs w:val="20"/>
          <w:highlight w:val="none"/>
          <w:lang w:eastAsia="zh-CN"/>
        </w:rPr>
        <w:t>无人机机场点位优化</w:t>
      </w:r>
    </w:p>
    <w:p w14:paraId="6649F89F">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对现有28套无人机机场结合管控重点统筹优化布设，</w:t>
      </w:r>
      <w:r>
        <w:rPr>
          <w:rFonts w:hint="eastAsia" w:ascii="仿宋_GB2312" w:hAnsi="仿宋_GB2312" w:eastAsia="仿宋_GB2312" w:cs="仿宋_GB2312"/>
          <w:sz w:val="20"/>
          <w:szCs w:val="20"/>
          <w:highlight w:val="none"/>
          <w:lang w:val="en-US" w:eastAsia="zh-CN"/>
        </w:rPr>
        <w:t>涉及：</w:t>
      </w:r>
      <w:r>
        <w:rPr>
          <w:rFonts w:hint="eastAsia" w:ascii="仿宋_GB2312" w:hAnsi="仿宋_GB2312" w:eastAsia="仿宋_GB2312" w:cs="仿宋_GB2312"/>
          <w:sz w:val="20"/>
          <w:szCs w:val="20"/>
          <w:highlight w:val="none"/>
          <w:lang w:eastAsia="zh-CN"/>
        </w:rPr>
        <w:t>高火险区域、“五乱”高发区域、重点人员入林卡口、林区关键路段，</w:t>
      </w:r>
      <w:r>
        <w:rPr>
          <w:rFonts w:hint="eastAsia" w:ascii="仿宋_GB2312" w:hAnsi="仿宋_GB2312" w:eastAsia="仿宋_GB2312" w:cs="仿宋_GB2312"/>
          <w:sz w:val="20"/>
          <w:szCs w:val="20"/>
          <w:highlight w:val="none"/>
          <w:lang w:val="en-US" w:eastAsia="zh-CN"/>
        </w:rPr>
        <w:t>以及</w:t>
      </w:r>
      <w:r>
        <w:rPr>
          <w:rFonts w:hint="eastAsia" w:ascii="仿宋_GB2312" w:hAnsi="仿宋_GB2312" w:eastAsia="仿宋_GB2312" w:cs="仿宋_GB2312"/>
          <w:sz w:val="20"/>
          <w:szCs w:val="20"/>
          <w:highlight w:val="none"/>
          <w:lang w:eastAsia="zh-CN"/>
        </w:rPr>
        <w:t>普通林区巡检覆盖。点位布局</w:t>
      </w:r>
      <w:r>
        <w:rPr>
          <w:rFonts w:hint="eastAsia" w:ascii="仿宋_GB2312" w:hAnsi="仿宋_GB2312" w:eastAsia="仿宋_GB2312" w:cs="仿宋_GB2312"/>
          <w:sz w:val="20"/>
          <w:szCs w:val="20"/>
          <w:highlight w:val="none"/>
          <w:lang w:val="en-US" w:eastAsia="zh-CN"/>
        </w:rPr>
        <w:t>需考虑</w:t>
      </w:r>
      <w:r>
        <w:rPr>
          <w:rFonts w:hint="eastAsia" w:ascii="仿宋_GB2312" w:hAnsi="仿宋_GB2312" w:eastAsia="仿宋_GB2312" w:cs="仿宋_GB2312"/>
          <w:sz w:val="20"/>
          <w:szCs w:val="20"/>
          <w:highlight w:val="none"/>
          <w:lang w:eastAsia="zh-CN"/>
        </w:rPr>
        <w:t>秦岭复杂山地林区作业环境，满足管辖重点区域飞行巡检半径≤2km，所有点位符合空域管理规定</w:t>
      </w:r>
      <w:r>
        <w:rPr>
          <w:rFonts w:hint="eastAsia" w:ascii="仿宋_GB2312" w:hAnsi="仿宋_GB2312" w:eastAsia="仿宋_GB2312" w:cs="仿宋_GB2312"/>
          <w:sz w:val="20"/>
          <w:szCs w:val="20"/>
          <w:highlight w:val="none"/>
          <w:lang w:val="en-US" w:eastAsia="zh-CN"/>
        </w:rPr>
        <w:t>并通过空域飞行审批，</w:t>
      </w:r>
      <w:r>
        <w:rPr>
          <w:rFonts w:hint="eastAsia" w:ascii="仿宋_GB2312" w:hAnsi="仿宋_GB2312" w:eastAsia="仿宋_GB2312" w:cs="仿宋_GB2312"/>
          <w:sz w:val="20"/>
          <w:szCs w:val="20"/>
          <w:highlight w:val="none"/>
          <w:lang w:eastAsia="zh-CN"/>
        </w:rPr>
        <w:t>飞行安全</w:t>
      </w:r>
      <w:r>
        <w:rPr>
          <w:rFonts w:hint="eastAsia" w:ascii="仿宋_GB2312" w:hAnsi="仿宋_GB2312" w:eastAsia="仿宋_GB2312" w:cs="仿宋_GB2312"/>
          <w:sz w:val="20"/>
          <w:szCs w:val="20"/>
          <w:highlight w:val="none"/>
          <w:lang w:val="en-US" w:eastAsia="zh-CN"/>
        </w:rPr>
        <w:t>合规</w:t>
      </w:r>
      <w:r>
        <w:rPr>
          <w:rFonts w:hint="eastAsia" w:ascii="仿宋_GB2312" w:hAnsi="仿宋_GB2312" w:eastAsia="仿宋_GB2312" w:cs="仿宋_GB2312"/>
          <w:sz w:val="20"/>
          <w:szCs w:val="20"/>
          <w:highlight w:val="none"/>
          <w:lang w:eastAsia="zh-CN"/>
        </w:rPr>
        <w:t>。</w:t>
      </w:r>
    </w:p>
    <w:p w14:paraId="666B01B0">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②重点区域精细化航线体系升级</w:t>
      </w:r>
    </w:p>
    <w:p w14:paraId="1DCC40EF">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实现多任务航线一体化规划，火情巡查、五乱治理、人员管控三类任务航线复用率≥80%，单架次无人机可同时完成2项及以上巡检任务。</w:t>
      </w:r>
      <w:r>
        <w:rPr>
          <w:rFonts w:hint="eastAsia" w:ascii="仿宋_GB2312" w:hAnsi="仿宋_GB2312" w:eastAsia="仿宋_GB2312" w:cs="仿宋_GB2312"/>
          <w:sz w:val="20"/>
          <w:szCs w:val="20"/>
          <w:highlight w:val="none"/>
          <w:lang w:val="en-US" w:eastAsia="zh-CN"/>
        </w:rPr>
        <w:t>航线</w:t>
      </w:r>
      <w:r>
        <w:rPr>
          <w:rFonts w:hint="eastAsia" w:ascii="仿宋_GB2312" w:hAnsi="仿宋_GB2312" w:eastAsia="仿宋_GB2312" w:cs="仿宋_GB2312"/>
          <w:sz w:val="20"/>
          <w:szCs w:val="20"/>
          <w:highlight w:val="none"/>
          <w:lang w:eastAsia="zh-CN"/>
        </w:rPr>
        <w:t>规划</w:t>
      </w:r>
      <w:r>
        <w:rPr>
          <w:rFonts w:hint="eastAsia" w:ascii="仿宋_GB2312" w:hAnsi="仿宋_GB2312" w:eastAsia="仿宋_GB2312" w:cs="仿宋_GB2312"/>
          <w:sz w:val="20"/>
          <w:szCs w:val="20"/>
          <w:highlight w:val="none"/>
          <w:lang w:val="en-US" w:eastAsia="zh-CN"/>
        </w:rPr>
        <w:t>需考虑山区、林区地形</w:t>
      </w:r>
      <w:r>
        <w:rPr>
          <w:rFonts w:hint="eastAsia" w:ascii="仿宋_GB2312" w:hAnsi="仿宋_GB2312" w:eastAsia="仿宋_GB2312" w:cs="仿宋_GB2312"/>
          <w:sz w:val="20"/>
          <w:szCs w:val="20"/>
          <w:highlight w:val="none"/>
          <w:lang w:eastAsia="zh-CN"/>
        </w:rPr>
        <w:t>避障、</w:t>
      </w:r>
      <w:r>
        <w:rPr>
          <w:rFonts w:hint="eastAsia" w:ascii="仿宋_GB2312" w:hAnsi="仿宋_GB2312" w:eastAsia="仿宋_GB2312" w:cs="仿宋_GB2312"/>
          <w:sz w:val="20"/>
          <w:szCs w:val="20"/>
          <w:highlight w:val="none"/>
          <w:lang w:val="en-US" w:eastAsia="zh-CN"/>
        </w:rPr>
        <w:t>网络情况</w:t>
      </w: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特殊点位绕行、</w:t>
      </w:r>
      <w:r>
        <w:rPr>
          <w:rFonts w:hint="eastAsia" w:ascii="仿宋_GB2312" w:hAnsi="仿宋_GB2312" w:eastAsia="仿宋_GB2312" w:cs="仿宋_GB2312"/>
          <w:sz w:val="20"/>
          <w:szCs w:val="20"/>
          <w:highlight w:val="none"/>
          <w:lang w:eastAsia="zh-CN"/>
        </w:rPr>
        <w:t>断点</w:t>
      </w:r>
      <w:r>
        <w:rPr>
          <w:rFonts w:hint="eastAsia" w:ascii="仿宋_GB2312" w:hAnsi="仿宋_GB2312" w:eastAsia="仿宋_GB2312" w:cs="仿宋_GB2312"/>
          <w:sz w:val="20"/>
          <w:szCs w:val="20"/>
          <w:highlight w:val="none"/>
          <w:lang w:val="en-US" w:eastAsia="zh-CN"/>
        </w:rPr>
        <w:t>返航后续飞可执行等情况。</w:t>
      </w:r>
    </w:p>
    <w:p w14:paraId="5018F786">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eastAsia="zh-CN"/>
        </w:rPr>
        <w:t>建立标准化巡检报告自动输出机制，单次巡检结束后3分钟内自动生成电子版</w:t>
      </w:r>
      <w:r>
        <w:rPr>
          <w:rFonts w:hint="eastAsia" w:ascii="仿宋_GB2312" w:hAnsi="仿宋_GB2312" w:eastAsia="仿宋_GB2312" w:cs="仿宋_GB2312"/>
          <w:sz w:val="20"/>
          <w:szCs w:val="20"/>
          <w:highlight w:val="none"/>
          <w:lang w:val="en-US" w:eastAsia="zh-CN"/>
        </w:rPr>
        <w:t>飞行</w:t>
      </w:r>
      <w:r>
        <w:rPr>
          <w:rFonts w:hint="eastAsia" w:ascii="仿宋_GB2312" w:hAnsi="仿宋_GB2312" w:eastAsia="仿宋_GB2312" w:cs="仿宋_GB2312"/>
          <w:sz w:val="20"/>
          <w:szCs w:val="20"/>
          <w:highlight w:val="none"/>
          <w:lang w:eastAsia="zh-CN"/>
        </w:rPr>
        <w:t>报告</w:t>
      </w:r>
      <w:r>
        <w:rPr>
          <w:rFonts w:hint="eastAsia" w:ascii="仿宋_GB2312" w:hAnsi="仿宋_GB2312" w:eastAsia="仿宋_GB2312" w:cs="仿宋_GB2312"/>
          <w:sz w:val="20"/>
          <w:szCs w:val="20"/>
          <w:highlight w:val="none"/>
          <w:lang w:val="en-US" w:eastAsia="zh-CN"/>
        </w:rPr>
        <w:t>及任务报告</w:t>
      </w:r>
      <w:r>
        <w:rPr>
          <w:rFonts w:hint="eastAsia" w:ascii="仿宋_GB2312" w:hAnsi="仿宋_GB2312" w:eastAsia="仿宋_GB2312" w:cs="仿宋_GB2312"/>
          <w:sz w:val="20"/>
          <w:szCs w:val="20"/>
          <w:highlight w:val="none"/>
          <w:lang w:eastAsia="zh-CN"/>
        </w:rPr>
        <w:t>，完整记录巡检时间、精准GPS坐标、现场画面、AI识别结果、违规/火情等级、处置建议；</w:t>
      </w:r>
      <w:r>
        <w:rPr>
          <w:rFonts w:hint="eastAsia" w:ascii="仿宋_GB2312" w:hAnsi="仿宋_GB2312" w:eastAsia="仿宋_GB2312" w:cs="仿宋_GB2312"/>
          <w:sz w:val="20"/>
          <w:szCs w:val="20"/>
          <w:highlight w:val="none"/>
          <w:lang w:val="en-US" w:eastAsia="zh-CN"/>
        </w:rPr>
        <w:t>同时满足周期性巡检日/周/月/年报告自定义生成。</w:t>
      </w:r>
    </w:p>
    <w:p w14:paraId="7F3D91DE">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重点区域精细化航线数据需全量在秦岭智慧化监管无人机平台实现</w:t>
      </w:r>
      <w:r>
        <w:rPr>
          <w:rFonts w:hint="eastAsia" w:ascii="仿宋_GB2312" w:hAnsi="仿宋_GB2312" w:eastAsia="仿宋_GB2312" w:cs="仿宋_GB2312"/>
          <w:sz w:val="20"/>
          <w:szCs w:val="20"/>
          <w:highlight w:val="none"/>
          <w:lang w:eastAsia="zh-CN"/>
        </w:rPr>
        <w:t>存储、溯源、批量导出</w:t>
      </w:r>
      <w:r>
        <w:rPr>
          <w:rFonts w:hint="eastAsia" w:ascii="仿宋_GB2312" w:hAnsi="仿宋_GB2312" w:eastAsia="仿宋_GB2312" w:cs="仿宋_GB2312"/>
          <w:sz w:val="20"/>
          <w:szCs w:val="20"/>
          <w:highlight w:val="none"/>
          <w:lang w:val="en-US" w:eastAsia="zh-CN"/>
        </w:rPr>
        <w:t>等。</w:t>
      </w:r>
    </w:p>
    <w:p w14:paraId="3849DB83">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③硬件载荷能力升级</w:t>
      </w:r>
    </w:p>
    <w:p w14:paraId="2C5A44F7">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对现有28套存量无人机设备，</w:t>
      </w:r>
      <w:r>
        <w:rPr>
          <w:rFonts w:hint="eastAsia" w:ascii="仿宋_GB2312" w:hAnsi="仿宋_GB2312" w:eastAsia="仿宋_GB2312" w:cs="仿宋_GB2312"/>
          <w:sz w:val="20"/>
          <w:szCs w:val="20"/>
          <w:highlight w:val="none"/>
          <w:lang w:val="en-US" w:eastAsia="zh-CN"/>
        </w:rPr>
        <w:t>在</w:t>
      </w:r>
      <w:r>
        <w:rPr>
          <w:rFonts w:hint="eastAsia" w:ascii="仿宋_GB2312" w:hAnsi="仿宋_GB2312" w:eastAsia="仿宋_GB2312" w:cs="仿宋_GB2312"/>
          <w:sz w:val="20"/>
          <w:szCs w:val="20"/>
          <w:highlight w:val="none"/>
          <w:lang w:eastAsia="zh-CN"/>
        </w:rPr>
        <w:t>重点管控区域作业</w:t>
      </w:r>
      <w:r>
        <w:rPr>
          <w:rFonts w:hint="eastAsia" w:ascii="仿宋_GB2312" w:hAnsi="仿宋_GB2312" w:eastAsia="仿宋_GB2312" w:cs="仿宋_GB2312"/>
          <w:sz w:val="20"/>
          <w:szCs w:val="20"/>
          <w:highlight w:val="none"/>
          <w:lang w:val="en-US" w:eastAsia="zh-CN"/>
        </w:rPr>
        <w:t>能力</w:t>
      </w:r>
      <w:r>
        <w:rPr>
          <w:rFonts w:hint="eastAsia" w:ascii="仿宋_GB2312" w:hAnsi="仿宋_GB2312" w:eastAsia="仿宋_GB2312" w:cs="仿宋_GB2312"/>
          <w:sz w:val="20"/>
          <w:szCs w:val="20"/>
          <w:highlight w:val="none"/>
          <w:lang w:eastAsia="zh-CN"/>
        </w:rPr>
        <w:t>升级。</w:t>
      </w:r>
      <w:r>
        <w:rPr>
          <w:rFonts w:hint="eastAsia" w:ascii="仿宋_GB2312" w:hAnsi="仿宋_GB2312" w:eastAsia="仿宋_GB2312" w:cs="仿宋_GB2312"/>
          <w:sz w:val="20"/>
          <w:szCs w:val="20"/>
          <w:highlight w:val="none"/>
          <w:lang w:val="en-US" w:eastAsia="zh-CN"/>
        </w:rPr>
        <w:t>同时要求系统性建立硬件及载荷关联关系</w:t>
      </w:r>
      <w:r>
        <w:rPr>
          <w:rFonts w:hint="eastAsia" w:ascii="仿宋_GB2312" w:hAnsi="仿宋_GB2312" w:eastAsia="仿宋_GB2312" w:cs="仿宋_GB2312"/>
          <w:sz w:val="20"/>
          <w:szCs w:val="20"/>
          <w:highlight w:val="none"/>
          <w:lang w:eastAsia="zh-CN"/>
        </w:rPr>
        <w:t>电子化台账设备，</w:t>
      </w:r>
      <w:r>
        <w:rPr>
          <w:rFonts w:hint="eastAsia" w:ascii="仿宋_GB2312" w:hAnsi="仿宋_GB2312" w:eastAsia="仿宋_GB2312" w:cs="仿宋_GB2312"/>
          <w:sz w:val="20"/>
          <w:szCs w:val="20"/>
          <w:highlight w:val="none"/>
          <w:lang w:val="en-US" w:eastAsia="zh-CN"/>
        </w:rPr>
        <w:t>对点位优化设备及载荷实现季度</w:t>
      </w:r>
      <w:r>
        <w:rPr>
          <w:rFonts w:hint="eastAsia" w:ascii="仿宋_GB2312" w:hAnsi="仿宋_GB2312" w:eastAsia="仿宋_GB2312" w:cs="仿宋_GB2312"/>
          <w:sz w:val="20"/>
          <w:szCs w:val="20"/>
          <w:highlight w:val="none"/>
          <w:lang w:eastAsia="zh-CN"/>
        </w:rPr>
        <w:t>保养</w:t>
      </w:r>
      <w:r>
        <w:rPr>
          <w:rFonts w:hint="eastAsia" w:ascii="仿宋_GB2312" w:hAnsi="仿宋_GB2312" w:eastAsia="仿宋_GB2312" w:cs="仿宋_GB2312"/>
          <w:sz w:val="20"/>
          <w:szCs w:val="20"/>
          <w:highlight w:val="none"/>
          <w:lang w:val="en-US" w:eastAsia="zh-CN"/>
        </w:rPr>
        <w:t>调优，</w:t>
      </w:r>
      <w:r>
        <w:rPr>
          <w:rFonts w:hint="eastAsia" w:ascii="仿宋_GB2312" w:hAnsi="仿宋_GB2312" w:eastAsia="仿宋_GB2312" w:cs="仿宋_GB2312"/>
          <w:sz w:val="20"/>
          <w:szCs w:val="20"/>
          <w:highlight w:val="none"/>
          <w:lang w:eastAsia="zh-CN"/>
        </w:rPr>
        <w:t>保障存量设备持续稳定作业。</w:t>
      </w:r>
      <w:r>
        <w:rPr>
          <w:rFonts w:hint="eastAsia" w:ascii="仿宋_GB2312" w:hAnsi="仿宋_GB2312" w:eastAsia="仿宋_GB2312" w:cs="仿宋_GB2312"/>
          <w:sz w:val="20"/>
          <w:szCs w:val="20"/>
          <w:highlight w:val="none"/>
          <w:lang w:val="en-US" w:eastAsia="zh-CN"/>
        </w:rPr>
        <w:t>其中远程喊话器 (11套)用于重点管控区域，开展森林防火、“五乱”整治等政策的空中语音宣传与广播；强光照明 (11套)主要用于夜间巡查与作业，为夜间执法、搜救及现场勘查提供高亮度照明支持；智能算力模块 (11套)用于偏远区域的实时数据处理，支持对森林火情、违规行为的实时自动化识别与分析；无人机电池 (12块)用于替换原有6套大疆机场的配套无人机（型号为大疆经纬M30T）已达到循环次数上限的老旧电池，以恢复设备的正常出勤能力，为各类长时间、高频次巡查任务提供电力续航保障。</w:t>
      </w:r>
      <w:r>
        <w:rPr>
          <w:rFonts w:hint="eastAsia" w:ascii="仿宋_GB2312" w:hAnsi="仿宋_GB2312" w:eastAsia="仿宋_GB2312" w:cs="仿宋_GB2312"/>
          <w:sz w:val="20"/>
          <w:szCs w:val="20"/>
          <w:highlight w:val="none"/>
          <w:lang w:eastAsia="zh-CN"/>
        </w:rPr>
        <w:t>具体硬件参数要求如下：</w:t>
      </w:r>
    </w:p>
    <w:tbl>
      <w:tblPr>
        <w:tblStyle w:val="10"/>
        <w:tblW w:w="0" w:type="auto"/>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3"/>
        <w:gridCol w:w="1560"/>
        <w:gridCol w:w="533"/>
        <w:gridCol w:w="1270"/>
        <w:gridCol w:w="4532"/>
      </w:tblGrid>
      <w:tr w14:paraId="0F287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CCCCCC"/>
            <w:vAlign w:val="center"/>
          </w:tcPr>
          <w:p w14:paraId="11F3AFEE">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CCCCCC"/>
            <w:vAlign w:val="center"/>
          </w:tcPr>
          <w:p w14:paraId="72157BA5">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设备名称</w:t>
            </w:r>
          </w:p>
        </w:tc>
        <w:tc>
          <w:tcPr>
            <w:tcW w:w="0" w:type="auto"/>
            <w:tcBorders>
              <w:top w:val="single" w:color="000000" w:sz="4" w:space="0"/>
              <w:left w:val="single" w:color="000000" w:sz="4" w:space="0"/>
              <w:bottom w:val="single" w:color="000000" w:sz="4" w:space="0"/>
              <w:right w:val="single" w:color="000000" w:sz="4" w:space="0"/>
            </w:tcBorders>
            <w:shd w:val="clear" w:color="auto" w:fill="CCCCCC"/>
            <w:vAlign w:val="center"/>
          </w:tcPr>
          <w:p w14:paraId="69740590">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数量</w:t>
            </w:r>
          </w:p>
        </w:tc>
        <w:tc>
          <w:tcPr>
            <w:tcW w:w="1270" w:type="dxa"/>
            <w:tcBorders>
              <w:top w:val="single" w:color="000000" w:sz="4" w:space="0"/>
              <w:left w:val="single" w:color="000000" w:sz="4" w:space="0"/>
              <w:bottom w:val="single" w:color="000000" w:sz="4" w:space="0"/>
              <w:right w:val="single" w:color="000000" w:sz="4" w:space="0"/>
            </w:tcBorders>
            <w:shd w:val="clear" w:color="auto" w:fill="CCCCCC"/>
            <w:vAlign w:val="center"/>
          </w:tcPr>
          <w:p w14:paraId="1D938F7F">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适用对象</w:t>
            </w:r>
          </w:p>
        </w:tc>
        <w:tc>
          <w:tcPr>
            <w:tcW w:w="4532" w:type="dxa"/>
            <w:tcBorders>
              <w:top w:val="single" w:color="000000" w:sz="4" w:space="0"/>
              <w:left w:val="single" w:color="000000" w:sz="4" w:space="0"/>
              <w:bottom w:val="single" w:color="000000" w:sz="4" w:space="0"/>
              <w:right w:val="single" w:color="000000" w:sz="4" w:space="0"/>
            </w:tcBorders>
            <w:shd w:val="clear" w:color="auto" w:fill="CCCCCC"/>
            <w:vAlign w:val="center"/>
          </w:tcPr>
          <w:p w14:paraId="44309CC0">
            <w:pPr>
              <w:pStyle w:val="12"/>
              <w:keepNext w:val="0"/>
              <w:keepLines w:val="0"/>
              <w:pageBreakBefore w:val="0"/>
              <w:kinsoku/>
              <w:wordWrap/>
              <w:overflowPunct/>
              <w:topLinePunct w:val="0"/>
              <w:autoSpaceDE/>
              <w:autoSpaceDN/>
              <w:bidi w:val="0"/>
              <w:adjustRightInd/>
              <w:snapToGrid/>
              <w:spacing w:line="360" w:lineRule="auto"/>
              <w:ind w:firstLine="400" w:firstLineChars="200"/>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参数要求</w:t>
            </w:r>
          </w:p>
        </w:tc>
      </w:tr>
      <w:tr w14:paraId="6EECA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152AF">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95E3CA">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远程喊话器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4EDED">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FE8C0">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配置于重点管控区域作业无人机</w:t>
            </w:r>
          </w:p>
        </w:tc>
        <w:tc>
          <w:tcPr>
            <w:tcW w:w="45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05511">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有效广播距离≥300m</w:t>
            </w:r>
            <w:r>
              <w:rPr>
                <w:rFonts w:hint="eastAsia" w:ascii="仿宋_GB2312" w:hAnsi="仿宋_GB2312" w:eastAsia="仿宋_GB2312" w:cs="仿宋_GB2312"/>
                <w:sz w:val="20"/>
                <w:szCs w:val="20"/>
                <w:highlight w:val="none"/>
                <w:lang w:val="en-US" w:eastAsia="zh-CN"/>
              </w:rPr>
              <w:br w:type="textWrapping"/>
            </w:r>
            <w:r>
              <w:rPr>
                <w:rFonts w:hint="eastAsia" w:ascii="仿宋_GB2312" w:hAnsi="仿宋_GB2312" w:eastAsia="仿宋_GB2312" w:cs="仿宋_GB2312"/>
                <w:sz w:val="20"/>
                <w:szCs w:val="20"/>
                <w:highlight w:val="none"/>
                <w:lang w:val="en-US" w:eastAsia="zh-CN"/>
              </w:rPr>
              <w:t>支持实时喊话、录音播放、多国TTS文本转语音、本地音频文件播放</w:t>
            </w:r>
          </w:p>
        </w:tc>
      </w:tr>
      <w:tr w14:paraId="5FFB2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ADF97">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7C065">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强光照明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6F1D7">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5EC1">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配置于重点管控区域作业无人机</w:t>
            </w:r>
          </w:p>
        </w:tc>
        <w:tc>
          <w:tcPr>
            <w:tcW w:w="45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2E0BF">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夜间有效照明距离≥100m</w:t>
            </w:r>
            <w:r>
              <w:rPr>
                <w:rFonts w:hint="eastAsia" w:ascii="仿宋_GB2312" w:hAnsi="仿宋_GB2312" w:eastAsia="仿宋_GB2312" w:cs="仿宋_GB2312"/>
                <w:sz w:val="20"/>
                <w:szCs w:val="20"/>
                <w:highlight w:val="none"/>
                <w:lang w:val="en-US" w:eastAsia="zh-CN"/>
              </w:rPr>
              <w:br w:type="textWrapping"/>
            </w:r>
            <w:r>
              <w:rPr>
                <w:rFonts w:hint="eastAsia" w:ascii="仿宋_GB2312" w:hAnsi="仿宋_GB2312" w:eastAsia="仿宋_GB2312" w:cs="仿宋_GB2312"/>
                <w:sz w:val="20"/>
                <w:szCs w:val="20"/>
                <w:highlight w:val="none"/>
                <w:lang w:val="en-US" w:eastAsia="zh-CN"/>
              </w:rPr>
              <w:t>支持多种爆闪模式；多档位亮度可调</w:t>
            </w:r>
            <w:r>
              <w:rPr>
                <w:rFonts w:hint="eastAsia" w:ascii="仿宋_GB2312" w:hAnsi="仿宋_GB2312" w:eastAsia="仿宋_GB2312" w:cs="仿宋_GB2312"/>
                <w:sz w:val="20"/>
                <w:szCs w:val="20"/>
                <w:highlight w:val="none"/>
                <w:lang w:val="en-US" w:eastAsia="zh-CN"/>
              </w:rPr>
              <w:br w:type="textWrapping"/>
            </w:r>
            <w:r>
              <w:rPr>
                <w:rFonts w:hint="eastAsia" w:ascii="仿宋_GB2312" w:hAnsi="仿宋_GB2312" w:eastAsia="仿宋_GB2312" w:cs="仿宋_GB2312"/>
                <w:sz w:val="20"/>
                <w:szCs w:val="20"/>
                <w:highlight w:val="none"/>
                <w:lang w:val="en-US" w:eastAsia="zh-CN"/>
              </w:rPr>
              <w:t>防护等级不低于IP53</w:t>
            </w:r>
          </w:p>
        </w:tc>
      </w:tr>
      <w:tr w14:paraId="3CB49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0753B">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35DCC">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无人机端侧智能算力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2AB34">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9D302">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配置于偏远区域重点管控作业无人机</w:t>
            </w:r>
          </w:p>
        </w:tc>
        <w:tc>
          <w:tcPr>
            <w:tcW w:w="45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98E4">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同时满足≥2路1080P@60fps视频的并行采集与处理需求</w:t>
            </w:r>
            <w:r>
              <w:rPr>
                <w:rFonts w:hint="eastAsia" w:ascii="仿宋_GB2312" w:hAnsi="仿宋_GB2312" w:eastAsia="仿宋_GB2312" w:cs="仿宋_GB2312"/>
                <w:sz w:val="20"/>
                <w:szCs w:val="20"/>
                <w:highlight w:val="none"/>
                <w:lang w:val="en-US" w:eastAsia="zh-CN"/>
              </w:rPr>
              <w:br w:type="textWrapping"/>
            </w:r>
            <w:r>
              <w:rPr>
                <w:rFonts w:hint="eastAsia" w:ascii="仿宋_GB2312" w:hAnsi="仿宋_GB2312" w:eastAsia="仿宋_GB2312" w:cs="仿宋_GB2312"/>
                <w:sz w:val="20"/>
                <w:szCs w:val="20"/>
                <w:highlight w:val="none"/>
                <w:lang w:val="en-US" w:eastAsia="zh-CN"/>
              </w:rPr>
              <w:t>峰值算力≥6TOPS（INT8精度）</w:t>
            </w:r>
            <w:r>
              <w:rPr>
                <w:rFonts w:hint="eastAsia" w:ascii="仿宋_GB2312" w:hAnsi="仿宋_GB2312" w:eastAsia="仿宋_GB2312" w:cs="仿宋_GB2312"/>
                <w:sz w:val="20"/>
                <w:szCs w:val="20"/>
                <w:highlight w:val="none"/>
                <w:lang w:val="en-US" w:eastAsia="zh-CN"/>
              </w:rPr>
              <w:br w:type="textWrapping"/>
            </w:r>
            <w:r>
              <w:rPr>
                <w:rFonts w:hint="eastAsia" w:ascii="仿宋_GB2312" w:hAnsi="仿宋_GB2312" w:eastAsia="仿宋_GB2312" w:cs="仿宋_GB2312"/>
                <w:sz w:val="20"/>
                <w:szCs w:val="20"/>
                <w:highlight w:val="none"/>
                <w:lang w:val="en-US" w:eastAsia="zh-CN"/>
              </w:rPr>
              <w:t>支持INT4/INT8/INT16/FP16混合精度计算</w:t>
            </w:r>
            <w:r>
              <w:rPr>
                <w:rFonts w:hint="eastAsia" w:ascii="仿宋_GB2312" w:hAnsi="仿宋_GB2312" w:eastAsia="仿宋_GB2312" w:cs="仿宋_GB2312"/>
                <w:sz w:val="20"/>
                <w:szCs w:val="20"/>
                <w:highlight w:val="none"/>
                <w:lang w:val="en-US" w:eastAsia="zh-CN"/>
              </w:rPr>
              <w:br w:type="textWrapping"/>
            </w:r>
            <w:r>
              <w:rPr>
                <w:rFonts w:hint="eastAsia" w:ascii="仿宋_GB2312" w:hAnsi="仿宋_GB2312" w:eastAsia="仿宋_GB2312" w:cs="仿宋_GB2312"/>
                <w:sz w:val="20"/>
                <w:szCs w:val="20"/>
                <w:highlight w:val="none"/>
                <w:lang w:val="en-US" w:eastAsia="zh-CN"/>
              </w:rPr>
              <w:t>支持8K@30fpsH.265编码、8K@60fpsH.265/VP9/AVS2解码</w:t>
            </w:r>
          </w:p>
        </w:tc>
      </w:tr>
      <w:tr w14:paraId="2E390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AEE8">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DE353">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智能飞行电池（TB30）</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88FB1">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0AA57">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配置于重点管控区域作业无人机</w:t>
            </w:r>
          </w:p>
        </w:tc>
        <w:tc>
          <w:tcPr>
            <w:tcW w:w="45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50A1E">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容量5880mAh</w:t>
            </w:r>
          </w:p>
          <w:p w14:paraId="199D2F66">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电压26.1V</w:t>
            </w:r>
          </w:p>
          <w:p w14:paraId="58746FDF">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电池类型Li-ion 6S</w:t>
            </w:r>
          </w:p>
          <w:p w14:paraId="10744AC6">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能量131.6Wh</w:t>
            </w:r>
          </w:p>
          <w:p w14:paraId="19ADF91B">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电池整体重量685g</w:t>
            </w:r>
          </w:p>
          <w:p w14:paraId="6A27B3BF">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工作环境温度-20℃~50℃</w:t>
            </w:r>
          </w:p>
          <w:p w14:paraId="6B5211B6">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理想存放环境温度20℃至 30℃</w:t>
            </w:r>
          </w:p>
          <w:p w14:paraId="684408A3">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充电温度范围-20℃~40℃</w:t>
            </w:r>
          </w:p>
          <w:p w14:paraId="3E5D00D0">
            <w:pPr>
              <w:pStyle w:val="12"/>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化学体系镍钴锰酸锂</w:t>
            </w:r>
          </w:p>
        </w:tc>
      </w:tr>
    </w:tbl>
    <w:p w14:paraId="5EA30939">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二</w:t>
      </w:r>
      <w:r>
        <w:rPr>
          <w:rFonts w:hint="eastAsia" w:ascii="仿宋_GB2312" w:hAnsi="仿宋_GB2312" w:eastAsia="仿宋_GB2312" w:cs="仿宋_GB2312"/>
          <w:sz w:val="20"/>
          <w:szCs w:val="20"/>
          <w:highlight w:val="none"/>
          <w:lang w:eastAsia="zh-CN"/>
        </w:rPr>
        <w:t>）智能巡检能力提升</w:t>
      </w:r>
    </w:p>
    <w:p w14:paraId="6FF77A50">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①场景化AI算法迭代</w:t>
      </w:r>
    </w:p>
    <w:p w14:paraId="46DCFA2F">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优化升级现有算法准确率和场景适配，并</w:t>
      </w:r>
      <w:r>
        <w:rPr>
          <w:rFonts w:hint="eastAsia" w:ascii="仿宋_GB2312" w:hAnsi="仿宋_GB2312" w:eastAsia="仿宋_GB2312" w:cs="仿宋_GB2312"/>
          <w:sz w:val="20"/>
          <w:szCs w:val="20"/>
          <w:highlight w:val="none"/>
          <w:lang w:eastAsia="zh-CN"/>
        </w:rPr>
        <w:t>完成三大核心场景算法升级：</w:t>
      </w:r>
    </w:p>
    <w:p w14:paraId="3EBDACC6">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森林防火算法提升：明火、暗火、烟雾、高温隐患点识别，按场景优化适配能力。山林坡面场景强化微风环境烟雾识别；高海拔山林场景强化雷暴天气雷击火情、隐蔽暗火识别；祭祀点周边场景强化遗留暗火、微弱烟雾识别。最小识别明火面积≤0.5㎡，远距离烟雾识别距离≥200m；火情识别误报率≤3%、漏报率≤2%。</w:t>
      </w:r>
    </w:p>
    <w:p w14:paraId="5A19F309">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五乱治理算法提升：精准识别搭建、开采、堆积、捕猎、砍伐，按场景优化识别精度，按业务诉求推理违规及点/面计算。林地作业区强化乱砍滥伐、违规开采识别，景区周边强化垃圾堆积、违规搭建识别，村庄周边强化违规搭建、垃圾识别；“五乱”识别误报率≤5%。</w:t>
      </w:r>
    </w:p>
    <w:p w14:paraId="3BC873CA">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入林管控算法提升：单人、多人入林识别。针对特殊管控人员，进山要道区域识别；入林人员吸烟行为识别。人员识别距离≥150m，人员违规识别误报率≤5%。</w:t>
      </w:r>
    </w:p>
    <w:p w14:paraId="4D495F43">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依据场景情况，为无人机搭载端侧智能算力封装2-3类算法能力，实现航拍画面实时解析，识别响应时长≤1秒；重大隐患预警推送延迟≤0.5秒。</w:t>
      </w:r>
    </w:p>
    <w:p w14:paraId="4F40FDC7">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无人机算法</w:t>
      </w:r>
      <w:r>
        <w:rPr>
          <w:rFonts w:hint="eastAsia" w:ascii="仿宋_GB2312" w:hAnsi="仿宋_GB2312" w:eastAsia="仿宋_GB2312" w:cs="仿宋_GB2312"/>
          <w:sz w:val="20"/>
          <w:szCs w:val="20"/>
          <w:highlight w:val="none"/>
          <w:lang w:eastAsia="zh-CN"/>
        </w:rPr>
        <w:t>预警</w:t>
      </w:r>
      <w:r>
        <w:rPr>
          <w:rFonts w:hint="eastAsia" w:ascii="仿宋_GB2312" w:hAnsi="仿宋_GB2312" w:eastAsia="仿宋_GB2312" w:cs="仿宋_GB2312"/>
          <w:sz w:val="20"/>
          <w:szCs w:val="20"/>
          <w:highlight w:val="none"/>
          <w:lang w:val="en-US" w:eastAsia="zh-CN"/>
        </w:rPr>
        <w:t>要求以</w:t>
      </w:r>
      <w:r>
        <w:rPr>
          <w:rFonts w:hint="eastAsia" w:ascii="仿宋_GB2312" w:hAnsi="仿宋_GB2312" w:eastAsia="仿宋_GB2312" w:cs="仿宋_GB2312"/>
          <w:sz w:val="20"/>
          <w:szCs w:val="20"/>
          <w:highlight w:val="none"/>
          <w:lang w:eastAsia="zh-CN"/>
        </w:rPr>
        <w:t>平台弹窗、短信、APP多渠道同步推送，预警推送延迟≤3秒，</w:t>
      </w:r>
      <w:r>
        <w:rPr>
          <w:rFonts w:hint="eastAsia" w:ascii="仿宋_GB2312" w:hAnsi="仿宋_GB2312" w:eastAsia="仿宋_GB2312" w:cs="仿宋_GB2312"/>
          <w:sz w:val="20"/>
          <w:szCs w:val="20"/>
          <w:highlight w:val="none"/>
          <w:lang w:val="en-US" w:eastAsia="zh-CN"/>
        </w:rPr>
        <w:t>图文结合</w:t>
      </w:r>
      <w:r>
        <w:rPr>
          <w:rFonts w:hint="eastAsia" w:ascii="仿宋_GB2312" w:hAnsi="仿宋_GB2312" w:eastAsia="仿宋_GB2312" w:cs="仿宋_GB2312"/>
          <w:sz w:val="20"/>
          <w:szCs w:val="20"/>
          <w:highlight w:val="none"/>
          <w:lang w:eastAsia="zh-CN"/>
        </w:rPr>
        <w:t>标注风险点位坐标。</w:t>
      </w:r>
    </w:p>
    <w:p w14:paraId="00CE8C25">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投标人可根据采购人使用场景提供其他适配业务的其他算法。</w:t>
      </w:r>
    </w:p>
    <w:p w14:paraId="12B3DBDB">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②专业建模与决策支撑</w:t>
      </w:r>
    </w:p>
    <w:p w14:paraId="3E8A4C09">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配套专业林区三维建模软件（</w:t>
      </w:r>
      <w:r>
        <w:rPr>
          <w:rFonts w:hint="eastAsia" w:ascii="仿宋_GB2312" w:hAnsi="仿宋_GB2312" w:eastAsia="仿宋_GB2312" w:cs="仿宋_GB2312"/>
          <w:sz w:val="20"/>
          <w:szCs w:val="20"/>
          <w:highlight w:val="none"/>
          <w:lang w:val="en-US" w:eastAsia="zh-CN"/>
        </w:rPr>
        <w:t>国产化</w:t>
      </w:r>
      <w:r>
        <w:rPr>
          <w:rFonts w:hint="eastAsia" w:ascii="仿宋_GB2312" w:hAnsi="仿宋_GB2312" w:eastAsia="仿宋_GB2312" w:cs="仿宋_GB2312"/>
          <w:sz w:val="20"/>
          <w:szCs w:val="20"/>
          <w:highlight w:val="none"/>
          <w:lang w:eastAsia="zh-CN"/>
        </w:rPr>
        <w:t>），支持</w:t>
      </w:r>
      <w:r>
        <w:rPr>
          <w:rFonts w:hint="eastAsia" w:ascii="仿宋_GB2312" w:hAnsi="仿宋_GB2312" w:eastAsia="仿宋_GB2312" w:cs="仿宋_GB2312"/>
          <w:sz w:val="20"/>
          <w:szCs w:val="20"/>
          <w:highlight w:val="none"/>
          <w:lang w:val="en-US" w:eastAsia="zh-CN"/>
        </w:rPr>
        <w:t>现有</w:t>
      </w:r>
      <w:r>
        <w:rPr>
          <w:rFonts w:hint="eastAsia" w:ascii="仿宋_GB2312" w:hAnsi="仿宋_GB2312" w:eastAsia="仿宋_GB2312" w:cs="仿宋_GB2312"/>
          <w:sz w:val="20"/>
          <w:szCs w:val="20"/>
          <w:highlight w:val="none"/>
          <w:lang w:eastAsia="zh-CN"/>
        </w:rPr>
        <w:t>无人机</w:t>
      </w:r>
      <w:r>
        <w:rPr>
          <w:rFonts w:hint="eastAsia" w:ascii="仿宋_GB2312" w:hAnsi="仿宋_GB2312" w:eastAsia="仿宋_GB2312" w:cs="仿宋_GB2312"/>
          <w:sz w:val="20"/>
          <w:szCs w:val="20"/>
          <w:highlight w:val="none"/>
          <w:lang w:val="en-US" w:eastAsia="zh-CN"/>
        </w:rPr>
        <w:t>硬件</w:t>
      </w:r>
      <w:r>
        <w:rPr>
          <w:rFonts w:hint="eastAsia" w:ascii="仿宋_GB2312" w:hAnsi="仿宋_GB2312" w:eastAsia="仿宋_GB2312" w:cs="仿宋_GB2312"/>
          <w:sz w:val="20"/>
          <w:szCs w:val="20"/>
          <w:highlight w:val="none"/>
          <w:lang w:eastAsia="zh-CN"/>
        </w:rPr>
        <w:t>航拍数据自动建模，单块5km²林区建模时长≤2小时。三维模型精度：正射影像分辨率≤0.1m，地形高程误差≤0.5m，可精准还原林区地形地貌、植被分布、风险点位、基础设施、卡口位置。实现“边飞边辨、飞完即判”。</w:t>
      </w:r>
    </w:p>
    <w:p w14:paraId="14589E04">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技术要求</w:t>
      </w:r>
    </w:p>
    <w:p w14:paraId="21C82A4D">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（一）</w:t>
      </w:r>
      <w:r>
        <w:rPr>
          <w:rFonts w:hint="eastAsia" w:ascii="仿宋_GB2312" w:hAnsi="仿宋_GB2312" w:eastAsia="仿宋_GB2312" w:cs="仿宋_GB2312"/>
          <w:sz w:val="20"/>
          <w:szCs w:val="20"/>
          <w:highlight w:val="none"/>
          <w:lang w:eastAsia="zh-CN"/>
        </w:rPr>
        <w:t>集成要求</w:t>
      </w:r>
    </w:p>
    <w:p w14:paraId="4F107CD0">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硬件载荷以及算法优化需</w:t>
      </w:r>
      <w:r>
        <w:rPr>
          <w:rFonts w:hint="eastAsia" w:ascii="仿宋_GB2312" w:hAnsi="仿宋_GB2312" w:eastAsia="仿宋_GB2312" w:cs="仿宋_GB2312"/>
          <w:sz w:val="20"/>
          <w:szCs w:val="20"/>
          <w:highlight w:val="none"/>
          <w:lang w:eastAsia="zh-CN"/>
        </w:rPr>
        <w:t>完全兼容现有28套无人机机场硬件及原有</w:t>
      </w:r>
      <w:r>
        <w:rPr>
          <w:rFonts w:hint="eastAsia" w:ascii="仿宋_GB2312" w:hAnsi="仿宋_GB2312" w:eastAsia="仿宋_GB2312" w:cs="仿宋_GB2312"/>
          <w:sz w:val="20"/>
          <w:szCs w:val="20"/>
          <w:highlight w:val="none"/>
          <w:lang w:val="en-US" w:eastAsia="zh-CN"/>
        </w:rPr>
        <w:t>秦岭智慧化监管无人机</w:t>
      </w:r>
      <w:r>
        <w:rPr>
          <w:rFonts w:hint="eastAsia" w:ascii="仿宋_GB2312" w:hAnsi="仿宋_GB2312" w:eastAsia="仿宋_GB2312" w:cs="仿宋_GB2312"/>
          <w:sz w:val="20"/>
          <w:szCs w:val="20"/>
          <w:highlight w:val="none"/>
          <w:lang w:eastAsia="zh-CN"/>
        </w:rPr>
        <w:t>系统，设备接入率100%，实现统一管控、统一调度、统一数据，无设备适配故障、数据断层问题。</w:t>
      </w:r>
      <w:r>
        <w:rPr>
          <w:rFonts w:hint="eastAsia" w:ascii="仿宋_GB2312" w:hAnsi="仿宋_GB2312" w:eastAsia="仿宋_GB2312" w:cs="仿宋_GB2312"/>
          <w:sz w:val="20"/>
          <w:szCs w:val="20"/>
          <w:highlight w:val="none"/>
          <w:lang w:val="en-US" w:eastAsia="zh-CN"/>
        </w:rPr>
        <w:t>新增内容需</w:t>
      </w:r>
      <w:r>
        <w:rPr>
          <w:rFonts w:hint="eastAsia" w:ascii="仿宋_GB2312" w:hAnsi="仿宋_GB2312" w:eastAsia="仿宋_GB2312" w:cs="仿宋_GB2312"/>
          <w:sz w:val="20"/>
          <w:szCs w:val="20"/>
          <w:highlight w:val="none"/>
          <w:lang w:eastAsia="zh-CN"/>
        </w:rPr>
        <w:t>提供标准化API开放接口，</w:t>
      </w:r>
      <w:r>
        <w:rPr>
          <w:rFonts w:hint="eastAsia" w:ascii="仿宋_GB2312" w:hAnsi="仿宋_GB2312" w:eastAsia="仿宋_GB2312" w:cs="仿宋_GB2312"/>
          <w:sz w:val="20"/>
          <w:szCs w:val="20"/>
          <w:highlight w:val="none"/>
          <w:lang w:val="en-US" w:eastAsia="zh-CN"/>
        </w:rPr>
        <w:t>实现与秦岭智慧化监管平台等</w:t>
      </w:r>
      <w:r>
        <w:rPr>
          <w:rFonts w:hint="eastAsia" w:ascii="仿宋_GB2312" w:hAnsi="仿宋_GB2312" w:eastAsia="仿宋_GB2312" w:cs="仿宋_GB2312"/>
          <w:sz w:val="20"/>
          <w:szCs w:val="20"/>
          <w:highlight w:val="none"/>
          <w:lang w:eastAsia="zh-CN"/>
        </w:rPr>
        <w:t>上级平台对接成功率100%；</w:t>
      </w:r>
    </w:p>
    <w:p w14:paraId="6CFE74F2">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（二）安装与调试</w:t>
      </w:r>
      <w:r>
        <w:rPr>
          <w:rFonts w:hint="eastAsia" w:ascii="仿宋_GB2312" w:hAnsi="仿宋_GB2312" w:eastAsia="仿宋_GB2312" w:cs="仿宋_GB2312"/>
          <w:sz w:val="20"/>
          <w:szCs w:val="20"/>
          <w:highlight w:val="none"/>
          <w:lang w:val="en-US" w:eastAsia="zh-CN"/>
        </w:rPr>
        <w:tab/>
      </w:r>
    </w:p>
    <w:p w14:paraId="459DA894">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val="en-US" w:eastAsia="zh-CN"/>
        </w:rPr>
        <w:t>根据客户项目要求实现本次项目机场选址、设备迁移、安装、调试等，</w:t>
      </w:r>
      <w:r>
        <w:rPr>
          <w:rFonts w:hint="eastAsia" w:ascii="仿宋_GB2312" w:hAnsi="仿宋_GB2312" w:eastAsia="仿宋_GB2312" w:cs="仿宋_GB2312"/>
          <w:sz w:val="20"/>
          <w:szCs w:val="20"/>
          <w:highlight w:val="none"/>
          <w:lang w:eastAsia="zh-CN"/>
        </w:rPr>
        <w:t>安装施工合规率100%。</w:t>
      </w:r>
    </w:p>
    <w:p w14:paraId="4BDA8EA2">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项目</w:t>
      </w:r>
      <w:r>
        <w:rPr>
          <w:rFonts w:hint="eastAsia" w:ascii="仿宋_GB2312" w:hAnsi="仿宋_GB2312" w:eastAsia="仿宋_GB2312" w:cs="仿宋_GB2312"/>
          <w:sz w:val="20"/>
          <w:szCs w:val="20"/>
          <w:highlight w:val="none"/>
          <w:lang w:val="en-US" w:eastAsia="zh-CN"/>
        </w:rPr>
        <w:t>服务期</w:t>
      </w:r>
      <w:r>
        <w:rPr>
          <w:rFonts w:hint="eastAsia" w:ascii="仿宋_GB2312" w:hAnsi="仿宋_GB2312" w:eastAsia="仿宋_GB2312" w:cs="仿宋_GB2312"/>
          <w:sz w:val="20"/>
          <w:szCs w:val="20"/>
          <w:highlight w:val="none"/>
          <w:lang w:eastAsia="zh-CN"/>
        </w:rPr>
        <w:t>严格把控，合同签订后</w:t>
      </w:r>
      <w:r>
        <w:rPr>
          <w:rFonts w:hint="eastAsia" w:ascii="仿宋_GB2312" w:hAnsi="仿宋_GB2312" w:eastAsia="仿宋_GB2312" w:cs="仿宋_GB2312"/>
          <w:sz w:val="20"/>
          <w:szCs w:val="20"/>
          <w:highlight w:val="none"/>
          <w:lang w:val="en-US" w:eastAsia="zh-CN"/>
        </w:rPr>
        <w:t>60</w:t>
      </w:r>
      <w:r>
        <w:rPr>
          <w:rFonts w:hint="eastAsia" w:ascii="仿宋_GB2312" w:hAnsi="仿宋_GB2312" w:eastAsia="仿宋_GB2312" w:cs="仿宋_GB2312"/>
          <w:sz w:val="20"/>
          <w:szCs w:val="20"/>
          <w:highlight w:val="none"/>
          <w:lang w:eastAsia="zh-CN"/>
        </w:rPr>
        <w:t>日历天内完成机场点位调整、载荷加装、</w:t>
      </w:r>
      <w:r>
        <w:rPr>
          <w:rFonts w:hint="eastAsia" w:ascii="仿宋_GB2312" w:hAnsi="仿宋_GB2312" w:eastAsia="仿宋_GB2312" w:cs="仿宋_GB2312"/>
          <w:sz w:val="20"/>
          <w:szCs w:val="20"/>
          <w:highlight w:val="none"/>
          <w:lang w:val="en-US" w:eastAsia="zh-CN"/>
        </w:rPr>
        <w:t>迭代</w:t>
      </w:r>
      <w:r>
        <w:rPr>
          <w:rFonts w:hint="eastAsia" w:ascii="仿宋_GB2312" w:hAnsi="仿宋_GB2312" w:eastAsia="仿宋_GB2312" w:cs="仿宋_GB2312"/>
          <w:sz w:val="20"/>
          <w:szCs w:val="20"/>
          <w:highlight w:val="none"/>
          <w:lang w:eastAsia="zh-CN"/>
        </w:rPr>
        <w:t>部署、存量设备全量联调联试，整体通过率100%。</w:t>
      </w:r>
    </w:p>
    <w:p w14:paraId="018A3AD4">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项目交付时提供全套标准化资料，包含完整</w:t>
      </w:r>
      <w:r>
        <w:rPr>
          <w:rFonts w:hint="eastAsia" w:ascii="仿宋_GB2312" w:hAnsi="仿宋_GB2312" w:eastAsia="仿宋_GB2312" w:cs="仿宋_GB2312"/>
          <w:sz w:val="20"/>
          <w:szCs w:val="20"/>
          <w:highlight w:val="none"/>
          <w:lang w:val="en-US" w:eastAsia="zh-CN"/>
        </w:rPr>
        <w:t>实施</w:t>
      </w:r>
      <w:r>
        <w:rPr>
          <w:rFonts w:hint="eastAsia" w:ascii="仿宋_GB2312" w:hAnsi="仿宋_GB2312" w:eastAsia="仿宋_GB2312" w:cs="仿宋_GB2312"/>
          <w:sz w:val="20"/>
          <w:szCs w:val="20"/>
          <w:highlight w:val="none"/>
          <w:lang w:eastAsia="zh-CN"/>
        </w:rPr>
        <w:t>图纸、操作手册、维护手册、培训课件、检测报告</w:t>
      </w:r>
      <w:r>
        <w:rPr>
          <w:rFonts w:hint="eastAsia" w:ascii="仿宋_GB2312" w:hAnsi="仿宋_GB2312" w:eastAsia="仿宋_GB2312" w:cs="仿宋_GB2312"/>
          <w:sz w:val="20"/>
          <w:szCs w:val="20"/>
          <w:highlight w:val="none"/>
          <w:lang w:val="en-US" w:eastAsia="zh-CN"/>
        </w:rPr>
        <w:t>等</w:t>
      </w:r>
      <w:r>
        <w:rPr>
          <w:rFonts w:hint="eastAsia" w:ascii="仿宋_GB2312" w:hAnsi="仿宋_GB2312" w:eastAsia="仿宋_GB2312" w:cs="仿宋_GB2312"/>
          <w:sz w:val="20"/>
          <w:szCs w:val="20"/>
          <w:highlight w:val="none"/>
          <w:lang w:eastAsia="zh-CN"/>
        </w:rPr>
        <w:t>。</w:t>
      </w:r>
    </w:p>
    <w:p w14:paraId="1D56A704">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（三）运维与服务要求</w:t>
      </w:r>
    </w:p>
    <w:p w14:paraId="75B4867D">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提供≥3年免费运维保障服务，包含系统运行监测、航线配置优化、算法策略优化及故障诊断排查等技术保障工作。</w:t>
      </w:r>
    </w:p>
    <w:p w14:paraId="6E0CA85C">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eastAsia="zh-CN"/>
        </w:rPr>
        <w:t>提供≥1年免费质保，质保期内所有硬件设备免费维修更换、软件免费迭代升级；每</w:t>
      </w:r>
      <w:r>
        <w:rPr>
          <w:rFonts w:hint="eastAsia" w:ascii="仿宋_GB2312" w:hAnsi="仿宋_GB2312" w:eastAsia="仿宋_GB2312" w:cs="仿宋_GB2312"/>
          <w:sz w:val="20"/>
          <w:szCs w:val="20"/>
          <w:highlight w:val="none"/>
          <w:lang w:val="en-US" w:eastAsia="zh-CN"/>
        </w:rPr>
        <w:t>2月</w:t>
      </w:r>
      <w:r>
        <w:rPr>
          <w:rFonts w:hint="eastAsia" w:ascii="仿宋_GB2312" w:hAnsi="仿宋_GB2312" w:eastAsia="仿宋_GB2312" w:cs="仿宋_GB2312"/>
          <w:sz w:val="20"/>
          <w:szCs w:val="20"/>
          <w:highlight w:val="none"/>
          <w:lang w:eastAsia="zh-CN"/>
        </w:rPr>
        <w:t>开展1次存量设备全覆盖巡检、保养、算法优化、版本升级，全年不少于</w:t>
      </w:r>
      <w:r>
        <w:rPr>
          <w:rFonts w:hint="eastAsia" w:ascii="仿宋_GB2312" w:hAnsi="仿宋_GB2312" w:eastAsia="仿宋_GB2312" w:cs="仿宋_GB2312"/>
          <w:sz w:val="20"/>
          <w:szCs w:val="20"/>
          <w:highlight w:val="none"/>
          <w:lang w:val="en-US" w:eastAsia="zh-CN"/>
        </w:rPr>
        <w:t>6</w:t>
      </w:r>
      <w:r>
        <w:rPr>
          <w:rFonts w:hint="eastAsia" w:ascii="仿宋_GB2312" w:hAnsi="仿宋_GB2312" w:eastAsia="仿宋_GB2312" w:cs="仿宋_GB2312"/>
          <w:sz w:val="20"/>
          <w:szCs w:val="20"/>
          <w:highlight w:val="none"/>
          <w:lang w:eastAsia="zh-CN"/>
        </w:rPr>
        <w:t>次。</w:t>
      </w:r>
    </w:p>
    <w:p w14:paraId="5EC3457E">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eastAsia="zh-CN"/>
        </w:rPr>
        <w:t>项目交付后提供不少于2次专项培训，单次培训时长≥2小时。</w:t>
      </w:r>
    </w:p>
    <w:p w14:paraId="177B852D">
      <w:pPr>
        <w:keepNext w:val="0"/>
        <w:keepLines w:val="0"/>
        <w:pageBreakBefore w:val="0"/>
        <w:numPr>
          <w:ilvl w:val="0"/>
          <w:numId w:val="0"/>
        </w:numPr>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eastAsia="zh-CN"/>
        </w:rPr>
        <w:t>驻场服务要求：质保期内需配置专职驻场运维人员1名，实行工作日在岗值守制度。负责</w:t>
      </w:r>
      <w:r>
        <w:rPr>
          <w:rFonts w:hint="eastAsia" w:ascii="仿宋_GB2312" w:hAnsi="仿宋_GB2312" w:cs="仿宋_GB2312"/>
          <w:sz w:val="20"/>
          <w:szCs w:val="20"/>
          <w:highlight w:val="none"/>
          <w:lang w:eastAsia="zh-CN"/>
        </w:rPr>
        <w:t>28套</w:t>
      </w:r>
      <w:r>
        <w:rPr>
          <w:rFonts w:hint="eastAsia" w:ascii="仿宋_GB2312" w:hAnsi="仿宋_GB2312" w:eastAsia="仿宋_GB2312" w:cs="仿宋_GB2312"/>
          <w:sz w:val="20"/>
          <w:szCs w:val="20"/>
          <w:highlight w:val="none"/>
          <w:lang w:eastAsia="zh-CN"/>
        </w:rPr>
        <w:t>存量无人机机场及配套升级硬件、智能算法、管理平台的日常设备巡查、故障排查、数据整理、巡检台账更新，每月输出月度运维总结报告。</w:t>
      </w:r>
    </w:p>
    <w:p w14:paraId="6F755BF6">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第二条：乙方应按下列要求完成</w:t>
      </w:r>
      <w:r>
        <w:rPr>
          <w:rFonts w:hint="eastAsia" w:ascii="仿宋_GB2312" w:hAnsi="仿宋_GB2312" w:eastAsia="仿宋_GB2312" w:cs="仿宋_GB2312"/>
          <w:b/>
          <w:bCs/>
          <w:sz w:val="20"/>
          <w:szCs w:val="20"/>
          <w:highlight w:val="none"/>
          <w:lang w:val="en-US" w:eastAsia="zh-CN"/>
        </w:rPr>
        <w:t>专项</w:t>
      </w:r>
      <w:r>
        <w:rPr>
          <w:rFonts w:hint="eastAsia" w:ascii="仿宋_GB2312" w:hAnsi="仿宋_GB2312" w:eastAsia="仿宋_GB2312" w:cs="仿宋_GB2312"/>
          <w:b/>
          <w:bCs/>
          <w:sz w:val="20"/>
          <w:szCs w:val="20"/>
          <w:highlight w:val="none"/>
        </w:rPr>
        <w:t>服务工作：</w:t>
      </w:r>
    </w:p>
    <w:p w14:paraId="1710E028">
      <w:pPr>
        <w:keepNext w:val="0"/>
        <w:keepLines w:val="0"/>
        <w:pageBreakBefore w:val="0"/>
        <w:numPr>
          <w:ilvl w:val="0"/>
          <w:numId w:val="2"/>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服务地点：采购人指定地点</w:t>
      </w:r>
    </w:p>
    <w:p w14:paraId="018FED39">
      <w:pPr>
        <w:keepNext w:val="0"/>
        <w:keepLines w:val="0"/>
        <w:pageBreakBefore w:val="0"/>
        <w:numPr>
          <w:ilvl w:val="0"/>
          <w:numId w:val="2"/>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服务</w:t>
      </w:r>
      <w:r>
        <w:rPr>
          <w:rFonts w:hint="eastAsia" w:ascii="仿宋_GB2312" w:hAnsi="仿宋_GB2312" w:eastAsia="仿宋_GB2312" w:cs="仿宋_GB2312"/>
          <w:sz w:val="20"/>
          <w:szCs w:val="20"/>
          <w:highlight w:val="none"/>
          <w:lang w:val="en-US" w:eastAsia="zh-CN"/>
        </w:rPr>
        <w:t>周期</w:t>
      </w:r>
      <w:r>
        <w:rPr>
          <w:rFonts w:hint="eastAsia" w:ascii="仿宋_GB2312" w:hAnsi="仿宋_GB2312" w:eastAsia="仿宋_GB2312" w:cs="仿宋_GB2312"/>
          <w:sz w:val="20"/>
          <w:szCs w:val="20"/>
          <w:highlight w:val="none"/>
        </w:rPr>
        <w:t>：自合同签订之日起</w:t>
      </w:r>
      <w:r>
        <w:rPr>
          <w:rFonts w:hint="eastAsia" w:ascii="仿宋_GB2312" w:hAnsi="仿宋_GB2312" w:eastAsia="仿宋_GB2312" w:cs="仿宋_GB2312"/>
          <w:sz w:val="20"/>
          <w:szCs w:val="20"/>
          <w:highlight w:val="none"/>
          <w:lang w:val="en-US" w:eastAsia="zh-CN"/>
        </w:rPr>
        <w:t>60日</w:t>
      </w:r>
      <w:r>
        <w:rPr>
          <w:rFonts w:hint="eastAsia" w:ascii="仿宋_GB2312" w:hAnsi="仿宋_GB2312" w:eastAsia="仿宋_GB2312" w:cs="仿宋_GB2312"/>
          <w:sz w:val="20"/>
          <w:szCs w:val="20"/>
          <w:highlight w:val="none"/>
        </w:rPr>
        <w:t>内完成</w:t>
      </w:r>
      <w:r>
        <w:rPr>
          <w:rFonts w:hint="eastAsia" w:ascii="仿宋_GB2312" w:hAnsi="仿宋_GB2312" w:eastAsia="仿宋_GB2312" w:cs="仿宋_GB2312"/>
          <w:sz w:val="20"/>
          <w:szCs w:val="20"/>
          <w:highlight w:val="none"/>
          <w:lang w:eastAsia="zh-CN"/>
        </w:rPr>
        <w:t>。</w:t>
      </w:r>
    </w:p>
    <w:p w14:paraId="7CDAE5A3">
      <w:pPr>
        <w:keepNext w:val="0"/>
        <w:keepLines w:val="0"/>
        <w:pageBreakBefore w:val="0"/>
        <w:numPr>
          <w:ilvl w:val="0"/>
          <w:numId w:val="2"/>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服务</w:t>
      </w:r>
      <w:r>
        <w:rPr>
          <w:rFonts w:hint="eastAsia" w:ascii="仿宋_GB2312" w:hAnsi="仿宋_GB2312" w:eastAsia="仿宋_GB2312" w:cs="仿宋_GB2312"/>
          <w:sz w:val="20"/>
          <w:szCs w:val="20"/>
          <w:highlight w:val="none"/>
          <w:lang w:val="en-US" w:eastAsia="zh-CN"/>
        </w:rPr>
        <w:t>总体要求</w:t>
      </w:r>
      <w:r>
        <w:rPr>
          <w:rFonts w:hint="eastAsia" w:ascii="仿宋_GB2312" w:hAnsi="仿宋_GB2312" w:eastAsia="仿宋_GB2312" w:cs="仿宋_GB2312"/>
          <w:sz w:val="20"/>
          <w:szCs w:val="20"/>
          <w:highlight w:val="none"/>
        </w:rPr>
        <w:t>：</w:t>
      </w:r>
      <w:r>
        <w:rPr>
          <w:rFonts w:hint="eastAsia" w:ascii="仿宋_GB2312" w:hAnsi="仿宋_GB2312" w:eastAsia="仿宋_GB2312" w:cs="仿宋_GB2312"/>
          <w:sz w:val="20"/>
          <w:szCs w:val="20"/>
          <w:highlight w:val="none"/>
          <w:lang w:eastAsia="zh-CN"/>
        </w:rPr>
        <w:t>本项目围绕森林火情巡查、“五乱”问题治理、重点人员违规入林管控三大核心场景，完成</w:t>
      </w:r>
      <w:r>
        <w:rPr>
          <w:rFonts w:hint="eastAsia" w:ascii="仿宋_GB2312" w:hAnsi="仿宋_GB2312" w:cs="仿宋_GB2312"/>
          <w:sz w:val="20"/>
          <w:szCs w:val="20"/>
          <w:highlight w:val="none"/>
          <w:lang w:eastAsia="zh-CN"/>
        </w:rPr>
        <w:t>28套</w:t>
      </w:r>
      <w:r>
        <w:rPr>
          <w:rFonts w:hint="eastAsia" w:ascii="仿宋_GB2312" w:hAnsi="仿宋_GB2312" w:eastAsia="仿宋_GB2312" w:cs="仿宋_GB2312"/>
          <w:sz w:val="20"/>
          <w:szCs w:val="20"/>
          <w:highlight w:val="none"/>
          <w:lang w:eastAsia="zh-CN"/>
        </w:rPr>
        <w:t>无人机机场点位优化、硬件扩展、算法迭代</w:t>
      </w:r>
      <w:r>
        <w:rPr>
          <w:rFonts w:hint="eastAsia" w:ascii="仿宋_GB2312" w:hAnsi="仿宋_GB2312" w:eastAsia="仿宋_GB2312" w:cs="仿宋_GB2312"/>
          <w:sz w:val="20"/>
          <w:szCs w:val="20"/>
          <w:highlight w:val="none"/>
          <w:lang w:val="en-US" w:eastAsia="zh-CN"/>
        </w:rPr>
        <w:t>等的</w:t>
      </w:r>
      <w:r>
        <w:rPr>
          <w:rFonts w:hint="eastAsia" w:ascii="仿宋_GB2312" w:hAnsi="仿宋_GB2312" w:eastAsia="仿宋_GB2312" w:cs="仿宋_GB2312"/>
          <w:sz w:val="20"/>
          <w:szCs w:val="20"/>
          <w:highlight w:val="none"/>
          <w:lang w:eastAsia="zh-CN"/>
        </w:rPr>
        <w:t>升级与运维保障，</w:t>
      </w:r>
      <w:r>
        <w:rPr>
          <w:rFonts w:hint="eastAsia" w:ascii="仿宋_GB2312" w:hAnsi="仿宋_GB2312" w:eastAsia="仿宋_GB2312" w:cs="仿宋_GB2312"/>
          <w:sz w:val="20"/>
          <w:szCs w:val="20"/>
          <w:highlight w:val="none"/>
          <w:lang w:val="en-US" w:eastAsia="zh-CN"/>
        </w:rPr>
        <w:t>优化</w:t>
      </w:r>
      <w:r>
        <w:rPr>
          <w:rFonts w:hint="eastAsia" w:ascii="仿宋_GB2312" w:hAnsi="仿宋_GB2312" w:eastAsia="仿宋_GB2312" w:cs="仿宋_GB2312"/>
          <w:sz w:val="20"/>
          <w:szCs w:val="20"/>
          <w:highlight w:val="none"/>
          <w:lang w:eastAsia="zh-CN"/>
        </w:rPr>
        <w:t>立体化、全天候、智能化空中巡检管护体系，</w:t>
      </w:r>
      <w:r>
        <w:rPr>
          <w:rFonts w:hint="eastAsia" w:ascii="仿宋_GB2312" w:hAnsi="仿宋_GB2312" w:eastAsia="仿宋_GB2312" w:cs="仿宋_GB2312"/>
          <w:sz w:val="20"/>
          <w:szCs w:val="20"/>
          <w:highlight w:val="none"/>
          <w:lang w:val="en-US" w:eastAsia="zh-CN"/>
        </w:rPr>
        <w:t>提升</w:t>
      </w:r>
      <w:r>
        <w:rPr>
          <w:rFonts w:hint="eastAsia" w:ascii="仿宋_GB2312" w:hAnsi="仿宋_GB2312" w:eastAsia="仿宋_GB2312" w:cs="仿宋_GB2312"/>
          <w:sz w:val="20"/>
          <w:szCs w:val="20"/>
          <w:highlight w:val="none"/>
          <w:lang w:eastAsia="zh-CN"/>
        </w:rPr>
        <w:t>巡检效能与响应速度。</w:t>
      </w:r>
    </w:p>
    <w:p w14:paraId="377D2486">
      <w:pPr>
        <w:keepNext w:val="0"/>
        <w:keepLines w:val="0"/>
        <w:pageBreakBefore w:val="0"/>
        <w:numPr>
          <w:ilvl w:val="0"/>
          <w:numId w:val="2"/>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其他要求（如有）：</w:t>
      </w:r>
      <w:r>
        <w:rPr>
          <w:rFonts w:hint="eastAsia" w:ascii="仿宋_GB2312" w:hAnsi="仿宋_GB2312" w:eastAsia="仿宋_GB2312" w:cs="仿宋_GB2312"/>
          <w:sz w:val="20"/>
          <w:szCs w:val="20"/>
          <w:highlight w:val="none"/>
        </w:rPr>
        <w:t>详见</w:t>
      </w:r>
      <w:r>
        <w:rPr>
          <w:rFonts w:hint="eastAsia" w:ascii="仿宋_GB2312" w:hAnsi="仿宋_GB2312" w:eastAsia="仿宋_GB2312" w:cs="仿宋_GB2312"/>
          <w:sz w:val="20"/>
          <w:szCs w:val="20"/>
          <w:highlight w:val="none"/>
          <w:lang w:val="en-US" w:eastAsia="zh-CN"/>
        </w:rPr>
        <w:t>磋商文件</w:t>
      </w:r>
    </w:p>
    <w:p w14:paraId="5EE2B293">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b/>
          <w:bCs/>
          <w:sz w:val="20"/>
          <w:szCs w:val="20"/>
          <w:highlight w:val="none"/>
        </w:rPr>
        <w:t>第三条：甲方向乙方支付</w:t>
      </w:r>
      <w:r>
        <w:rPr>
          <w:rFonts w:hint="eastAsia" w:ascii="仿宋_GB2312" w:hAnsi="仿宋_GB2312" w:eastAsia="仿宋_GB2312" w:cs="仿宋_GB2312"/>
          <w:b/>
          <w:bCs/>
          <w:sz w:val="20"/>
          <w:szCs w:val="20"/>
          <w:highlight w:val="none"/>
          <w:lang w:val="en-US" w:eastAsia="zh-CN"/>
        </w:rPr>
        <w:t>专项</w:t>
      </w:r>
      <w:r>
        <w:rPr>
          <w:rFonts w:hint="eastAsia" w:ascii="仿宋_GB2312" w:hAnsi="仿宋_GB2312" w:eastAsia="仿宋_GB2312" w:cs="仿宋_GB2312"/>
          <w:b/>
          <w:bCs/>
          <w:sz w:val="20"/>
          <w:szCs w:val="20"/>
          <w:highlight w:val="none"/>
        </w:rPr>
        <w:t>服务</w:t>
      </w:r>
      <w:r>
        <w:rPr>
          <w:rFonts w:hint="eastAsia" w:ascii="仿宋_GB2312" w:hAnsi="仿宋_GB2312" w:eastAsia="仿宋_GB2312" w:cs="仿宋_GB2312"/>
          <w:b/>
          <w:bCs/>
          <w:sz w:val="20"/>
          <w:szCs w:val="20"/>
          <w:highlight w:val="none"/>
          <w:lang w:val="en-US" w:eastAsia="zh-CN"/>
        </w:rPr>
        <w:t>费用</w:t>
      </w:r>
      <w:r>
        <w:rPr>
          <w:rFonts w:hint="eastAsia" w:ascii="仿宋_GB2312" w:hAnsi="仿宋_GB2312" w:eastAsia="仿宋_GB2312" w:cs="仿宋_GB2312"/>
          <w:b/>
          <w:bCs/>
          <w:sz w:val="20"/>
          <w:szCs w:val="20"/>
          <w:highlight w:val="none"/>
        </w:rPr>
        <w:t>及支付方式为：</w:t>
      </w:r>
    </w:p>
    <w:p w14:paraId="2A55964F">
      <w:pPr>
        <w:keepNext w:val="0"/>
        <w:keepLines w:val="0"/>
        <w:pageBreakBefore w:val="0"/>
        <w:numPr>
          <w:ilvl w:val="0"/>
          <w:numId w:val="3"/>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val="0"/>
          <w:bCs w:val="0"/>
          <w:sz w:val="20"/>
          <w:szCs w:val="20"/>
          <w:highlight w:val="none"/>
        </w:rPr>
        <w:t>服务费总额为：</w:t>
      </w:r>
      <w:r>
        <w:rPr>
          <w:rFonts w:hint="eastAsia" w:ascii="仿宋_GB2312" w:hAnsi="仿宋_GB2312" w:eastAsia="仿宋_GB2312" w:cs="仿宋_GB2312"/>
          <w:b/>
          <w:bCs/>
          <w:sz w:val="20"/>
          <w:szCs w:val="20"/>
          <w:highlight w:val="none"/>
        </w:rPr>
        <w:t>人民币</w:t>
      </w:r>
      <w:r>
        <w:rPr>
          <w:rFonts w:hint="eastAsia" w:ascii="仿宋_GB2312" w:hAnsi="仿宋_GB2312" w:eastAsia="仿宋_GB2312" w:cs="仿宋_GB2312"/>
          <w:b/>
          <w:bCs/>
          <w:sz w:val="20"/>
          <w:szCs w:val="20"/>
          <w:highlight w:val="none"/>
          <w:u w:val="single"/>
          <w:lang w:val="en-US" w:eastAsia="zh-CN"/>
        </w:rPr>
        <w:t xml:space="preserve">     </w:t>
      </w:r>
      <w:r>
        <w:rPr>
          <w:rFonts w:hint="eastAsia" w:ascii="仿宋_GB2312" w:hAnsi="仿宋_GB2312" w:eastAsia="仿宋_GB2312" w:cs="仿宋_GB2312"/>
          <w:b/>
          <w:bCs/>
          <w:sz w:val="20"/>
          <w:szCs w:val="20"/>
          <w:highlight w:val="none"/>
        </w:rPr>
        <w:t>元 （大写：</w:t>
      </w:r>
      <w:r>
        <w:rPr>
          <w:rFonts w:hint="eastAsia" w:ascii="仿宋_GB2312" w:hAnsi="仿宋_GB2312" w:eastAsia="仿宋_GB2312" w:cs="仿宋_GB2312"/>
          <w:b/>
          <w:bCs/>
          <w:sz w:val="20"/>
          <w:szCs w:val="20"/>
          <w:highlight w:val="none"/>
          <w:u w:val="single"/>
          <w:lang w:val="en-US" w:eastAsia="zh-CN"/>
        </w:rPr>
        <w:t xml:space="preserve">     </w:t>
      </w:r>
      <w:r>
        <w:rPr>
          <w:rFonts w:hint="eastAsia" w:ascii="仿宋_GB2312" w:hAnsi="仿宋_GB2312" w:eastAsia="仿宋_GB2312" w:cs="仿宋_GB2312"/>
          <w:b/>
          <w:bCs/>
          <w:sz w:val="20"/>
          <w:szCs w:val="20"/>
          <w:highlight w:val="none"/>
        </w:rPr>
        <w:t>）</w:t>
      </w:r>
    </w:p>
    <w:p w14:paraId="70E6E0AF">
      <w:pPr>
        <w:keepNext w:val="0"/>
        <w:keepLines w:val="0"/>
        <w:pageBreakBefore w:val="0"/>
        <w:numPr>
          <w:ilvl w:val="0"/>
          <w:numId w:val="3"/>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服务费由甲方</w:t>
      </w:r>
      <w:r>
        <w:rPr>
          <w:rFonts w:hint="eastAsia" w:ascii="仿宋_GB2312" w:hAnsi="仿宋_GB2312" w:eastAsia="仿宋_GB2312" w:cs="仿宋_GB2312"/>
          <w:b/>
          <w:bCs/>
          <w:sz w:val="20"/>
          <w:szCs w:val="20"/>
          <w:highlight w:val="none"/>
        </w:rPr>
        <w:t>分期</w:t>
      </w:r>
      <w:r>
        <w:rPr>
          <w:rFonts w:hint="eastAsia" w:ascii="仿宋_GB2312" w:hAnsi="仿宋_GB2312" w:eastAsia="仿宋_GB2312" w:cs="仿宋_GB2312"/>
          <w:sz w:val="20"/>
          <w:szCs w:val="20"/>
          <w:highlight w:val="none"/>
        </w:rPr>
        <w:t xml:space="preserve">支付到乙方： </w:t>
      </w:r>
    </w:p>
    <w:p w14:paraId="00C45AE8">
      <w:pPr>
        <w:keepNext w:val="0"/>
        <w:keepLines w:val="0"/>
        <w:pageBreakBefore w:val="0"/>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具体支付方式和时间如下：</w:t>
      </w:r>
    </w:p>
    <w:p w14:paraId="391DCB21">
      <w:pPr>
        <w:keepNext w:val="0"/>
        <w:keepLines w:val="0"/>
        <w:pageBreakBefore w:val="0"/>
        <w:numPr>
          <w:ilvl w:val="0"/>
          <w:numId w:val="4"/>
        </w:numPr>
        <w:kinsoku/>
        <w:wordWrap/>
        <w:overflowPunct/>
        <w:autoSpaceDE/>
        <w:autoSpaceDN/>
        <w:bidi w:val="0"/>
        <w:adjustRightInd/>
        <w:spacing w:line="360" w:lineRule="auto"/>
        <w:ind w:firstLine="480"/>
        <w:textAlignment w:val="auto"/>
        <w:rPr>
          <w:rFonts w:hint="eastAsia" w:ascii="仿宋_GB2312" w:hAnsi="仿宋_GB2312" w:eastAsia="仿宋_GB2312" w:cs="仿宋_GB2312"/>
          <w:b w:val="0"/>
          <w:bCs w:val="0"/>
          <w:sz w:val="20"/>
          <w:szCs w:val="20"/>
          <w:highlight w:val="none"/>
        </w:rPr>
      </w:pPr>
      <w:r>
        <w:rPr>
          <w:rFonts w:hint="eastAsia" w:ascii="仿宋_GB2312" w:hAnsi="仿宋_GB2312" w:cs="仿宋_GB2312"/>
          <w:b w:val="0"/>
          <w:bCs w:val="0"/>
          <w:sz w:val="20"/>
          <w:szCs w:val="20"/>
          <w:highlight w:val="none"/>
          <w:lang w:eastAsia="zh-CN"/>
        </w:rPr>
        <w:t>乙方先行提交对应金额的</w:t>
      </w:r>
      <w:r>
        <w:rPr>
          <w:rFonts w:hint="eastAsia" w:ascii="仿宋_GB2312" w:hAnsi="仿宋_GB2312" w:eastAsia="仿宋_GB2312" w:cs="仿宋_GB2312"/>
          <w:b w:val="0"/>
          <w:bCs w:val="0"/>
          <w:sz w:val="20"/>
          <w:szCs w:val="20"/>
          <w:highlight w:val="none"/>
        </w:rPr>
        <w:t>合</w:t>
      </w:r>
      <w:r>
        <w:rPr>
          <w:rFonts w:hint="eastAsia" w:ascii="仿宋_GB2312" w:hAnsi="仿宋_GB2312" w:cs="仿宋_GB2312"/>
          <w:b w:val="0"/>
          <w:bCs w:val="0"/>
          <w:sz w:val="20"/>
          <w:szCs w:val="20"/>
          <w:highlight w:val="none"/>
          <w:lang w:eastAsia="zh-CN"/>
        </w:rPr>
        <w:t>法有效增值税发票并经甲方核验无误后，合</w:t>
      </w:r>
      <w:r>
        <w:rPr>
          <w:rFonts w:hint="eastAsia" w:ascii="仿宋_GB2312" w:hAnsi="仿宋_GB2312" w:eastAsia="仿宋_GB2312" w:cs="仿宋_GB2312"/>
          <w:b w:val="0"/>
          <w:bCs w:val="0"/>
          <w:sz w:val="20"/>
          <w:szCs w:val="20"/>
          <w:highlight w:val="none"/>
        </w:rPr>
        <w:t>同签订之日起</w:t>
      </w:r>
      <w:r>
        <w:rPr>
          <w:rFonts w:hint="eastAsia" w:ascii="仿宋_GB2312" w:hAnsi="仿宋_GB2312" w:eastAsia="仿宋_GB2312" w:cs="仿宋_GB2312"/>
          <w:b w:val="0"/>
          <w:bCs w:val="0"/>
          <w:sz w:val="20"/>
          <w:szCs w:val="20"/>
          <w:highlight w:val="none"/>
          <w:lang w:val="en-US" w:eastAsia="zh-CN"/>
        </w:rPr>
        <w:t>15个自然日</w:t>
      </w:r>
      <w:r>
        <w:rPr>
          <w:rFonts w:hint="eastAsia" w:ascii="仿宋_GB2312" w:hAnsi="仿宋_GB2312" w:eastAsia="仿宋_GB2312" w:cs="仿宋_GB2312"/>
          <w:b w:val="0"/>
          <w:bCs w:val="0"/>
          <w:sz w:val="20"/>
          <w:szCs w:val="20"/>
          <w:highlight w:val="none"/>
        </w:rPr>
        <w:t>内，支付合同</w:t>
      </w:r>
      <w:r>
        <w:rPr>
          <w:rFonts w:hint="eastAsia" w:ascii="仿宋_GB2312" w:hAnsi="仿宋_GB2312" w:eastAsia="仿宋_GB2312" w:cs="仿宋_GB2312"/>
          <w:b w:val="0"/>
          <w:bCs w:val="0"/>
          <w:sz w:val="20"/>
          <w:szCs w:val="20"/>
          <w:highlight w:val="none"/>
          <w:lang w:val="en-US" w:eastAsia="zh-CN"/>
        </w:rPr>
        <w:t>总</w:t>
      </w:r>
      <w:r>
        <w:rPr>
          <w:rFonts w:hint="eastAsia" w:ascii="仿宋_GB2312" w:hAnsi="仿宋_GB2312" w:eastAsia="仿宋_GB2312" w:cs="仿宋_GB2312"/>
          <w:b w:val="0"/>
          <w:bCs w:val="0"/>
          <w:sz w:val="20"/>
          <w:szCs w:val="20"/>
          <w:highlight w:val="none"/>
        </w:rPr>
        <w:t>额的40%，即人民币</w:t>
      </w:r>
      <w:r>
        <w:rPr>
          <w:rFonts w:hint="eastAsia" w:ascii="仿宋_GB2312" w:hAnsi="仿宋_GB2312" w:eastAsia="仿宋_GB2312" w:cs="仿宋_GB2312"/>
          <w:b w:val="0"/>
          <w:bCs w:val="0"/>
          <w:sz w:val="20"/>
          <w:szCs w:val="20"/>
          <w:highlight w:val="none"/>
          <w:u w:val="single"/>
          <w:lang w:val="en-US" w:eastAsia="zh-CN"/>
        </w:rPr>
        <w:t xml:space="preserve"> </w:t>
      </w:r>
      <w:r>
        <w:rPr>
          <w:rFonts w:hint="eastAsia" w:ascii="仿宋_GB2312" w:hAnsi="仿宋_GB2312" w:cs="仿宋_GB2312"/>
          <w:b w:val="0"/>
          <w:bCs w:val="0"/>
          <w:sz w:val="20"/>
          <w:szCs w:val="20"/>
          <w:highlight w:val="none"/>
          <w:u w:val="single"/>
          <w:lang w:val="en-US" w:eastAsia="zh-CN"/>
        </w:rPr>
        <w:t xml:space="preserve"> </w:t>
      </w:r>
      <w:r>
        <w:rPr>
          <w:rFonts w:hint="eastAsia" w:ascii="仿宋_GB2312" w:hAnsi="仿宋_GB2312" w:eastAsia="仿宋_GB2312" w:cs="仿宋_GB2312"/>
          <w:b w:val="0"/>
          <w:bCs w:val="0"/>
          <w:sz w:val="20"/>
          <w:szCs w:val="20"/>
          <w:highlight w:val="none"/>
          <w:u w:val="single"/>
          <w:lang w:val="en-US" w:eastAsia="zh-CN"/>
        </w:rPr>
        <w:t xml:space="preserve"> </w:t>
      </w:r>
      <w:r>
        <w:rPr>
          <w:rFonts w:hint="eastAsia" w:ascii="仿宋_GB2312" w:hAnsi="仿宋_GB2312" w:eastAsia="仿宋_GB2312" w:cs="仿宋_GB2312"/>
          <w:b w:val="0"/>
          <w:bCs w:val="0"/>
          <w:sz w:val="20"/>
          <w:szCs w:val="20"/>
          <w:highlight w:val="none"/>
        </w:rPr>
        <w:t>（大写：</w:t>
      </w:r>
      <w:r>
        <w:rPr>
          <w:rFonts w:hint="eastAsia" w:ascii="仿宋_GB2312" w:hAnsi="仿宋_GB2312" w:eastAsia="仿宋_GB2312" w:cs="仿宋_GB2312"/>
          <w:b w:val="0"/>
          <w:bCs w:val="0"/>
          <w:sz w:val="20"/>
          <w:szCs w:val="20"/>
          <w:highlight w:val="none"/>
          <w:u w:val="single"/>
          <w:lang w:val="en-US" w:eastAsia="zh-CN"/>
        </w:rPr>
        <w:t xml:space="preserve">     </w:t>
      </w:r>
      <w:r>
        <w:rPr>
          <w:rFonts w:hint="eastAsia" w:ascii="仿宋_GB2312" w:hAnsi="仿宋_GB2312" w:eastAsia="仿宋_GB2312" w:cs="仿宋_GB2312"/>
          <w:b w:val="0"/>
          <w:bCs w:val="0"/>
          <w:sz w:val="20"/>
          <w:szCs w:val="20"/>
          <w:highlight w:val="none"/>
        </w:rPr>
        <w:t xml:space="preserve">）                                              </w:t>
      </w:r>
    </w:p>
    <w:p w14:paraId="3E64388F">
      <w:pPr>
        <w:keepNext w:val="0"/>
        <w:keepLines w:val="0"/>
        <w:pageBreakBefore w:val="0"/>
        <w:numPr>
          <w:ilvl w:val="0"/>
          <w:numId w:val="4"/>
        </w:numPr>
        <w:kinsoku/>
        <w:wordWrap/>
        <w:overflowPunct/>
        <w:autoSpaceDE/>
        <w:autoSpaceDN/>
        <w:bidi w:val="0"/>
        <w:adjustRightInd/>
        <w:spacing w:line="360" w:lineRule="auto"/>
        <w:ind w:firstLine="480"/>
        <w:textAlignment w:val="auto"/>
        <w:rPr>
          <w:rFonts w:hint="eastAsia" w:ascii="仿宋_GB2312" w:hAnsi="仿宋_GB2312" w:eastAsia="仿宋_GB2312" w:cs="仿宋_GB2312"/>
          <w:b w:val="0"/>
          <w:bCs w:val="0"/>
          <w:sz w:val="20"/>
          <w:szCs w:val="20"/>
          <w:highlight w:val="none"/>
        </w:rPr>
      </w:pPr>
      <w:r>
        <w:rPr>
          <w:rFonts w:hint="eastAsia" w:ascii="仿宋_GB2312" w:hAnsi="仿宋_GB2312" w:cs="仿宋_GB2312"/>
          <w:b w:val="0"/>
          <w:bCs w:val="0"/>
          <w:sz w:val="20"/>
          <w:szCs w:val="20"/>
          <w:highlight w:val="none"/>
          <w:lang w:eastAsia="zh-CN"/>
        </w:rPr>
        <w:t>乙方先行提交对应金额的合法有效增值税发票并经甲方核验无误后，</w:t>
      </w:r>
      <w:r>
        <w:rPr>
          <w:rFonts w:hint="eastAsia" w:ascii="仿宋_GB2312" w:hAnsi="仿宋_GB2312" w:eastAsia="仿宋_GB2312" w:cs="仿宋_GB2312"/>
          <w:b w:val="0"/>
          <w:bCs w:val="0"/>
          <w:sz w:val="20"/>
          <w:szCs w:val="20"/>
          <w:highlight w:val="none"/>
        </w:rPr>
        <w:t>全部产品交付验收完毕之日起</w:t>
      </w:r>
      <w:r>
        <w:rPr>
          <w:rFonts w:hint="eastAsia" w:ascii="仿宋_GB2312" w:hAnsi="仿宋_GB2312" w:eastAsia="仿宋_GB2312" w:cs="仿宋_GB2312"/>
          <w:b w:val="0"/>
          <w:bCs w:val="0"/>
          <w:sz w:val="20"/>
          <w:szCs w:val="20"/>
          <w:highlight w:val="none"/>
          <w:lang w:val="en-US" w:eastAsia="zh-CN"/>
        </w:rPr>
        <w:t>15个自然日</w:t>
      </w:r>
      <w:r>
        <w:rPr>
          <w:rFonts w:hint="eastAsia" w:ascii="仿宋_GB2312" w:hAnsi="仿宋_GB2312" w:eastAsia="仿宋_GB2312" w:cs="仿宋_GB2312"/>
          <w:b w:val="0"/>
          <w:bCs w:val="0"/>
          <w:sz w:val="20"/>
          <w:szCs w:val="20"/>
          <w:highlight w:val="none"/>
        </w:rPr>
        <w:t>内，支付合同</w:t>
      </w:r>
      <w:r>
        <w:rPr>
          <w:rFonts w:hint="eastAsia" w:ascii="仿宋_GB2312" w:hAnsi="仿宋_GB2312" w:eastAsia="仿宋_GB2312" w:cs="仿宋_GB2312"/>
          <w:b w:val="0"/>
          <w:bCs w:val="0"/>
          <w:sz w:val="20"/>
          <w:szCs w:val="20"/>
          <w:highlight w:val="none"/>
          <w:lang w:val="en-US" w:eastAsia="zh-CN"/>
        </w:rPr>
        <w:t>总</w:t>
      </w:r>
      <w:r>
        <w:rPr>
          <w:rFonts w:hint="eastAsia" w:ascii="仿宋_GB2312" w:hAnsi="仿宋_GB2312" w:eastAsia="仿宋_GB2312" w:cs="仿宋_GB2312"/>
          <w:b w:val="0"/>
          <w:bCs w:val="0"/>
          <w:sz w:val="20"/>
          <w:szCs w:val="20"/>
          <w:highlight w:val="none"/>
        </w:rPr>
        <w:t>额的</w:t>
      </w:r>
      <w:r>
        <w:rPr>
          <w:rFonts w:hint="eastAsia" w:ascii="仿宋_GB2312" w:hAnsi="仿宋_GB2312" w:eastAsia="仿宋_GB2312" w:cs="仿宋_GB2312"/>
          <w:b w:val="0"/>
          <w:bCs w:val="0"/>
          <w:sz w:val="20"/>
          <w:szCs w:val="20"/>
          <w:highlight w:val="none"/>
          <w:lang w:val="en-US" w:eastAsia="zh-CN"/>
        </w:rPr>
        <w:t>6</w:t>
      </w:r>
      <w:r>
        <w:rPr>
          <w:rFonts w:hint="eastAsia" w:ascii="仿宋_GB2312" w:hAnsi="仿宋_GB2312" w:eastAsia="仿宋_GB2312" w:cs="仿宋_GB2312"/>
          <w:b w:val="0"/>
          <w:bCs w:val="0"/>
          <w:sz w:val="20"/>
          <w:szCs w:val="20"/>
          <w:highlight w:val="none"/>
        </w:rPr>
        <w:t>0%，即人民币</w:t>
      </w:r>
      <w:r>
        <w:rPr>
          <w:rFonts w:hint="eastAsia" w:ascii="仿宋_GB2312" w:hAnsi="仿宋_GB2312" w:eastAsia="仿宋_GB2312" w:cs="仿宋_GB2312"/>
          <w:b w:val="0"/>
          <w:bCs w:val="0"/>
          <w:sz w:val="20"/>
          <w:szCs w:val="20"/>
          <w:highlight w:val="none"/>
          <w:u w:val="single"/>
          <w:lang w:val="en-US" w:eastAsia="zh-CN"/>
        </w:rPr>
        <w:t xml:space="preserve">     </w:t>
      </w:r>
      <w:r>
        <w:rPr>
          <w:rFonts w:hint="eastAsia" w:ascii="仿宋_GB2312" w:hAnsi="仿宋_GB2312" w:eastAsia="仿宋_GB2312" w:cs="仿宋_GB2312"/>
          <w:b w:val="0"/>
          <w:bCs w:val="0"/>
          <w:sz w:val="20"/>
          <w:szCs w:val="20"/>
          <w:highlight w:val="none"/>
        </w:rPr>
        <w:t>（大写：</w:t>
      </w:r>
      <w:r>
        <w:rPr>
          <w:rFonts w:hint="eastAsia" w:ascii="仿宋_GB2312" w:hAnsi="仿宋_GB2312" w:eastAsia="仿宋_GB2312" w:cs="仿宋_GB2312"/>
          <w:b w:val="0"/>
          <w:bCs w:val="0"/>
          <w:sz w:val="20"/>
          <w:szCs w:val="20"/>
          <w:highlight w:val="none"/>
          <w:u w:val="single"/>
          <w:lang w:val="en-US" w:eastAsia="zh-CN"/>
        </w:rPr>
        <w:t xml:space="preserve">     </w:t>
      </w:r>
      <w:r>
        <w:rPr>
          <w:rFonts w:hint="eastAsia" w:ascii="仿宋_GB2312" w:hAnsi="仿宋_GB2312" w:eastAsia="仿宋_GB2312" w:cs="仿宋_GB2312"/>
          <w:b w:val="0"/>
          <w:bCs w:val="0"/>
          <w:sz w:val="20"/>
          <w:szCs w:val="20"/>
          <w:highlight w:val="none"/>
        </w:rPr>
        <w:t>）</w:t>
      </w:r>
    </w:p>
    <w:p w14:paraId="7B30648B">
      <w:pPr>
        <w:keepNext w:val="0"/>
        <w:keepLines w:val="0"/>
        <w:pageBreakBefore w:val="0"/>
        <w:numPr>
          <w:ilvl w:val="0"/>
          <w:numId w:val="4"/>
        </w:numPr>
        <w:kinsoku/>
        <w:wordWrap/>
        <w:overflowPunct/>
        <w:autoSpaceDE/>
        <w:autoSpaceDN/>
        <w:bidi w:val="0"/>
        <w:adjustRightInd/>
        <w:spacing w:line="360" w:lineRule="auto"/>
        <w:ind w:firstLine="480"/>
        <w:textAlignment w:val="auto"/>
        <w:rPr>
          <w:rFonts w:hint="eastAsia" w:ascii="仿宋_GB2312" w:hAnsi="仿宋_GB2312" w:eastAsia="仿宋_GB2312" w:cs="仿宋_GB2312"/>
          <w:b w:val="0"/>
          <w:bCs w:val="0"/>
          <w:sz w:val="20"/>
          <w:szCs w:val="20"/>
          <w:highlight w:val="none"/>
        </w:rPr>
      </w:pPr>
      <w:r>
        <w:rPr>
          <w:rFonts w:hint="eastAsia" w:ascii="仿宋_GB2312" w:hAnsi="仿宋_GB2312" w:cs="仿宋_GB2312"/>
          <w:b w:val="0"/>
          <w:bCs w:val="0"/>
          <w:sz w:val="20"/>
          <w:szCs w:val="20"/>
          <w:highlight w:val="none"/>
          <w:lang w:eastAsia="zh-CN"/>
        </w:rPr>
        <w:t>若乙方未按合同约定完成对应阶段工作或交付成果不符合要求，甲方有权暂停支付相应款项，且不承担任何责任。</w:t>
      </w:r>
    </w:p>
    <w:p w14:paraId="7E33414E">
      <w:pPr>
        <w:keepNext w:val="0"/>
        <w:keepLines w:val="0"/>
        <w:pageBreakBefore w:val="0"/>
        <w:numPr>
          <w:ilvl w:val="0"/>
          <w:numId w:val="3"/>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乙方开户银行名称、地址和</w:t>
      </w:r>
      <w:r>
        <w:rPr>
          <w:rFonts w:hint="eastAsia" w:ascii="仿宋_GB2312" w:hAnsi="仿宋_GB2312" w:eastAsia="仿宋_GB2312" w:cs="仿宋_GB2312"/>
          <w:sz w:val="20"/>
          <w:szCs w:val="20"/>
          <w:highlight w:val="none"/>
          <w:lang w:eastAsia="zh-CN"/>
        </w:rPr>
        <w:t>账号为</w:t>
      </w:r>
      <w:r>
        <w:rPr>
          <w:rFonts w:hint="eastAsia" w:ascii="仿宋_GB2312" w:hAnsi="仿宋_GB2312" w:eastAsia="仿宋_GB2312" w:cs="仿宋_GB2312"/>
          <w:sz w:val="20"/>
          <w:szCs w:val="20"/>
          <w:highlight w:val="none"/>
        </w:rPr>
        <w:t>：</w:t>
      </w:r>
    </w:p>
    <w:p w14:paraId="4931CB02">
      <w:pPr>
        <w:keepNext w:val="0"/>
        <w:keepLines w:val="0"/>
        <w:pageBreakBefore w:val="0"/>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b w:val="0"/>
          <w:bCs w:val="0"/>
          <w:sz w:val="20"/>
          <w:szCs w:val="20"/>
          <w:highlight w:val="none"/>
        </w:rPr>
      </w:pPr>
      <w:r>
        <w:rPr>
          <w:rFonts w:hint="eastAsia" w:ascii="仿宋_GB2312" w:hAnsi="仿宋_GB2312" w:eastAsia="仿宋_GB2312" w:cs="仿宋_GB2312"/>
          <w:b w:val="0"/>
          <w:bCs w:val="0"/>
          <w:sz w:val="20"/>
          <w:szCs w:val="20"/>
          <w:highlight w:val="none"/>
        </w:rPr>
        <w:t>开户银行：</w:t>
      </w:r>
      <w:r>
        <w:rPr>
          <w:rFonts w:hint="eastAsia" w:ascii="仿宋_GB2312" w:hAnsi="仿宋_GB2312" w:eastAsia="仿宋_GB2312" w:cs="仿宋_GB2312"/>
          <w:b w:val="0"/>
          <w:bCs w:val="0"/>
          <w:sz w:val="20"/>
          <w:szCs w:val="20"/>
          <w:highlight w:val="none"/>
          <w:lang w:val="en-US" w:eastAsia="zh-CN"/>
        </w:rPr>
        <w:t xml:space="preserve"> </w:t>
      </w:r>
      <w:r>
        <w:rPr>
          <w:rFonts w:hint="eastAsia" w:ascii="仿宋_GB2312" w:hAnsi="仿宋_GB2312" w:eastAsia="仿宋_GB2312" w:cs="仿宋_GB2312"/>
          <w:b w:val="0"/>
          <w:bCs w:val="0"/>
          <w:sz w:val="20"/>
          <w:szCs w:val="20"/>
          <w:highlight w:val="none"/>
        </w:rPr>
        <w:t xml:space="preserve">  </w:t>
      </w:r>
    </w:p>
    <w:p w14:paraId="1DAC3631">
      <w:pPr>
        <w:keepNext w:val="0"/>
        <w:keepLines w:val="0"/>
        <w:pageBreakBefore w:val="0"/>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b w:val="0"/>
          <w:bCs w:val="0"/>
          <w:sz w:val="20"/>
          <w:szCs w:val="20"/>
          <w:highlight w:val="none"/>
          <w:lang w:eastAsia="zh-CN"/>
        </w:rPr>
      </w:pPr>
      <w:r>
        <w:rPr>
          <w:rFonts w:hint="eastAsia" w:ascii="仿宋_GB2312" w:hAnsi="仿宋_GB2312" w:eastAsia="仿宋_GB2312" w:cs="仿宋_GB2312"/>
          <w:b w:val="0"/>
          <w:bCs w:val="0"/>
          <w:sz w:val="20"/>
          <w:szCs w:val="20"/>
          <w:highlight w:val="none"/>
        </w:rPr>
        <w:t>开户名称：</w:t>
      </w:r>
      <w:r>
        <w:rPr>
          <w:rFonts w:hint="eastAsia" w:ascii="仿宋_GB2312" w:hAnsi="仿宋_GB2312" w:eastAsia="仿宋_GB2312" w:cs="仿宋_GB2312"/>
          <w:b w:val="0"/>
          <w:bCs w:val="0"/>
          <w:sz w:val="20"/>
          <w:szCs w:val="20"/>
          <w:highlight w:val="none"/>
          <w:lang w:val="en-US" w:eastAsia="zh-CN"/>
        </w:rPr>
        <w:t xml:space="preserve"> </w:t>
      </w:r>
    </w:p>
    <w:p w14:paraId="2CD0D522">
      <w:pPr>
        <w:keepNext w:val="0"/>
        <w:keepLines w:val="0"/>
        <w:pageBreakBefore w:val="0"/>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b w:val="0"/>
          <w:bCs w:val="0"/>
          <w:sz w:val="20"/>
          <w:szCs w:val="20"/>
          <w:highlight w:val="none"/>
          <w:lang w:eastAsia="zh-CN"/>
        </w:rPr>
        <w:t>账    号：</w:t>
      </w:r>
      <w:r>
        <w:rPr>
          <w:rFonts w:hint="eastAsia" w:ascii="仿宋_GB2312" w:hAnsi="仿宋_GB2312" w:eastAsia="仿宋_GB2312" w:cs="仿宋_GB2312"/>
          <w:b/>
          <w:bCs/>
          <w:sz w:val="20"/>
          <w:szCs w:val="20"/>
          <w:highlight w:val="none"/>
          <w:lang w:val="en-US" w:eastAsia="zh-CN"/>
        </w:rPr>
        <w:t xml:space="preserve"> </w:t>
      </w:r>
      <w:r>
        <w:rPr>
          <w:rFonts w:hint="eastAsia" w:ascii="仿宋_GB2312" w:hAnsi="仿宋_GB2312" w:eastAsia="仿宋_GB2312" w:cs="仿宋_GB2312"/>
          <w:sz w:val="20"/>
          <w:szCs w:val="20"/>
          <w:highlight w:val="none"/>
        </w:rPr>
        <w:t xml:space="preserve">                                </w:t>
      </w:r>
    </w:p>
    <w:p w14:paraId="4BEE9D0B">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第</w:t>
      </w:r>
      <w:r>
        <w:rPr>
          <w:rFonts w:hint="eastAsia" w:ascii="仿宋_GB2312" w:hAnsi="仿宋_GB2312" w:eastAsia="仿宋_GB2312" w:cs="仿宋_GB2312"/>
          <w:b/>
          <w:bCs/>
          <w:sz w:val="20"/>
          <w:szCs w:val="20"/>
          <w:highlight w:val="none"/>
          <w:lang w:val="en-US" w:eastAsia="zh-CN"/>
        </w:rPr>
        <w:t>四</w:t>
      </w:r>
      <w:r>
        <w:rPr>
          <w:rFonts w:hint="eastAsia" w:ascii="仿宋_GB2312" w:hAnsi="仿宋_GB2312" w:eastAsia="仿宋_GB2312" w:cs="仿宋_GB2312"/>
          <w:b/>
          <w:bCs/>
          <w:sz w:val="20"/>
          <w:szCs w:val="20"/>
          <w:highlight w:val="none"/>
        </w:rPr>
        <w:t>条：双方确定：</w:t>
      </w:r>
    </w:p>
    <w:p w14:paraId="3742416C">
      <w:pPr>
        <w:keepNext w:val="0"/>
        <w:keepLines w:val="0"/>
        <w:pageBreakBefore w:val="0"/>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在本合同有效期内，甲方利用乙方提交的</w:t>
      </w:r>
      <w:r>
        <w:rPr>
          <w:rFonts w:hint="eastAsia" w:ascii="仿宋_GB2312" w:hAnsi="仿宋_GB2312" w:eastAsia="仿宋_GB2312" w:cs="仿宋_GB2312"/>
          <w:sz w:val="20"/>
          <w:szCs w:val="20"/>
          <w:highlight w:val="none"/>
          <w:lang w:val="en-US" w:eastAsia="zh-CN"/>
        </w:rPr>
        <w:t>专项</w:t>
      </w:r>
      <w:r>
        <w:rPr>
          <w:rFonts w:hint="eastAsia" w:ascii="仿宋_GB2312" w:hAnsi="仿宋_GB2312" w:eastAsia="仿宋_GB2312" w:cs="仿宋_GB2312"/>
          <w:sz w:val="20"/>
          <w:szCs w:val="20"/>
          <w:highlight w:val="none"/>
        </w:rPr>
        <w:t xml:space="preserve">服务工作成果所完成的新的技术成果，归甲方所有。 </w:t>
      </w:r>
    </w:p>
    <w:p w14:paraId="7FE2017F">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第</w:t>
      </w:r>
      <w:r>
        <w:rPr>
          <w:rFonts w:hint="eastAsia" w:ascii="仿宋_GB2312" w:hAnsi="仿宋_GB2312" w:eastAsia="仿宋_GB2312" w:cs="仿宋_GB2312"/>
          <w:b/>
          <w:bCs/>
          <w:sz w:val="20"/>
          <w:szCs w:val="20"/>
          <w:highlight w:val="none"/>
          <w:lang w:val="en-US" w:eastAsia="zh-CN"/>
        </w:rPr>
        <w:t>五</w:t>
      </w:r>
      <w:r>
        <w:rPr>
          <w:rFonts w:hint="eastAsia" w:ascii="仿宋_GB2312" w:hAnsi="仿宋_GB2312" w:eastAsia="仿宋_GB2312" w:cs="仿宋_GB2312"/>
          <w:b/>
          <w:bCs/>
          <w:sz w:val="20"/>
          <w:szCs w:val="20"/>
          <w:highlight w:val="none"/>
        </w:rPr>
        <w:t>条：双方权利和义务</w:t>
      </w:r>
    </w:p>
    <w:p w14:paraId="38890306">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color w:val="000000"/>
          <w:sz w:val="20"/>
          <w:szCs w:val="20"/>
          <w:highlight w:val="none"/>
        </w:rPr>
      </w:pPr>
      <w:r>
        <w:rPr>
          <w:rFonts w:hint="eastAsia" w:ascii="仿宋_GB2312" w:hAnsi="仿宋_GB2312" w:eastAsia="仿宋_GB2312" w:cs="仿宋_GB2312"/>
          <w:b/>
          <w:bCs/>
          <w:color w:val="000000"/>
          <w:sz w:val="20"/>
          <w:szCs w:val="20"/>
          <w:highlight w:val="none"/>
        </w:rPr>
        <w:t>（一）甲方权利和义务</w:t>
      </w:r>
    </w:p>
    <w:p w14:paraId="7403ACDE">
      <w:pPr>
        <w:keepNext w:val="0"/>
        <w:keepLines w:val="0"/>
        <w:pageBreakBefore w:val="0"/>
        <w:numPr>
          <w:ilvl w:val="0"/>
          <w:numId w:val="5"/>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lang w:val="en-US" w:eastAsia="zh-CN"/>
        </w:rPr>
        <w:t>甲方在履行合同过程中应遵守法律，并保证乙方免于承担因甲方违反法律而引起的任何责任。</w:t>
      </w:r>
    </w:p>
    <w:p w14:paraId="45DBC8D9">
      <w:pPr>
        <w:keepNext w:val="0"/>
        <w:keepLines w:val="0"/>
        <w:pageBreakBefore w:val="0"/>
        <w:numPr>
          <w:ilvl w:val="0"/>
          <w:numId w:val="5"/>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甲方应按合同约定向乙方提供相关资料，以及部署环境，并保证资料和环境的真实、准确、完整。</w:t>
      </w:r>
    </w:p>
    <w:p w14:paraId="1C783E75">
      <w:pPr>
        <w:keepNext w:val="0"/>
        <w:keepLines w:val="0"/>
        <w:pageBreakBefore w:val="0"/>
        <w:numPr>
          <w:ilvl w:val="0"/>
          <w:numId w:val="5"/>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甲方应按合同约定向乙方及时支付合同价款。</w:t>
      </w:r>
    </w:p>
    <w:p w14:paraId="3716A306">
      <w:pPr>
        <w:keepNext w:val="0"/>
        <w:keepLines w:val="0"/>
        <w:pageBreakBefore w:val="0"/>
        <w:numPr>
          <w:ilvl w:val="0"/>
          <w:numId w:val="5"/>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甲方应在乙方提出具备验收条件时，及时组织验收。</w:t>
      </w:r>
    </w:p>
    <w:p w14:paraId="19876DEA">
      <w:pPr>
        <w:keepNext w:val="0"/>
        <w:keepLines w:val="0"/>
        <w:pageBreakBefore w:val="0"/>
        <w:numPr>
          <w:ilvl w:val="0"/>
          <w:numId w:val="5"/>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甲方应配合、协调乙方履行完成合同。</w:t>
      </w:r>
    </w:p>
    <w:p w14:paraId="6327F1E9">
      <w:pPr>
        <w:keepNext w:val="0"/>
        <w:keepLines w:val="0"/>
        <w:pageBreakBefore w:val="0"/>
        <w:numPr>
          <w:ilvl w:val="0"/>
          <w:numId w:val="5"/>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甲方</w:t>
      </w:r>
      <w:r>
        <w:rPr>
          <w:rFonts w:hint="eastAsia" w:ascii="仿宋_GB2312" w:hAnsi="仿宋_GB2312" w:cs="仿宋_GB2312"/>
          <w:color w:val="000000"/>
          <w:sz w:val="20"/>
          <w:szCs w:val="20"/>
          <w:highlight w:val="none"/>
          <w:lang w:eastAsia="zh-CN"/>
        </w:rPr>
        <w:t>有权对乙方的项目实施进度、成果质量、数据使用情况进行全程监督，对不符合合同要求的事项有权随时提出整改要求；有权要求乙方更换经甲方审核不合格的项目人员及驻场运维人员，乙方</w:t>
      </w:r>
      <w:r>
        <w:rPr>
          <w:rFonts w:hint="eastAsia" w:ascii="仿宋_GB2312" w:hAnsi="仿宋_GB2312" w:eastAsia="仿宋_GB2312" w:cs="仿宋_GB2312"/>
          <w:color w:val="000000"/>
          <w:sz w:val="20"/>
          <w:szCs w:val="20"/>
          <w:highlight w:val="none"/>
        </w:rPr>
        <w:t>应</w:t>
      </w:r>
      <w:r>
        <w:rPr>
          <w:rFonts w:hint="eastAsia" w:ascii="仿宋_GB2312" w:hAnsi="仿宋_GB2312" w:cs="仿宋_GB2312"/>
          <w:color w:val="000000"/>
          <w:sz w:val="20"/>
          <w:szCs w:val="20"/>
          <w:highlight w:val="none"/>
          <w:lang w:eastAsia="zh-CN"/>
        </w:rPr>
        <w:t>在3个工作日内完成人员更换。</w:t>
      </w:r>
    </w:p>
    <w:p w14:paraId="73C6EFED">
      <w:pPr>
        <w:keepNext w:val="0"/>
        <w:keepLines w:val="0"/>
        <w:pageBreakBefore w:val="0"/>
        <w:numPr>
          <w:ilvl w:val="0"/>
          <w:numId w:val="5"/>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甲方应履行合同约定的其他义务。</w:t>
      </w:r>
    </w:p>
    <w:p w14:paraId="181B31E8">
      <w:pPr>
        <w:keepNext w:val="0"/>
        <w:keepLines w:val="0"/>
        <w:pageBreakBefore w:val="0"/>
        <w:kinsoku/>
        <w:wordWrap/>
        <w:overflowPunct/>
        <w:autoSpaceDE/>
        <w:autoSpaceDN/>
        <w:bidi w:val="0"/>
        <w:adjustRightInd/>
        <w:spacing w:before="50" w:after="50" w:line="360" w:lineRule="auto"/>
        <w:jc w:val="left"/>
        <w:textAlignment w:val="auto"/>
        <w:rPr>
          <w:rFonts w:hint="eastAsia" w:ascii="仿宋_GB2312" w:hAnsi="仿宋_GB2312" w:eastAsia="仿宋_GB2312" w:cs="仿宋_GB2312"/>
          <w:b/>
          <w:bCs/>
          <w:color w:val="000000"/>
          <w:sz w:val="20"/>
          <w:szCs w:val="20"/>
          <w:highlight w:val="none"/>
        </w:rPr>
      </w:pPr>
      <w:r>
        <w:rPr>
          <w:rFonts w:hint="eastAsia" w:ascii="仿宋_GB2312" w:hAnsi="仿宋_GB2312" w:eastAsia="仿宋_GB2312" w:cs="仿宋_GB2312"/>
          <w:b/>
          <w:bCs/>
          <w:color w:val="000000"/>
          <w:sz w:val="20"/>
          <w:szCs w:val="20"/>
          <w:highlight w:val="none"/>
        </w:rPr>
        <w:t>（二）乙方权利和义务</w:t>
      </w:r>
    </w:p>
    <w:p w14:paraId="029014E1">
      <w:pPr>
        <w:keepNext w:val="0"/>
        <w:keepLines w:val="0"/>
        <w:pageBreakBefore w:val="0"/>
        <w:numPr>
          <w:ilvl w:val="0"/>
          <w:numId w:val="6"/>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乙方在履行合同过程中应遵守法律，并保证甲方免于承担因乙方违反法律而引起的任何责任。</w:t>
      </w:r>
    </w:p>
    <w:p w14:paraId="753E099E">
      <w:pPr>
        <w:keepNext w:val="0"/>
        <w:keepLines w:val="0"/>
        <w:pageBreakBefore w:val="0"/>
        <w:numPr>
          <w:ilvl w:val="0"/>
          <w:numId w:val="6"/>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乙方应按合同约定实施、完成全部项目，并修补项目中的任何缺陷。</w:t>
      </w:r>
    </w:p>
    <w:p w14:paraId="2A845678">
      <w:pPr>
        <w:keepNext w:val="0"/>
        <w:keepLines w:val="0"/>
        <w:pageBreakBefore w:val="0"/>
        <w:numPr>
          <w:ilvl w:val="0"/>
          <w:numId w:val="6"/>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乙方应按甲方要求，签订项目安全协议书，编制与合同内容相关的</w:t>
      </w:r>
      <w:r>
        <w:rPr>
          <w:rFonts w:hint="eastAsia" w:ascii="仿宋_GB2312" w:hAnsi="仿宋_GB2312" w:eastAsia="仿宋_GB2312" w:cs="仿宋_GB2312"/>
          <w:color w:val="000000"/>
          <w:sz w:val="20"/>
          <w:szCs w:val="20"/>
          <w:highlight w:val="none"/>
          <w:lang w:val="en-US" w:eastAsia="zh-CN"/>
        </w:rPr>
        <w:t>服务方案</w:t>
      </w:r>
      <w:r>
        <w:rPr>
          <w:rFonts w:hint="eastAsia" w:ascii="仿宋_GB2312" w:hAnsi="仿宋_GB2312" w:eastAsia="仿宋_GB2312" w:cs="仿宋_GB2312"/>
          <w:color w:val="000000"/>
          <w:sz w:val="20"/>
          <w:szCs w:val="20"/>
          <w:highlight w:val="none"/>
        </w:rPr>
        <w:t>。</w:t>
      </w:r>
    </w:p>
    <w:p w14:paraId="2DF860B4">
      <w:pPr>
        <w:keepNext w:val="0"/>
        <w:keepLines w:val="0"/>
        <w:pageBreakBefore w:val="0"/>
        <w:numPr>
          <w:ilvl w:val="0"/>
          <w:numId w:val="6"/>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对全部项目的完备性、稳定性和安全可靠性负责。</w:t>
      </w:r>
    </w:p>
    <w:p w14:paraId="4E04AE27">
      <w:pPr>
        <w:keepNext w:val="0"/>
        <w:keepLines w:val="0"/>
        <w:pageBreakBefore w:val="0"/>
        <w:numPr>
          <w:ilvl w:val="0"/>
          <w:numId w:val="6"/>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乙方应认真执行甲方发出的与合同有关的任何指示，按合同规定的内容和时间完成全部承包工作。</w:t>
      </w:r>
    </w:p>
    <w:p w14:paraId="59C24852">
      <w:pPr>
        <w:keepNext w:val="0"/>
        <w:keepLines w:val="0"/>
        <w:pageBreakBefore w:val="0"/>
        <w:numPr>
          <w:ilvl w:val="0"/>
          <w:numId w:val="6"/>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乙方应履行合同约定的其他义务。</w:t>
      </w:r>
    </w:p>
    <w:p w14:paraId="71F6CB6C">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第</w:t>
      </w:r>
      <w:r>
        <w:rPr>
          <w:rFonts w:hint="eastAsia" w:ascii="仿宋_GB2312" w:hAnsi="仿宋_GB2312" w:eastAsia="仿宋_GB2312" w:cs="仿宋_GB2312"/>
          <w:b/>
          <w:bCs/>
          <w:sz w:val="20"/>
          <w:szCs w:val="20"/>
          <w:highlight w:val="none"/>
          <w:lang w:val="en-US" w:eastAsia="zh-CN"/>
        </w:rPr>
        <w:t>六</w:t>
      </w:r>
      <w:r>
        <w:rPr>
          <w:rFonts w:hint="eastAsia" w:ascii="仿宋_GB2312" w:hAnsi="仿宋_GB2312" w:eastAsia="仿宋_GB2312" w:cs="仿宋_GB2312"/>
          <w:b/>
          <w:bCs/>
          <w:sz w:val="20"/>
          <w:szCs w:val="20"/>
          <w:highlight w:val="none"/>
        </w:rPr>
        <w:t>条：违约责任</w:t>
      </w:r>
    </w:p>
    <w:p w14:paraId="3BCA98ED">
      <w:pPr>
        <w:keepNext w:val="0"/>
        <w:keepLines w:val="0"/>
        <w:pageBreakBefore w:val="0"/>
        <w:kinsoku/>
        <w:wordWrap/>
        <w:overflowPunct/>
        <w:autoSpaceDE/>
        <w:autoSpaceDN/>
        <w:bidi w:val="0"/>
        <w:adjustRightInd/>
        <w:spacing w:before="50" w:after="50" w:line="360" w:lineRule="auto"/>
        <w:jc w:val="left"/>
        <w:textAlignment w:val="auto"/>
        <w:rPr>
          <w:rFonts w:hint="eastAsia" w:ascii="仿宋_GB2312" w:hAnsi="仿宋_GB2312" w:eastAsia="仿宋_GB2312" w:cs="仿宋_GB2312"/>
          <w:b/>
          <w:bCs/>
          <w:color w:val="000000"/>
          <w:sz w:val="20"/>
          <w:szCs w:val="20"/>
          <w:highlight w:val="none"/>
        </w:rPr>
      </w:pPr>
      <w:r>
        <w:rPr>
          <w:rFonts w:hint="eastAsia" w:ascii="仿宋_GB2312" w:hAnsi="仿宋_GB2312" w:eastAsia="仿宋_GB2312" w:cs="仿宋_GB2312"/>
          <w:b/>
          <w:bCs/>
          <w:color w:val="000000"/>
          <w:sz w:val="20"/>
          <w:szCs w:val="20"/>
          <w:highlight w:val="none"/>
        </w:rPr>
        <w:t>（一）甲方违约责任：</w:t>
      </w:r>
    </w:p>
    <w:p w14:paraId="771EE026">
      <w:pPr>
        <w:keepNext w:val="0"/>
        <w:keepLines w:val="0"/>
        <w:pageBreakBefore w:val="0"/>
        <w:numPr>
          <w:ilvl w:val="0"/>
          <w:numId w:val="7"/>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如甲方逾期支付合同服务费，则甲方从逾期之日起，按每天逾期付款部分的0.5‰计算并向乙方支付违约金，并且本合同中乙方对甲方的各项服务日期作相应顺延。</w:t>
      </w:r>
    </w:p>
    <w:p w14:paraId="2B5320F3">
      <w:pPr>
        <w:keepNext w:val="0"/>
        <w:keepLines w:val="0"/>
        <w:pageBreakBefore w:val="0"/>
        <w:numPr>
          <w:ilvl w:val="0"/>
          <w:numId w:val="7"/>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如由于甲方原因中途退货而给乙方造成损失的，甲方应承担退货给乙方造成的直接损失，并向乙方支付退货部分服务费总值10％的违约金。</w:t>
      </w:r>
    </w:p>
    <w:p w14:paraId="4CE86EBD">
      <w:pPr>
        <w:keepNext w:val="0"/>
        <w:keepLines w:val="0"/>
        <w:pageBreakBefore w:val="0"/>
        <w:numPr>
          <w:ilvl w:val="0"/>
          <w:numId w:val="7"/>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由于甲方原因未能按照规定履行自己应负的责任而延误工期，由甲方负责，工期加以顺延，还应赔偿乙方由此造成的实际经济损失。</w:t>
      </w:r>
    </w:p>
    <w:p w14:paraId="46B37AA9">
      <w:pPr>
        <w:keepNext w:val="0"/>
        <w:keepLines w:val="0"/>
        <w:pageBreakBefore w:val="0"/>
        <w:numPr>
          <w:ilvl w:val="0"/>
          <w:numId w:val="7"/>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甲方接到验收通知十日内，无特殊原因不能及时进行验收的，可视为验收合格且乙方不承担延误工期违约金。</w:t>
      </w:r>
    </w:p>
    <w:p w14:paraId="4F569CD2">
      <w:pPr>
        <w:keepNext w:val="0"/>
        <w:keepLines w:val="0"/>
        <w:pageBreakBefore w:val="0"/>
        <w:kinsoku/>
        <w:wordWrap/>
        <w:overflowPunct/>
        <w:autoSpaceDE/>
        <w:autoSpaceDN/>
        <w:bidi w:val="0"/>
        <w:adjustRightInd/>
        <w:spacing w:before="50" w:after="50" w:line="360" w:lineRule="auto"/>
        <w:jc w:val="left"/>
        <w:textAlignment w:val="auto"/>
        <w:rPr>
          <w:rFonts w:hint="eastAsia" w:ascii="仿宋_GB2312" w:hAnsi="仿宋_GB2312" w:eastAsia="仿宋_GB2312" w:cs="仿宋_GB2312"/>
          <w:b/>
          <w:bCs/>
          <w:color w:val="000000"/>
          <w:sz w:val="20"/>
          <w:szCs w:val="20"/>
          <w:highlight w:val="none"/>
        </w:rPr>
      </w:pPr>
      <w:r>
        <w:rPr>
          <w:rFonts w:hint="eastAsia" w:ascii="仿宋_GB2312" w:hAnsi="仿宋_GB2312" w:eastAsia="仿宋_GB2312" w:cs="仿宋_GB2312"/>
          <w:b/>
          <w:bCs/>
          <w:color w:val="000000"/>
          <w:sz w:val="20"/>
          <w:szCs w:val="20"/>
          <w:highlight w:val="none"/>
        </w:rPr>
        <w:t>（二）乙方违约责任：</w:t>
      </w:r>
    </w:p>
    <w:p w14:paraId="6073B319">
      <w:pPr>
        <w:keepNext w:val="0"/>
        <w:keepLines w:val="0"/>
        <w:pageBreakBefore w:val="0"/>
        <w:numPr>
          <w:ilvl w:val="0"/>
          <w:numId w:val="8"/>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项目质量不符合合同及</w:t>
      </w:r>
      <w:r>
        <w:rPr>
          <w:rFonts w:hint="eastAsia" w:ascii="仿宋_GB2312" w:hAnsi="仿宋_GB2312" w:eastAsia="仿宋_GB2312" w:cs="仿宋_GB2312"/>
          <w:color w:val="000000"/>
          <w:sz w:val="20"/>
          <w:szCs w:val="20"/>
          <w:highlight w:val="none"/>
          <w:lang w:val="en-US" w:eastAsia="zh-CN"/>
        </w:rPr>
        <w:t>附件要求</w:t>
      </w:r>
      <w:r>
        <w:rPr>
          <w:rFonts w:hint="eastAsia" w:ascii="仿宋_GB2312" w:hAnsi="仿宋_GB2312" w:eastAsia="仿宋_GB2312" w:cs="仿宋_GB2312"/>
          <w:color w:val="000000"/>
          <w:sz w:val="20"/>
          <w:szCs w:val="20"/>
          <w:highlight w:val="none"/>
        </w:rPr>
        <w:t>规定的，甲方应立即向乙方提出异议并要求整改。如果乙方拒绝整改或整改后仍不符合合同要求</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rPr>
        <w:t>乙方承担由此给甲方造成的直接经济损失。</w:t>
      </w:r>
    </w:p>
    <w:p w14:paraId="10D607A0">
      <w:pPr>
        <w:keepNext w:val="0"/>
        <w:keepLines w:val="0"/>
        <w:pageBreakBefore w:val="0"/>
        <w:numPr>
          <w:ilvl w:val="0"/>
          <w:numId w:val="8"/>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若乙方人员触犯国家法律而被处分时，应及时更换人员。</w:t>
      </w:r>
    </w:p>
    <w:p w14:paraId="1638994D">
      <w:pPr>
        <w:keepNext w:val="0"/>
        <w:keepLines w:val="0"/>
        <w:pageBreakBefore w:val="0"/>
        <w:numPr>
          <w:ilvl w:val="0"/>
          <w:numId w:val="8"/>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若乙方未按规定期限完成本项目，每延迟一天（不足一天，按一天统计）扣除未交付服务费的0.5‰，扣罚不免除乙方完成项目及修补缺陷的义务，扣罚总额不超过逾期交付部分服务费总值的5%。</w:t>
      </w:r>
    </w:p>
    <w:p w14:paraId="6DBA97F2">
      <w:pPr>
        <w:keepNext w:val="0"/>
        <w:keepLines w:val="0"/>
        <w:pageBreakBefore w:val="0"/>
        <w:numPr>
          <w:ilvl w:val="0"/>
          <w:numId w:val="8"/>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若乙方未按合同要求提供服务或</w:t>
      </w:r>
      <w:r>
        <w:rPr>
          <w:rFonts w:hint="eastAsia" w:ascii="仿宋_GB2312" w:hAnsi="仿宋_GB2312" w:eastAsia="仿宋_GB2312" w:cs="仿宋_GB2312"/>
          <w:color w:val="000000"/>
          <w:sz w:val="20"/>
          <w:szCs w:val="20"/>
          <w:highlight w:val="none"/>
          <w:lang w:val="en-US" w:eastAsia="zh-CN"/>
        </w:rPr>
        <w:t>产品</w:t>
      </w:r>
      <w:r>
        <w:rPr>
          <w:rFonts w:hint="eastAsia" w:ascii="仿宋_GB2312" w:hAnsi="仿宋_GB2312" w:eastAsia="仿宋_GB2312" w:cs="仿宋_GB2312"/>
          <w:color w:val="000000"/>
          <w:sz w:val="20"/>
          <w:szCs w:val="20"/>
          <w:highlight w:val="none"/>
        </w:rPr>
        <w:t>质量不能满足技术要求，且在甲方限期内仍未改正，或整改后仍不符合合同约定标准的，甲方有权单方</w:t>
      </w:r>
      <w:r>
        <w:rPr>
          <w:rFonts w:hint="eastAsia" w:ascii="仿宋_GB2312" w:hAnsi="仿宋_GB2312" w:cs="仿宋_GB2312"/>
          <w:color w:val="000000"/>
          <w:sz w:val="20"/>
          <w:szCs w:val="20"/>
          <w:highlight w:val="none"/>
          <w:lang w:val="en-US" w:eastAsia="zh-CN"/>
        </w:rPr>
        <w:t>解除</w:t>
      </w:r>
      <w:r>
        <w:rPr>
          <w:rFonts w:hint="eastAsia" w:ascii="仿宋_GB2312" w:hAnsi="仿宋_GB2312" w:eastAsia="仿宋_GB2312" w:cs="仿宋_GB2312"/>
          <w:color w:val="000000"/>
          <w:sz w:val="20"/>
          <w:szCs w:val="20"/>
          <w:highlight w:val="none"/>
        </w:rPr>
        <w:t>合同，并要求乙方支付合同总价款30%的违约金。</w:t>
      </w:r>
    </w:p>
    <w:p w14:paraId="4A548546">
      <w:pPr>
        <w:keepNext w:val="0"/>
        <w:keepLines w:val="0"/>
        <w:pageBreakBefore w:val="0"/>
        <w:numPr>
          <w:ilvl w:val="0"/>
          <w:numId w:val="8"/>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乙方提交的项目经验收不合格，乙方</w:t>
      </w:r>
      <w:r>
        <w:rPr>
          <w:rFonts w:hint="eastAsia" w:ascii="仿宋_GB2312" w:hAnsi="仿宋_GB2312" w:eastAsia="仿宋_GB2312" w:cs="仿宋_GB2312"/>
          <w:color w:val="000000"/>
          <w:sz w:val="20"/>
          <w:szCs w:val="20"/>
          <w:highlight w:val="none"/>
          <w:lang w:eastAsia="zh-CN"/>
        </w:rPr>
        <w:t>应按</w:t>
      </w:r>
      <w:r>
        <w:rPr>
          <w:rFonts w:hint="eastAsia" w:ascii="仿宋_GB2312" w:hAnsi="仿宋_GB2312" w:eastAsia="仿宋_GB2312" w:cs="仿宋_GB2312"/>
          <w:color w:val="000000"/>
          <w:sz w:val="20"/>
          <w:szCs w:val="20"/>
          <w:highlight w:val="none"/>
        </w:rPr>
        <w:t>技术要求返工，返工所产生的直接费用由乙方自行承担。</w:t>
      </w:r>
    </w:p>
    <w:p w14:paraId="02651554">
      <w:pPr>
        <w:keepNext w:val="0"/>
        <w:keepLines w:val="0"/>
        <w:pageBreakBefore w:val="0"/>
        <w:numPr>
          <w:ilvl w:val="0"/>
          <w:numId w:val="8"/>
        </w:numPr>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除法律另有强制性规定外，本合同项下一方对另一方提起的损失赔偿，仅限于有明确证据证明的直接实际损失，对于任何包括但不限于利润损失，声誉损失，数据损失等间接损失，各方都不承担赔偿责任。本合同项下</w:t>
      </w:r>
      <w:r>
        <w:rPr>
          <w:rFonts w:hint="eastAsia" w:ascii="仿宋_GB2312" w:hAnsi="仿宋_GB2312" w:eastAsia="仿宋_GB2312" w:cs="仿宋_GB2312"/>
          <w:color w:val="000000"/>
          <w:sz w:val="20"/>
          <w:szCs w:val="20"/>
          <w:highlight w:val="none"/>
          <w:lang w:val="en-US" w:eastAsia="zh-CN"/>
        </w:rPr>
        <w:t>双方应承担的违约金、损失赔偿金额，累计最高均不超过合同总金额的30%</w:t>
      </w:r>
      <w:r>
        <w:rPr>
          <w:rFonts w:hint="eastAsia" w:ascii="仿宋_GB2312" w:hAnsi="仿宋_GB2312" w:eastAsia="仿宋_GB2312" w:cs="仿宋_GB2312"/>
          <w:color w:val="000000"/>
          <w:sz w:val="20"/>
          <w:szCs w:val="20"/>
          <w:highlight w:val="none"/>
        </w:rPr>
        <w:t>。</w:t>
      </w:r>
    </w:p>
    <w:p w14:paraId="48F62A10">
      <w:pPr>
        <w:keepNext w:val="0"/>
        <w:keepLines w:val="0"/>
        <w:pageBreakBefore w:val="0"/>
        <w:kinsoku/>
        <w:wordWrap/>
        <w:overflowPunct/>
        <w:autoSpaceDE/>
        <w:autoSpaceDN/>
        <w:bidi w:val="0"/>
        <w:adjustRightInd/>
        <w:spacing w:before="50" w:after="50" w:line="360" w:lineRule="auto"/>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b/>
          <w:bCs/>
          <w:color w:val="000000"/>
          <w:sz w:val="20"/>
          <w:szCs w:val="20"/>
          <w:highlight w:val="none"/>
        </w:rPr>
        <w:t>（三）双方</w:t>
      </w:r>
      <w:r>
        <w:rPr>
          <w:rFonts w:hint="eastAsia" w:ascii="仿宋_GB2312" w:hAnsi="仿宋_GB2312" w:eastAsia="仿宋_GB2312" w:cs="仿宋_GB2312"/>
          <w:b/>
          <w:bCs/>
          <w:color w:val="000000"/>
          <w:sz w:val="20"/>
          <w:szCs w:val="20"/>
          <w:highlight w:val="none"/>
          <w:lang w:eastAsia="zh-CN"/>
        </w:rPr>
        <w:t>其他</w:t>
      </w:r>
      <w:r>
        <w:rPr>
          <w:rFonts w:hint="eastAsia" w:ascii="仿宋_GB2312" w:hAnsi="仿宋_GB2312" w:eastAsia="仿宋_GB2312" w:cs="仿宋_GB2312"/>
          <w:b/>
          <w:bCs/>
          <w:color w:val="000000"/>
          <w:sz w:val="20"/>
          <w:szCs w:val="20"/>
          <w:highlight w:val="none"/>
        </w:rPr>
        <w:t>违约责任按照《中华人民共和国民法典》的有关条款执行。</w:t>
      </w:r>
    </w:p>
    <w:p w14:paraId="3B5EC907">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第</w:t>
      </w:r>
      <w:r>
        <w:rPr>
          <w:rFonts w:hint="eastAsia" w:ascii="仿宋_GB2312" w:hAnsi="仿宋_GB2312" w:eastAsia="仿宋_GB2312" w:cs="仿宋_GB2312"/>
          <w:b/>
          <w:bCs/>
          <w:sz w:val="20"/>
          <w:szCs w:val="20"/>
          <w:highlight w:val="none"/>
          <w:lang w:val="en-US" w:eastAsia="zh-CN"/>
        </w:rPr>
        <w:t>七</w:t>
      </w:r>
      <w:r>
        <w:rPr>
          <w:rFonts w:hint="eastAsia" w:ascii="仿宋_GB2312" w:hAnsi="仿宋_GB2312" w:eastAsia="仿宋_GB2312" w:cs="仿宋_GB2312"/>
          <w:b/>
          <w:bCs/>
          <w:sz w:val="20"/>
          <w:szCs w:val="20"/>
          <w:highlight w:val="none"/>
        </w:rPr>
        <w:t>条：争议的解决方式</w:t>
      </w:r>
    </w:p>
    <w:p w14:paraId="07B7D0D0">
      <w:pPr>
        <w:keepNext w:val="0"/>
        <w:keepLines w:val="0"/>
        <w:pageBreakBefore w:val="0"/>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1.凡因履行本协议产生的争议，由双方协商解决。协商、调解不成的，应提交至甲方所在地人民法院提起诉讼。</w:t>
      </w:r>
    </w:p>
    <w:p w14:paraId="3C941CEA">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第</w:t>
      </w:r>
      <w:r>
        <w:rPr>
          <w:rFonts w:hint="eastAsia" w:ascii="仿宋_GB2312" w:hAnsi="仿宋_GB2312" w:eastAsia="仿宋_GB2312" w:cs="仿宋_GB2312"/>
          <w:b/>
          <w:bCs/>
          <w:sz w:val="20"/>
          <w:szCs w:val="20"/>
          <w:highlight w:val="none"/>
          <w:lang w:val="en-US" w:eastAsia="zh-CN"/>
        </w:rPr>
        <w:t>八</w:t>
      </w:r>
      <w:r>
        <w:rPr>
          <w:rFonts w:hint="eastAsia" w:ascii="仿宋_GB2312" w:hAnsi="仿宋_GB2312" w:eastAsia="仿宋_GB2312" w:cs="仿宋_GB2312"/>
          <w:b/>
          <w:bCs/>
          <w:sz w:val="20"/>
          <w:szCs w:val="20"/>
          <w:highlight w:val="none"/>
        </w:rPr>
        <w:t>条：合同有效期</w:t>
      </w:r>
    </w:p>
    <w:p w14:paraId="469B0C1E">
      <w:pPr>
        <w:keepNext w:val="0"/>
        <w:keepLines w:val="0"/>
        <w:pageBreakBefore w:val="0"/>
        <w:tabs>
          <w:tab w:val="left" w:pos="1571"/>
        </w:tabs>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1.本合同经双方的法定代表人或法定代表人授权委托代理人在合同书上签字并分别加盖本单位的合同专用章后正式生效，自本合同项目款项结清之</w:t>
      </w:r>
      <w:r>
        <w:rPr>
          <w:rFonts w:hint="eastAsia" w:ascii="仿宋_GB2312" w:hAnsi="仿宋_GB2312" w:eastAsia="仿宋_GB2312" w:cs="仿宋_GB2312"/>
          <w:color w:val="000000"/>
          <w:sz w:val="20"/>
          <w:szCs w:val="20"/>
          <w:highlight w:val="none"/>
          <w:lang w:eastAsia="zh-CN"/>
        </w:rPr>
        <w:t>日起</w:t>
      </w:r>
      <w:r>
        <w:rPr>
          <w:rFonts w:hint="eastAsia" w:ascii="仿宋_GB2312" w:hAnsi="仿宋_GB2312" w:eastAsia="仿宋_GB2312" w:cs="仿宋_GB2312"/>
          <w:color w:val="000000"/>
          <w:sz w:val="20"/>
          <w:szCs w:val="20"/>
          <w:highlight w:val="none"/>
        </w:rPr>
        <w:t>自然终止。</w:t>
      </w:r>
    </w:p>
    <w:p w14:paraId="7C0DD8EA">
      <w:pPr>
        <w:keepNext w:val="0"/>
        <w:keepLines w:val="0"/>
        <w:pageBreakBefore w:val="0"/>
        <w:tabs>
          <w:tab w:val="left" w:pos="1571"/>
        </w:tabs>
        <w:kinsoku/>
        <w:wordWrap/>
        <w:overflowPunct/>
        <w:autoSpaceDE/>
        <w:autoSpaceDN/>
        <w:bidi w:val="0"/>
        <w:adjustRightInd/>
        <w:spacing w:line="360" w:lineRule="auto"/>
        <w:ind w:firstLine="400" w:firstLineChars="200"/>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2.合同履行期间，甲、乙双方均不得随意更改或解除合同，本合同的变更及其它未尽事宜，必须经双方共同协商解决。</w:t>
      </w:r>
    </w:p>
    <w:p w14:paraId="30C4C063">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第</w:t>
      </w:r>
      <w:r>
        <w:rPr>
          <w:rFonts w:hint="eastAsia" w:ascii="仿宋_GB2312" w:hAnsi="仿宋_GB2312" w:eastAsia="仿宋_GB2312" w:cs="仿宋_GB2312"/>
          <w:b/>
          <w:bCs/>
          <w:sz w:val="20"/>
          <w:szCs w:val="20"/>
          <w:highlight w:val="none"/>
          <w:lang w:val="en-US" w:eastAsia="zh-CN"/>
        </w:rPr>
        <w:t>九</w:t>
      </w:r>
      <w:r>
        <w:rPr>
          <w:rFonts w:hint="eastAsia" w:ascii="仿宋_GB2312" w:hAnsi="仿宋_GB2312" w:eastAsia="仿宋_GB2312" w:cs="仿宋_GB2312"/>
          <w:b/>
          <w:bCs/>
          <w:sz w:val="20"/>
          <w:szCs w:val="20"/>
          <w:highlight w:val="none"/>
        </w:rPr>
        <w:t xml:space="preserve">条：本合同一式 </w:t>
      </w:r>
      <w:r>
        <w:rPr>
          <w:rFonts w:hint="eastAsia" w:ascii="仿宋_GB2312" w:hAnsi="仿宋_GB2312" w:eastAsia="仿宋_GB2312" w:cs="仿宋_GB2312"/>
          <w:b/>
          <w:bCs/>
          <w:sz w:val="20"/>
          <w:szCs w:val="20"/>
          <w:highlight w:val="none"/>
          <w:lang w:val="en-US" w:eastAsia="zh-CN"/>
        </w:rPr>
        <w:t>肆</w:t>
      </w:r>
      <w:r>
        <w:rPr>
          <w:rFonts w:hint="eastAsia" w:ascii="仿宋_GB2312" w:hAnsi="仿宋_GB2312" w:eastAsia="仿宋_GB2312" w:cs="仿宋_GB2312"/>
          <w:b/>
          <w:bCs/>
          <w:sz w:val="20"/>
          <w:szCs w:val="20"/>
          <w:highlight w:val="none"/>
        </w:rPr>
        <w:t xml:space="preserve"> 份，具有同等法律效力。</w:t>
      </w:r>
    </w:p>
    <w:p w14:paraId="649F184E">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第十条：本合同经双方签字盖章后生效。</w:t>
      </w:r>
    </w:p>
    <w:p w14:paraId="120C30D9">
      <w:pPr>
        <w:pStyle w:val="2"/>
        <w:keepNext w:val="0"/>
        <w:keepLines w:val="0"/>
        <w:pageBreakBefore w:val="0"/>
        <w:wordWrap/>
        <w:autoSpaceDE/>
        <w:autoSpaceDN/>
        <w:bidi w:val="0"/>
        <w:adjustRightInd/>
        <w:spacing w:line="360" w:lineRule="auto"/>
        <w:ind w:left="0" w:leftChars="0" w:firstLine="0" w:firstLineChars="0"/>
        <w:textAlignment w:val="auto"/>
        <w:rPr>
          <w:rFonts w:hint="eastAsia" w:ascii="仿宋_GB2312" w:hAnsi="仿宋_GB2312" w:eastAsia="仿宋_GB2312" w:cs="仿宋_GB2312"/>
          <w:sz w:val="20"/>
          <w:szCs w:val="20"/>
          <w:highlight w:val="none"/>
        </w:rPr>
      </w:pPr>
    </w:p>
    <w:p w14:paraId="2E77BC4D">
      <w:pPr>
        <w:keepNext w:val="0"/>
        <w:keepLines w:val="0"/>
        <w:pageBreakBefore w:val="0"/>
        <w:wordWrap/>
        <w:autoSpaceDE/>
        <w:autoSpaceDN/>
        <w:bidi w:val="0"/>
        <w:adjustRightInd/>
        <w:spacing w:line="360" w:lineRule="auto"/>
        <w:textAlignment w:val="auto"/>
        <w:rPr>
          <w:rFonts w:hint="eastAsia" w:ascii="仿宋_GB2312" w:hAnsi="仿宋_GB2312" w:eastAsia="仿宋_GB2312" w:cs="仿宋_GB2312"/>
          <w:sz w:val="20"/>
          <w:szCs w:val="20"/>
          <w:highlight w:val="none"/>
        </w:rPr>
      </w:pPr>
    </w:p>
    <w:p w14:paraId="59804B5D">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甲方（盖章）：</w:t>
      </w:r>
      <w:r>
        <w:rPr>
          <w:rFonts w:hint="eastAsia" w:ascii="仿宋_GB2312" w:hAnsi="仿宋_GB2312" w:eastAsia="仿宋_GB2312" w:cs="仿宋_GB2312"/>
          <w:sz w:val="20"/>
          <w:szCs w:val="20"/>
          <w:highlight w:val="none"/>
          <w:lang w:val="en-US" w:eastAsia="zh-CN"/>
        </w:rPr>
        <w:t xml:space="preserve">        </w:t>
      </w:r>
      <w:r>
        <w:rPr>
          <w:rFonts w:hint="eastAsia" w:ascii="仿宋_GB2312" w:hAnsi="仿宋_GB2312" w:eastAsia="仿宋_GB2312" w:cs="仿宋_GB2312"/>
          <w:sz w:val="20"/>
          <w:szCs w:val="20"/>
          <w:highlight w:val="none"/>
        </w:rPr>
        <w:t xml:space="preserve"> </w:t>
      </w:r>
      <w:r>
        <w:rPr>
          <w:rFonts w:hint="eastAsia" w:ascii="仿宋_GB2312" w:hAnsi="仿宋_GB2312" w:eastAsia="仿宋_GB2312" w:cs="仿宋_GB2312"/>
          <w:sz w:val="20"/>
          <w:szCs w:val="20"/>
          <w:highlight w:val="none"/>
          <w:lang w:val="en-US" w:eastAsia="zh-CN"/>
        </w:rPr>
        <w:t xml:space="preserve">                 </w:t>
      </w:r>
      <w:r>
        <w:rPr>
          <w:rFonts w:hint="eastAsia" w:ascii="仿宋_GB2312" w:hAnsi="仿宋_GB2312" w:eastAsia="仿宋_GB2312" w:cs="仿宋_GB2312"/>
          <w:sz w:val="20"/>
          <w:szCs w:val="20"/>
          <w:highlight w:val="none"/>
        </w:rPr>
        <w:t>乙方（盖章）：</w:t>
      </w:r>
    </w:p>
    <w:p w14:paraId="446EC363">
      <w:pPr>
        <w:keepNext w:val="0"/>
        <w:keepLines w:val="0"/>
        <w:pageBreakBefore w:val="0"/>
        <w:kinsoku/>
        <w:wordWrap/>
        <w:overflowPunct/>
        <w:topLinePunct/>
        <w:autoSpaceDE/>
        <w:autoSpaceDN/>
        <w:bidi w:val="0"/>
        <w:adjustRightInd/>
        <w:snapToGrid w:val="0"/>
        <w:spacing w:line="360" w:lineRule="auto"/>
        <w:contextualSpacing/>
        <w:jc w:val="left"/>
        <w:textAlignment w:val="auto"/>
        <w:rPr>
          <w:rFonts w:hint="eastAsia" w:ascii="仿宋_GB2312" w:hAnsi="仿宋_GB2312" w:eastAsia="仿宋_GB2312" w:cs="仿宋_GB2312"/>
          <w:b/>
          <w:kern w:val="0"/>
          <w:sz w:val="20"/>
          <w:szCs w:val="20"/>
          <w:highlight w:val="none"/>
        </w:rPr>
      </w:pPr>
    </w:p>
    <w:p w14:paraId="7C3B7EDE">
      <w:pPr>
        <w:keepNext w:val="0"/>
        <w:keepLines w:val="0"/>
        <w:pageBreakBefore w:val="0"/>
        <w:kinsoku/>
        <w:wordWrap/>
        <w:overflowPunct/>
        <w:topLinePunct/>
        <w:autoSpaceDE/>
        <w:autoSpaceDN/>
        <w:bidi w:val="0"/>
        <w:adjustRightInd/>
        <w:snapToGrid w:val="0"/>
        <w:spacing w:line="360" w:lineRule="auto"/>
        <w:contextualSpacing/>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地址：</w:t>
      </w:r>
      <w:r>
        <w:rPr>
          <w:rFonts w:hint="eastAsia" w:ascii="仿宋_GB2312" w:hAnsi="仿宋_GB2312" w:eastAsia="仿宋_GB2312" w:cs="仿宋_GB2312"/>
          <w:spacing w:val="-17"/>
          <w:kern w:val="0"/>
          <w:sz w:val="20"/>
          <w:szCs w:val="20"/>
          <w:highlight w:val="none"/>
        </w:rPr>
        <w:t>西安市长安区关中环线子午段2345号</w:t>
      </w:r>
      <w:r>
        <w:rPr>
          <w:rFonts w:hint="eastAsia" w:ascii="仿宋_GB2312" w:hAnsi="仿宋_GB2312" w:eastAsia="仿宋_GB2312" w:cs="仿宋_GB2312"/>
          <w:sz w:val="20"/>
          <w:szCs w:val="20"/>
          <w:highlight w:val="none"/>
        </w:rPr>
        <w:t xml:space="preserve">  </w:t>
      </w:r>
      <w:r>
        <w:rPr>
          <w:rFonts w:hint="eastAsia" w:ascii="仿宋_GB2312" w:hAnsi="仿宋_GB2312" w:eastAsia="仿宋_GB2312" w:cs="仿宋_GB2312"/>
          <w:sz w:val="20"/>
          <w:szCs w:val="20"/>
          <w:highlight w:val="none"/>
          <w:lang w:val="en-US" w:eastAsia="zh-CN"/>
        </w:rPr>
        <w:t xml:space="preserve">   </w:t>
      </w:r>
      <w:r>
        <w:rPr>
          <w:rFonts w:hint="eastAsia" w:ascii="仿宋_GB2312" w:hAnsi="仿宋_GB2312" w:cs="仿宋_GB2312"/>
          <w:sz w:val="20"/>
          <w:szCs w:val="20"/>
          <w:highlight w:val="none"/>
          <w:lang w:val="en-US" w:eastAsia="zh-CN"/>
        </w:rPr>
        <w:t xml:space="preserve"> </w:t>
      </w:r>
      <w:r>
        <w:rPr>
          <w:rFonts w:hint="eastAsia" w:ascii="仿宋_GB2312" w:hAnsi="仿宋_GB2312" w:eastAsia="仿宋_GB2312" w:cs="仿宋_GB2312"/>
          <w:sz w:val="20"/>
          <w:szCs w:val="20"/>
          <w:highlight w:val="none"/>
        </w:rPr>
        <w:t xml:space="preserve">地址：     </w:t>
      </w:r>
    </w:p>
    <w:p w14:paraId="5EC8207D">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p>
    <w:p w14:paraId="77CCE27E">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eastAsia="zh-CN"/>
        </w:rPr>
        <w:t>负责人</w:t>
      </w:r>
      <w:r>
        <w:rPr>
          <w:rFonts w:hint="eastAsia" w:ascii="仿宋_GB2312" w:hAnsi="仿宋_GB2312" w:eastAsia="仿宋_GB2312" w:cs="仿宋_GB2312"/>
          <w:sz w:val="20"/>
          <w:szCs w:val="20"/>
          <w:highlight w:val="none"/>
        </w:rPr>
        <w:t>（签名）：　　　　</w:t>
      </w:r>
      <w:r>
        <w:rPr>
          <w:rFonts w:hint="eastAsia" w:ascii="仿宋_GB2312" w:hAnsi="仿宋_GB2312" w:eastAsia="仿宋_GB2312" w:cs="仿宋_GB2312"/>
          <w:sz w:val="20"/>
          <w:szCs w:val="20"/>
          <w:highlight w:val="none"/>
          <w:lang w:val="en-US" w:eastAsia="zh-CN"/>
        </w:rPr>
        <w:t xml:space="preserve">                </w:t>
      </w:r>
      <w:r>
        <w:rPr>
          <w:rFonts w:hint="eastAsia" w:ascii="仿宋_GB2312" w:hAnsi="仿宋_GB2312" w:eastAsia="仿宋_GB2312" w:cs="仿宋_GB2312"/>
          <w:sz w:val="20"/>
          <w:szCs w:val="20"/>
          <w:highlight w:val="none"/>
          <w:lang w:eastAsia="zh-CN"/>
        </w:rPr>
        <w:t>负责人</w:t>
      </w:r>
      <w:r>
        <w:rPr>
          <w:rFonts w:hint="eastAsia" w:ascii="仿宋_GB2312" w:hAnsi="仿宋_GB2312" w:eastAsia="仿宋_GB2312" w:cs="仿宋_GB2312"/>
          <w:sz w:val="20"/>
          <w:szCs w:val="20"/>
          <w:highlight w:val="none"/>
        </w:rPr>
        <w:t>（签名）：</w:t>
      </w:r>
    </w:p>
    <w:p w14:paraId="7CF11B1B">
      <w:pPr>
        <w:keepNext w:val="0"/>
        <w:keepLines w:val="0"/>
        <w:pageBreakBefore w:val="0"/>
        <w:kinsoku/>
        <w:wordWrap/>
        <w:overflowPunct/>
        <w:autoSpaceDE/>
        <w:autoSpaceDN/>
        <w:bidi w:val="0"/>
        <w:adjustRightInd/>
        <w:spacing w:line="360" w:lineRule="auto"/>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w:t>
      </w:r>
    </w:p>
    <w:p w14:paraId="58CAD0B1">
      <w:pPr>
        <w:keepNext w:val="0"/>
        <w:keepLines w:val="0"/>
        <w:pageBreakBefore w:val="0"/>
        <w:kinsoku/>
        <w:wordWrap/>
        <w:overflowPunct/>
        <w:autoSpaceDE/>
        <w:autoSpaceDN/>
        <w:bidi w:val="0"/>
        <w:adjustRightInd/>
        <w:spacing w:line="360" w:lineRule="auto"/>
        <w:textAlignment w:val="auto"/>
        <w:rPr>
          <w:rFonts w:hint="eastAsia" w:ascii="宋体" w:hAnsi="宋体" w:eastAsia="宋体" w:cs="宋体"/>
          <w:sz w:val="24"/>
          <w:szCs w:val="24"/>
          <w:lang w:val="en-US" w:eastAsia="zh-Hans"/>
        </w:rPr>
      </w:pPr>
      <w:r>
        <w:rPr>
          <w:rFonts w:hint="eastAsia" w:ascii="仿宋_GB2312" w:hAnsi="仿宋_GB2312" w:eastAsia="仿宋_GB2312" w:cs="仿宋_GB2312"/>
          <w:sz w:val="20"/>
          <w:szCs w:val="20"/>
          <w:highlight w:val="none"/>
        </w:rPr>
        <w:t>年</w:t>
      </w:r>
      <w:r>
        <w:rPr>
          <w:rFonts w:hint="eastAsia" w:ascii="仿宋_GB2312" w:hAnsi="仿宋_GB2312" w:eastAsia="仿宋_GB2312" w:cs="仿宋_GB2312"/>
          <w:sz w:val="20"/>
          <w:szCs w:val="20"/>
          <w:highlight w:val="none"/>
          <w:lang w:val="en-US" w:eastAsia="zh-CN"/>
        </w:rPr>
        <w:t xml:space="preserve">    </w:t>
      </w:r>
      <w:r>
        <w:rPr>
          <w:rFonts w:hint="eastAsia" w:ascii="仿宋_GB2312" w:hAnsi="仿宋_GB2312" w:eastAsia="仿宋_GB2312" w:cs="仿宋_GB2312"/>
          <w:sz w:val="20"/>
          <w:szCs w:val="20"/>
          <w:highlight w:val="none"/>
        </w:rPr>
        <w:t>月</w:t>
      </w:r>
      <w:r>
        <w:rPr>
          <w:rFonts w:hint="eastAsia" w:ascii="仿宋_GB2312" w:hAnsi="仿宋_GB2312" w:eastAsia="仿宋_GB2312" w:cs="仿宋_GB2312"/>
          <w:sz w:val="20"/>
          <w:szCs w:val="20"/>
          <w:highlight w:val="none"/>
          <w:lang w:val="en-US" w:eastAsia="zh-CN"/>
        </w:rPr>
        <w:t xml:space="preserve">    </w:t>
      </w:r>
      <w:r>
        <w:rPr>
          <w:rFonts w:hint="eastAsia" w:ascii="仿宋_GB2312" w:hAnsi="仿宋_GB2312" w:eastAsia="仿宋_GB2312" w:cs="仿宋_GB2312"/>
          <w:sz w:val="20"/>
          <w:szCs w:val="20"/>
          <w:highlight w:val="none"/>
        </w:rPr>
        <w:t>日</w:t>
      </w:r>
      <w:r>
        <w:rPr>
          <w:rFonts w:hint="eastAsia" w:ascii="仿宋_GB2312" w:hAnsi="仿宋_GB2312" w:eastAsia="仿宋_GB2312" w:cs="仿宋_GB2312"/>
          <w:sz w:val="20"/>
          <w:szCs w:val="20"/>
          <w:highlight w:val="none"/>
          <w:lang w:val="en-US" w:eastAsia="zh-CN"/>
        </w:rPr>
        <w:t xml:space="preserve">                          </w:t>
      </w:r>
      <w:r>
        <w:rPr>
          <w:rFonts w:hint="eastAsia" w:ascii="仿宋_GB2312" w:hAnsi="仿宋_GB2312" w:eastAsia="仿宋_GB2312" w:cs="仿宋_GB2312"/>
          <w:sz w:val="20"/>
          <w:szCs w:val="20"/>
          <w:highlight w:val="none"/>
        </w:rPr>
        <w:t>年</w:t>
      </w:r>
      <w:r>
        <w:rPr>
          <w:rFonts w:hint="eastAsia" w:ascii="仿宋_GB2312" w:hAnsi="仿宋_GB2312" w:eastAsia="仿宋_GB2312" w:cs="仿宋_GB2312"/>
          <w:sz w:val="20"/>
          <w:szCs w:val="20"/>
          <w:highlight w:val="none"/>
          <w:lang w:val="en-US" w:eastAsia="zh-CN"/>
        </w:rPr>
        <w:t xml:space="preserve">    </w:t>
      </w:r>
      <w:r>
        <w:rPr>
          <w:rFonts w:hint="eastAsia" w:ascii="仿宋_GB2312" w:hAnsi="仿宋_GB2312" w:eastAsia="仿宋_GB2312" w:cs="仿宋_GB2312"/>
          <w:sz w:val="20"/>
          <w:szCs w:val="20"/>
          <w:highlight w:val="none"/>
        </w:rPr>
        <w:t>月</w:t>
      </w:r>
      <w:r>
        <w:rPr>
          <w:rFonts w:hint="eastAsia" w:ascii="仿宋_GB2312" w:hAnsi="仿宋_GB2312" w:eastAsia="仿宋_GB2312" w:cs="仿宋_GB2312"/>
          <w:sz w:val="20"/>
          <w:szCs w:val="20"/>
          <w:highlight w:val="none"/>
          <w:lang w:val="en-US" w:eastAsia="zh-CN"/>
        </w:rPr>
        <w:t xml:space="preserve">    </w:t>
      </w:r>
      <w:r>
        <w:rPr>
          <w:rFonts w:hint="eastAsia" w:ascii="仿宋_GB2312" w:hAnsi="仿宋_GB2312" w:eastAsia="仿宋_GB2312" w:cs="仿宋_GB2312"/>
          <w:sz w:val="20"/>
          <w:szCs w:val="20"/>
          <w:highlight w:val="none"/>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8E639E"/>
    <w:multiLevelType w:val="singleLevel"/>
    <w:tmpl w:val="A88E639E"/>
    <w:lvl w:ilvl="0" w:tentative="0">
      <w:start w:val="1"/>
      <w:numFmt w:val="decimal"/>
      <w:lvlText w:val="%1."/>
      <w:lvlJc w:val="left"/>
      <w:pPr>
        <w:tabs>
          <w:tab w:val="left" w:pos="312"/>
        </w:tabs>
      </w:pPr>
    </w:lvl>
  </w:abstractNum>
  <w:abstractNum w:abstractNumId="1">
    <w:nsid w:val="DC8BE99F"/>
    <w:multiLevelType w:val="singleLevel"/>
    <w:tmpl w:val="DC8BE99F"/>
    <w:lvl w:ilvl="0" w:tentative="0">
      <w:start w:val="1"/>
      <w:numFmt w:val="decimal"/>
      <w:lvlText w:val="%1."/>
      <w:lvlJc w:val="left"/>
      <w:pPr>
        <w:tabs>
          <w:tab w:val="left" w:pos="312"/>
        </w:tabs>
      </w:pPr>
    </w:lvl>
  </w:abstractNum>
  <w:abstractNum w:abstractNumId="2">
    <w:nsid w:val="E7EF13E9"/>
    <w:multiLevelType w:val="singleLevel"/>
    <w:tmpl w:val="E7EF13E9"/>
    <w:lvl w:ilvl="0" w:tentative="0">
      <w:start w:val="1"/>
      <w:numFmt w:val="decimal"/>
      <w:lvlText w:val="%1."/>
      <w:lvlJc w:val="left"/>
      <w:pPr>
        <w:tabs>
          <w:tab w:val="left" w:pos="312"/>
        </w:tabs>
      </w:pPr>
    </w:lvl>
  </w:abstractNum>
  <w:abstractNum w:abstractNumId="3">
    <w:nsid w:val="EDFF2D59"/>
    <w:multiLevelType w:val="singleLevel"/>
    <w:tmpl w:val="EDFF2D59"/>
    <w:lvl w:ilvl="0" w:tentative="0">
      <w:start w:val="1"/>
      <w:numFmt w:val="decimal"/>
      <w:lvlText w:val="%1."/>
      <w:lvlJc w:val="left"/>
      <w:pPr>
        <w:tabs>
          <w:tab w:val="left" w:pos="312"/>
        </w:tabs>
      </w:pPr>
    </w:lvl>
  </w:abstractNum>
  <w:abstractNum w:abstractNumId="4">
    <w:nsid w:val="EEAFC4F5"/>
    <w:multiLevelType w:val="singleLevel"/>
    <w:tmpl w:val="EEAFC4F5"/>
    <w:lvl w:ilvl="0" w:tentative="0">
      <w:start w:val="1"/>
      <w:numFmt w:val="decimal"/>
      <w:lvlText w:val="%1."/>
      <w:lvlJc w:val="left"/>
      <w:pPr>
        <w:tabs>
          <w:tab w:val="left" w:pos="312"/>
        </w:tabs>
      </w:pPr>
    </w:lvl>
  </w:abstractNum>
  <w:abstractNum w:abstractNumId="5">
    <w:nsid w:val="F4FFE3AB"/>
    <w:multiLevelType w:val="singleLevel"/>
    <w:tmpl w:val="F4FFE3AB"/>
    <w:lvl w:ilvl="0" w:tentative="0">
      <w:start w:val="1"/>
      <w:numFmt w:val="decimal"/>
      <w:lvlText w:val="%1."/>
      <w:lvlJc w:val="left"/>
      <w:pPr>
        <w:tabs>
          <w:tab w:val="left" w:pos="312"/>
        </w:tabs>
      </w:pPr>
    </w:lvl>
  </w:abstractNum>
  <w:abstractNum w:abstractNumId="6">
    <w:nsid w:val="6EEC8BC3"/>
    <w:multiLevelType w:val="singleLevel"/>
    <w:tmpl w:val="6EEC8BC3"/>
    <w:lvl w:ilvl="0" w:tentative="0">
      <w:start w:val="1"/>
      <w:numFmt w:val="decimal"/>
      <w:lvlText w:val="%1."/>
      <w:lvlJc w:val="left"/>
      <w:pPr>
        <w:tabs>
          <w:tab w:val="left" w:pos="312"/>
        </w:tabs>
      </w:pPr>
    </w:lvl>
  </w:abstractNum>
  <w:abstractNum w:abstractNumId="7">
    <w:nsid w:val="78402F1D"/>
    <w:multiLevelType w:val="singleLevel"/>
    <w:tmpl w:val="78402F1D"/>
    <w:lvl w:ilvl="0" w:tentative="0">
      <w:start w:val="1"/>
      <w:numFmt w:val="decimal"/>
      <w:suff w:val="nothing"/>
      <w:lvlText w:val="（%1）"/>
      <w:lvlJc w:val="left"/>
      <w:pPr>
        <w:ind w:left="-60"/>
      </w:pPr>
    </w:lvl>
  </w:abstractNum>
  <w:num w:numId="1">
    <w:abstractNumId w:val="0"/>
  </w:num>
  <w:num w:numId="2">
    <w:abstractNumId w:val="1"/>
  </w:num>
  <w:num w:numId="3">
    <w:abstractNumId w:val="6"/>
  </w:num>
  <w:num w:numId="4">
    <w:abstractNumId w:val="7"/>
  </w:num>
  <w:num w:numId="5">
    <w:abstractNumId w:val="2"/>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EB1C0E"/>
    <w:rsid w:val="01A85D51"/>
    <w:rsid w:val="01D46B46"/>
    <w:rsid w:val="02627888"/>
    <w:rsid w:val="068E5516"/>
    <w:rsid w:val="096E162E"/>
    <w:rsid w:val="099773BE"/>
    <w:rsid w:val="09E813E1"/>
    <w:rsid w:val="0ABE2142"/>
    <w:rsid w:val="0AFF4C34"/>
    <w:rsid w:val="0C9B098C"/>
    <w:rsid w:val="0CCA74C4"/>
    <w:rsid w:val="0CDF4D1D"/>
    <w:rsid w:val="0E9658AF"/>
    <w:rsid w:val="0F580DB7"/>
    <w:rsid w:val="0FB57FB7"/>
    <w:rsid w:val="10152804"/>
    <w:rsid w:val="119C2ECE"/>
    <w:rsid w:val="12502374"/>
    <w:rsid w:val="12B75DF4"/>
    <w:rsid w:val="141A2ADF"/>
    <w:rsid w:val="14B10881"/>
    <w:rsid w:val="14D0394A"/>
    <w:rsid w:val="15B825AF"/>
    <w:rsid w:val="17742506"/>
    <w:rsid w:val="17771FF6"/>
    <w:rsid w:val="177F50ED"/>
    <w:rsid w:val="17BD0DC6"/>
    <w:rsid w:val="19026F97"/>
    <w:rsid w:val="19121FD6"/>
    <w:rsid w:val="196A1E12"/>
    <w:rsid w:val="196B16E7"/>
    <w:rsid w:val="1AB62E35"/>
    <w:rsid w:val="1BC11A92"/>
    <w:rsid w:val="1C6074FD"/>
    <w:rsid w:val="1D03223F"/>
    <w:rsid w:val="1DF83E22"/>
    <w:rsid w:val="1E37428D"/>
    <w:rsid w:val="1E74728F"/>
    <w:rsid w:val="1E7D7EF2"/>
    <w:rsid w:val="1F010B23"/>
    <w:rsid w:val="1FBF453A"/>
    <w:rsid w:val="1FCF6B46"/>
    <w:rsid w:val="201A76F4"/>
    <w:rsid w:val="20AA51EA"/>
    <w:rsid w:val="211F34E2"/>
    <w:rsid w:val="23632CE5"/>
    <w:rsid w:val="23C16AD3"/>
    <w:rsid w:val="243C084F"/>
    <w:rsid w:val="247B3126"/>
    <w:rsid w:val="27623682"/>
    <w:rsid w:val="279A1B15"/>
    <w:rsid w:val="27A04C51"/>
    <w:rsid w:val="27DF0B7E"/>
    <w:rsid w:val="28433F5A"/>
    <w:rsid w:val="28AD2F24"/>
    <w:rsid w:val="2AA66A22"/>
    <w:rsid w:val="2B083239"/>
    <w:rsid w:val="2BC36E36"/>
    <w:rsid w:val="2BCC24B9"/>
    <w:rsid w:val="2C902711"/>
    <w:rsid w:val="2CDF621C"/>
    <w:rsid w:val="2CE83322"/>
    <w:rsid w:val="2D1E0758"/>
    <w:rsid w:val="2DA60AE7"/>
    <w:rsid w:val="2F1B0FE0"/>
    <w:rsid w:val="30183F1E"/>
    <w:rsid w:val="30B17ECF"/>
    <w:rsid w:val="30FA7AC8"/>
    <w:rsid w:val="33FA4FB5"/>
    <w:rsid w:val="35301D0A"/>
    <w:rsid w:val="35CF507F"/>
    <w:rsid w:val="3608233F"/>
    <w:rsid w:val="39F71049"/>
    <w:rsid w:val="3AD44EE6"/>
    <w:rsid w:val="3B781D15"/>
    <w:rsid w:val="3BF82E56"/>
    <w:rsid w:val="3C370E67"/>
    <w:rsid w:val="3EB971A6"/>
    <w:rsid w:val="3EC6100D"/>
    <w:rsid w:val="3F7171A7"/>
    <w:rsid w:val="3F7FB856"/>
    <w:rsid w:val="3FCFDC92"/>
    <w:rsid w:val="428E0070"/>
    <w:rsid w:val="43AA0EDA"/>
    <w:rsid w:val="452B7DF8"/>
    <w:rsid w:val="46957C1F"/>
    <w:rsid w:val="4698290C"/>
    <w:rsid w:val="47E0311C"/>
    <w:rsid w:val="4811391D"/>
    <w:rsid w:val="489A776F"/>
    <w:rsid w:val="49B04D70"/>
    <w:rsid w:val="4A677B24"/>
    <w:rsid w:val="4B1F3F5B"/>
    <w:rsid w:val="4C2F6420"/>
    <w:rsid w:val="4CF36E5D"/>
    <w:rsid w:val="4D0C050F"/>
    <w:rsid w:val="4E41068C"/>
    <w:rsid w:val="4E712D20"/>
    <w:rsid w:val="4ECF5C98"/>
    <w:rsid w:val="5036795E"/>
    <w:rsid w:val="506272C2"/>
    <w:rsid w:val="51143E36"/>
    <w:rsid w:val="51593E99"/>
    <w:rsid w:val="51E2030E"/>
    <w:rsid w:val="521C11F4"/>
    <w:rsid w:val="52B7716F"/>
    <w:rsid w:val="53B52B8D"/>
    <w:rsid w:val="54834537"/>
    <w:rsid w:val="54FE1085"/>
    <w:rsid w:val="55546EF7"/>
    <w:rsid w:val="557794A9"/>
    <w:rsid w:val="56554CD5"/>
    <w:rsid w:val="57D8420B"/>
    <w:rsid w:val="5A091640"/>
    <w:rsid w:val="5AEC372E"/>
    <w:rsid w:val="5B4C3191"/>
    <w:rsid w:val="5BA02E96"/>
    <w:rsid w:val="5E007C1C"/>
    <w:rsid w:val="5E0F7E5F"/>
    <w:rsid w:val="5E677D86"/>
    <w:rsid w:val="5E940365"/>
    <w:rsid w:val="606D30E4"/>
    <w:rsid w:val="613C71BD"/>
    <w:rsid w:val="632C14B3"/>
    <w:rsid w:val="67C439C6"/>
    <w:rsid w:val="67EF4302"/>
    <w:rsid w:val="681D761D"/>
    <w:rsid w:val="688651C2"/>
    <w:rsid w:val="69692B1A"/>
    <w:rsid w:val="6A526746"/>
    <w:rsid w:val="6A611A43"/>
    <w:rsid w:val="6A7C687C"/>
    <w:rsid w:val="6AA858C3"/>
    <w:rsid w:val="6B0625EA"/>
    <w:rsid w:val="6B465ECA"/>
    <w:rsid w:val="6B76151E"/>
    <w:rsid w:val="6C613F7C"/>
    <w:rsid w:val="6D517AA7"/>
    <w:rsid w:val="6DC347C2"/>
    <w:rsid w:val="6E3D6323"/>
    <w:rsid w:val="6E442B78"/>
    <w:rsid w:val="6EE113A4"/>
    <w:rsid w:val="6F8A37EA"/>
    <w:rsid w:val="6FA018BB"/>
    <w:rsid w:val="6FAC19B2"/>
    <w:rsid w:val="710475CC"/>
    <w:rsid w:val="712832BA"/>
    <w:rsid w:val="73214465"/>
    <w:rsid w:val="73EDE4EF"/>
    <w:rsid w:val="73F90F3E"/>
    <w:rsid w:val="75630D65"/>
    <w:rsid w:val="75FEA930"/>
    <w:rsid w:val="76CC195D"/>
    <w:rsid w:val="777CE12E"/>
    <w:rsid w:val="77D00208"/>
    <w:rsid w:val="77DBAB86"/>
    <w:rsid w:val="77F79321"/>
    <w:rsid w:val="786F4BCF"/>
    <w:rsid w:val="78AD22F7"/>
    <w:rsid w:val="79D72944"/>
    <w:rsid w:val="7A9C0875"/>
    <w:rsid w:val="7B2F3497"/>
    <w:rsid w:val="7B65FB34"/>
    <w:rsid w:val="7C174657"/>
    <w:rsid w:val="7C7959BC"/>
    <w:rsid w:val="7C8021FC"/>
    <w:rsid w:val="7C977546"/>
    <w:rsid w:val="7CFFD2AD"/>
    <w:rsid w:val="7DEA7C78"/>
    <w:rsid w:val="7E2B5128"/>
    <w:rsid w:val="7E5356EF"/>
    <w:rsid w:val="7EF772E4"/>
    <w:rsid w:val="7EF89DAB"/>
    <w:rsid w:val="7F594F87"/>
    <w:rsid w:val="7FCB6C53"/>
    <w:rsid w:val="7FDF605C"/>
    <w:rsid w:val="9DFBED5A"/>
    <w:rsid w:val="AB7A5F0E"/>
    <w:rsid w:val="B7479D71"/>
    <w:rsid w:val="BBBF7779"/>
    <w:rsid w:val="BDBF527E"/>
    <w:rsid w:val="CCBE29D7"/>
    <w:rsid w:val="D7DF4E6F"/>
    <w:rsid w:val="DEFB99BB"/>
    <w:rsid w:val="DFDA6DBD"/>
    <w:rsid w:val="EFBD6C52"/>
    <w:rsid w:val="F8FF721C"/>
    <w:rsid w:val="FBD80261"/>
    <w:rsid w:val="FDEE5C3F"/>
    <w:rsid w:val="FFCF422C"/>
    <w:rsid w:val="FFDF7BBE"/>
    <w:rsid w:val="FFEE8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0"/>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widowControl/>
      <w:spacing w:line="300" w:lineRule="auto"/>
      <w:ind w:firstLine="420" w:firstLineChars="200"/>
    </w:pPr>
    <w:rPr>
      <w:sz w:val="32"/>
      <w:szCs w:val="32"/>
    </w:rPr>
  </w:style>
  <w:style w:type="paragraph" w:styleId="3">
    <w:name w:val="Body Text Indent"/>
    <w:basedOn w:val="1"/>
    <w:next w:val="1"/>
    <w:unhideWhenUsed/>
    <w:qFormat/>
    <w:uiPriority w:val="99"/>
    <w:pPr>
      <w:widowControl w:val="0"/>
      <w:overflowPunct/>
      <w:autoSpaceDE/>
      <w:autoSpaceDN/>
      <w:adjustRightInd/>
      <w:spacing w:before="0" w:after="120" w:line="240" w:lineRule="auto"/>
      <w:ind w:left="420" w:leftChars="200" w:firstLine="0"/>
      <w:jc w:val="both"/>
      <w:textAlignment w:val="auto"/>
    </w:pPr>
    <w:rPr>
      <w:rFonts w:ascii="Calibri" w:hAnsi="Calibri"/>
      <w:kern w:val="2"/>
      <w:sz w:val="21"/>
      <w:szCs w:val="22"/>
    </w:rPr>
  </w:style>
  <w:style w:type="paragraph" w:styleId="4">
    <w:name w:val="Normal Indent"/>
    <w:basedOn w:val="1"/>
    <w:next w:val="5"/>
    <w:qFormat/>
    <w:uiPriority w:val="0"/>
    <w:pPr>
      <w:ind w:firstLine="420" w:firstLineChars="200"/>
    </w:pPr>
    <w:rPr>
      <w:rFonts w:ascii="Calibri" w:hAnsi="Calibri" w:cs="宋体"/>
    </w:rPr>
  </w:style>
  <w:style w:type="paragraph" w:styleId="5">
    <w:name w:val="index 5"/>
    <w:basedOn w:val="1"/>
    <w:next w:val="1"/>
    <w:qFormat/>
    <w:uiPriority w:val="0"/>
    <w:pPr>
      <w:ind w:left="1680"/>
    </w:pPr>
  </w:style>
  <w:style w:type="paragraph" w:styleId="6">
    <w:name w:val="annotation text"/>
    <w:basedOn w:val="1"/>
    <w:qFormat/>
    <w:uiPriority w:val="0"/>
    <w:pPr>
      <w:jc w:val="left"/>
    </w:pPr>
  </w:style>
  <w:style w:type="paragraph" w:styleId="7">
    <w:name w:val="Body Text"/>
    <w:basedOn w:val="1"/>
    <w:qFormat/>
    <w:uiPriority w:val="1"/>
    <w:pPr>
      <w:ind w:left="120"/>
    </w:pPr>
    <w:rPr>
      <w:rFonts w:ascii="Microsoft JhengHei" w:eastAsia="Microsoft JhengHei" w:cs="Microsoft JhengHei"/>
      <w:sz w:val="28"/>
      <w:szCs w:val="28"/>
    </w:rPr>
  </w:style>
  <w:style w:type="paragraph" w:styleId="8">
    <w:name w:val="Block Text"/>
    <w:basedOn w:val="1"/>
    <w:unhideWhenUsed/>
    <w:qFormat/>
    <w:uiPriority w:val="99"/>
    <w:pPr>
      <w:spacing w:line="360" w:lineRule="auto"/>
      <w:ind w:left="-420" w:leftChars="-200" w:right="210" w:rightChars="100" w:firstLine="480" w:firstLineChars="200"/>
    </w:pPr>
    <w:rPr>
      <w:rFonts w:ascii="宋体" w:hAnsi="宋体"/>
      <w:sz w:val="24"/>
      <w:szCs w:val="24"/>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551b978e-0e51-4de9-a21a-b8c46729f66d</errorID>
      <errorWord>肆</errorWord>
      <group>L1_Word</group>
      <groupName>字词问题</groupName>
      <ability>L2_Typo</ability>
      <abilityName>字词错误</abilityName>
      <candidateList>
        <item>四</item>
      </candidateList>
      <explain>存在发音相同字词的误用。</explain>
      <paraID>358B37CD</paraID>
      <start>10</start>
      <end>11</end>
      <status>unmodified</status>
      <modifiedWord/>
      <trackRevisions>false</trackRevisions>
    </reviewItem>
  </reviewItems>
  <config/>
</contractReview>
</file>

<file path=customXml/itemProps1.xml><?xml version="1.0" encoding="utf-8"?>
<ds:datastoreItem xmlns:ds="http://schemas.openxmlformats.org/officeDocument/2006/customXml" ds:itemID="{0292040d-9829-4b72-935a-04458c7a5f20}">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4033</Words>
  <Characters>4194</Characters>
  <Lines>0</Lines>
  <Paragraphs>0</Paragraphs>
  <TotalTime>1</TotalTime>
  <ScaleCrop>false</ScaleCrop>
  <LinksUpToDate>false</LinksUpToDate>
  <CharactersWithSpaces>4718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2022-04-09T11:57:00Z</dcterms:created>
  <dc:creator>五块钱</dc:creator>
  <cp:lastModifiedBy>Administrator</cp:lastModifiedBy>
  <dcterms:modified xsi:type="dcterms:W3CDTF">2026-05-15T06:03:59Z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eyJoZGlkIjoiMmE4OWVmYjBmM2NkNjA3Mzk2YjI0NGQzY2JjNGEwNDgiLCJ1c2VySWQiOiIyNzA4NDYzNjIifQ==</vt:lpwstr>
  </property>
  <property fmtid="{D5CDD505-2E9C-101B-9397-08002B2CF9AE}" pid="4" name="ICV">
    <vt:lpwstr>1279B0A157CC69D86C34FC69F1397554_43</vt:lpwstr>
  </property>
</Properties>
</file>