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1C6C6">
      <w:pPr>
        <w:jc w:val="left"/>
        <w:rPr>
          <w:rFonts w:hint="eastAsia" w:ascii="仿宋" w:hAnsi="仿宋" w:eastAsia="仿宋" w:cs="仿宋"/>
          <w:b/>
          <w:bCs/>
          <w:sz w:val="28"/>
          <w:szCs w:val="28"/>
        </w:rPr>
      </w:pPr>
    </w:p>
    <w:p w14:paraId="7DB2ACEE">
      <w:pPr>
        <w:jc w:val="left"/>
        <w:rPr>
          <w:rFonts w:hint="eastAsia" w:ascii="仿宋" w:hAnsi="仿宋" w:eastAsia="仿宋" w:cs="仿宋"/>
          <w:b/>
          <w:bCs/>
          <w:sz w:val="28"/>
          <w:szCs w:val="28"/>
        </w:rPr>
      </w:pPr>
      <w:r>
        <w:rPr>
          <w:rFonts w:hint="eastAsia" w:ascii="仿宋" w:hAnsi="仿宋" w:eastAsia="仿宋" w:cs="仿宋"/>
          <w:b/>
          <w:bCs/>
          <w:sz w:val="28"/>
          <w:szCs w:val="28"/>
        </w:rPr>
        <w:t>政府采购合同                        合同编号：</w:t>
      </w:r>
    </w:p>
    <w:p w14:paraId="6C8F6AA8">
      <w:pPr>
        <w:pStyle w:val="8"/>
        <w:rPr>
          <w:rFonts w:hint="eastAsia" w:ascii="仿宋" w:hAnsi="仿宋" w:eastAsia="仿宋" w:cs="仿宋"/>
          <w:b/>
          <w:bCs/>
          <w:sz w:val="28"/>
          <w:szCs w:val="28"/>
        </w:rPr>
      </w:pPr>
    </w:p>
    <w:p w14:paraId="563CB1D5">
      <w:pPr>
        <w:pStyle w:val="8"/>
        <w:rPr>
          <w:rFonts w:hint="eastAsia" w:ascii="仿宋" w:hAnsi="仿宋" w:eastAsia="仿宋" w:cs="仿宋"/>
          <w:b/>
          <w:bCs/>
          <w:sz w:val="28"/>
          <w:szCs w:val="28"/>
        </w:rPr>
      </w:pPr>
    </w:p>
    <w:p w14:paraId="4202F5DF">
      <w:pPr>
        <w:pStyle w:val="8"/>
        <w:rPr>
          <w:rFonts w:hint="eastAsia" w:ascii="仿宋" w:hAnsi="仿宋" w:eastAsia="仿宋" w:cs="仿宋"/>
          <w:sz w:val="28"/>
          <w:szCs w:val="28"/>
        </w:rPr>
      </w:pPr>
    </w:p>
    <w:p w14:paraId="4FE17AD1">
      <w:pPr>
        <w:jc w:val="center"/>
        <w:rPr>
          <w:rFonts w:hint="eastAsia" w:ascii="仿宋" w:hAnsi="仿宋" w:eastAsia="仿宋" w:cs="仿宋"/>
          <w:b/>
          <w:bCs/>
          <w:sz w:val="28"/>
          <w:szCs w:val="28"/>
        </w:rPr>
      </w:pP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项目</w:t>
      </w:r>
    </w:p>
    <w:p w14:paraId="2DBBEE60">
      <w:pPr>
        <w:rPr>
          <w:rFonts w:hint="eastAsia" w:ascii="仿宋" w:hAnsi="仿宋" w:eastAsia="仿宋" w:cs="仿宋"/>
          <w:sz w:val="28"/>
          <w:szCs w:val="28"/>
        </w:rPr>
      </w:pPr>
    </w:p>
    <w:p w14:paraId="1B6AB3D7">
      <w:pPr>
        <w:rPr>
          <w:rFonts w:hint="eastAsia" w:ascii="仿宋" w:hAnsi="仿宋" w:eastAsia="仿宋" w:cs="仿宋"/>
          <w:sz w:val="28"/>
          <w:szCs w:val="28"/>
        </w:rPr>
      </w:pPr>
    </w:p>
    <w:p w14:paraId="6A3C3C11">
      <w:pPr>
        <w:pStyle w:val="8"/>
        <w:rPr>
          <w:rFonts w:hint="eastAsia" w:ascii="仿宋" w:hAnsi="仿宋" w:eastAsia="仿宋" w:cs="仿宋"/>
          <w:sz w:val="28"/>
          <w:szCs w:val="28"/>
        </w:rPr>
      </w:pPr>
    </w:p>
    <w:p w14:paraId="1E911B54">
      <w:pPr>
        <w:rPr>
          <w:rFonts w:hint="eastAsia" w:ascii="仿宋" w:hAnsi="仿宋" w:eastAsia="仿宋" w:cs="仿宋"/>
          <w:sz w:val="28"/>
          <w:szCs w:val="28"/>
        </w:rPr>
      </w:pPr>
    </w:p>
    <w:p w14:paraId="14E51607">
      <w:pPr>
        <w:rPr>
          <w:rFonts w:hint="eastAsia" w:ascii="仿宋" w:hAnsi="仿宋" w:eastAsia="仿宋" w:cs="仿宋"/>
          <w:sz w:val="28"/>
          <w:szCs w:val="28"/>
        </w:rPr>
      </w:pPr>
    </w:p>
    <w:p w14:paraId="56FAEDF3">
      <w:pPr>
        <w:jc w:val="center"/>
        <w:rPr>
          <w:rFonts w:hint="eastAsia" w:ascii="仿宋" w:hAnsi="仿宋" w:eastAsia="仿宋" w:cs="仿宋"/>
          <w:b/>
          <w:sz w:val="28"/>
          <w:szCs w:val="28"/>
        </w:rPr>
      </w:pPr>
      <w:r>
        <w:rPr>
          <w:rFonts w:hint="eastAsia" w:ascii="仿宋" w:hAnsi="仿宋" w:eastAsia="仿宋" w:cs="仿宋"/>
          <w:b/>
          <w:sz w:val="28"/>
          <w:szCs w:val="28"/>
        </w:rPr>
        <w:t>（示范文本仅供参考）</w:t>
      </w:r>
    </w:p>
    <w:p w14:paraId="2FABBB1C">
      <w:pPr>
        <w:jc w:val="center"/>
        <w:rPr>
          <w:rFonts w:hint="eastAsia" w:ascii="仿宋" w:hAnsi="仿宋" w:eastAsia="仿宋" w:cs="仿宋"/>
          <w:b/>
          <w:sz w:val="28"/>
          <w:szCs w:val="28"/>
        </w:rPr>
      </w:pPr>
    </w:p>
    <w:p w14:paraId="63DB6AFD">
      <w:pPr>
        <w:rPr>
          <w:rFonts w:hint="eastAsia" w:ascii="仿宋" w:hAnsi="仿宋" w:eastAsia="仿宋" w:cs="仿宋"/>
          <w:b/>
          <w:sz w:val="28"/>
          <w:szCs w:val="28"/>
        </w:rPr>
      </w:pPr>
    </w:p>
    <w:p w14:paraId="797527E1">
      <w:pPr>
        <w:jc w:val="center"/>
        <w:rPr>
          <w:rFonts w:hint="eastAsia" w:ascii="仿宋" w:hAnsi="仿宋" w:eastAsia="仿宋" w:cs="仿宋"/>
          <w:b/>
          <w:sz w:val="28"/>
          <w:szCs w:val="28"/>
        </w:rPr>
      </w:pPr>
    </w:p>
    <w:p w14:paraId="16E87B78">
      <w:pPr>
        <w:jc w:val="center"/>
        <w:rPr>
          <w:rFonts w:hint="eastAsia" w:ascii="仿宋" w:hAnsi="仿宋" w:eastAsia="仿宋" w:cs="仿宋"/>
          <w:b/>
          <w:sz w:val="28"/>
          <w:szCs w:val="28"/>
        </w:rPr>
      </w:pPr>
    </w:p>
    <w:p w14:paraId="1C9F20BC">
      <w:pPr>
        <w:spacing w:before="156" w:beforeLines="50" w:line="360" w:lineRule="auto"/>
        <w:ind w:firstLine="1386" w:firstLineChars="493"/>
        <w:jc w:val="left"/>
        <w:rPr>
          <w:rFonts w:hint="eastAsia" w:ascii="仿宋" w:hAnsi="仿宋" w:eastAsia="仿宋" w:cs="仿宋"/>
          <w:sz w:val="28"/>
          <w:szCs w:val="28"/>
          <w:u w:val="single"/>
        </w:rPr>
      </w:pPr>
      <w:r>
        <w:rPr>
          <w:rFonts w:hint="eastAsia" w:ascii="仿宋" w:hAnsi="仿宋" w:eastAsia="仿宋" w:cs="仿宋"/>
          <w:b/>
          <w:bCs/>
          <w:sz w:val="28"/>
          <w:szCs w:val="28"/>
        </w:rPr>
        <w:t>采购人：</w:t>
      </w:r>
      <w:r>
        <w:rPr>
          <w:rFonts w:hint="eastAsia" w:ascii="仿宋" w:hAnsi="仿宋" w:eastAsia="仿宋" w:cs="仿宋"/>
          <w:sz w:val="28"/>
          <w:szCs w:val="28"/>
          <w:u w:val="single"/>
        </w:rPr>
        <w:t xml:space="preserve">                     </w:t>
      </w:r>
    </w:p>
    <w:p w14:paraId="277E59B4">
      <w:pPr>
        <w:spacing w:before="156" w:beforeLines="50" w:line="360" w:lineRule="auto"/>
        <w:ind w:firstLine="1386" w:firstLineChars="493"/>
        <w:jc w:val="left"/>
        <w:rPr>
          <w:rFonts w:hint="eastAsia" w:ascii="仿宋" w:hAnsi="仿宋" w:eastAsia="仿宋" w:cs="仿宋"/>
          <w:b/>
          <w:bCs/>
          <w:sz w:val="28"/>
          <w:szCs w:val="28"/>
        </w:rPr>
      </w:pPr>
      <w:r>
        <w:rPr>
          <w:rFonts w:hint="eastAsia" w:ascii="仿宋" w:hAnsi="仿宋" w:eastAsia="仿宋" w:cs="仿宋"/>
          <w:b/>
          <w:bCs/>
          <w:sz w:val="28"/>
          <w:szCs w:val="28"/>
        </w:rPr>
        <w:t>供应商：</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r>
        <w:rPr>
          <w:rFonts w:hint="eastAsia" w:ascii="仿宋" w:hAnsi="仿宋" w:eastAsia="仿宋" w:cs="仿宋"/>
          <w:b/>
          <w:bCs/>
          <w:sz w:val="28"/>
          <w:szCs w:val="28"/>
        </w:rPr>
        <w:t xml:space="preserve">        </w:t>
      </w:r>
    </w:p>
    <w:p w14:paraId="0E687A0A">
      <w:pPr>
        <w:pStyle w:val="8"/>
        <w:jc w:val="center"/>
        <w:rPr>
          <w:rFonts w:hint="eastAsia" w:ascii="仿宋" w:hAnsi="仿宋" w:eastAsia="仿宋" w:cs="仿宋"/>
        </w:rPr>
      </w:pPr>
      <w:r>
        <w:rPr>
          <w:rFonts w:hint="eastAsia" w:ascii="仿宋" w:hAnsi="仿宋" w:eastAsia="仿宋" w:cs="仿宋"/>
          <w:b/>
          <w:bCs/>
          <w:color w:val="auto"/>
          <w:sz w:val="28"/>
          <w:szCs w:val="28"/>
        </w:rPr>
        <w:t>二〇二</w:t>
      </w:r>
      <w:r>
        <w:rPr>
          <w:rFonts w:hint="eastAsia" w:cs="仿宋"/>
          <w:b/>
          <w:bCs/>
          <w:color w:val="auto"/>
          <w:sz w:val="28"/>
          <w:szCs w:val="28"/>
          <w:lang w:val="en-US" w:eastAsia="zh-CN"/>
        </w:rPr>
        <w:t>六</w:t>
      </w:r>
      <w:r>
        <w:rPr>
          <w:rFonts w:hint="eastAsia" w:ascii="仿宋" w:hAnsi="仿宋" w:eastAsia="仿宋" w:cs="仿宋"/>
          <w:b/>
          <w:bCs/>
          <w:color w:val="auto"/>
          <w:sz w:val="28"/>
          <w:szCs w:val="28"/>
        </w:rPr>
        <w:t>年  月</w:t>
      </w:r>
    </w:p>
    <w:p w14:paraId="42491AC0">
      <w:pPr>
        <w:pStyle w:val="8"/>
        <w:rPr>
          <w:rFonts w:hint="eastAsia" w:ascii="仿宋" w:hAnsi="仿宋" w:eastAsia="仿宋" w:cs="仿宋"/>
        </w:rPr>
      </w:pPr>
    </w:p>
    <w:p w14:paraId="192E8F4E">
      <w:pPr>
        <w:rPr>
          <w:rFonts w:hint="eastAsia" w:ascii="仿宋" w:hAnsi="仿宋" w:eastAsia="仿宋" w:cs="仿宋"/>
          <w:b/>
          <w:bCs/>
          <w:sz w:val="28"/>
          <w:szCs w:val="36"/>
        </w:rPr>
      </w:pPr>
      <w:r>
        <w:rPr>
          <w:rFonts w:hint="eastAsia" w:ascii="仿宋" w:hAnsi="仿宋" w:eastAsia="仿宋" w:cs="仿宋"/>
          <w:b/>
          <w:bCs/>
          <w:sz w:val="28"/>
          <w:szCs w:val="36"/>
        </w:rPr>
        <w:br w:type="page"/>
      </w:r>
    </w:p>
    <w:p w14:paraId="2A3A3DA2">
      <w:pPr>
        <w:bidi w:val="0"/>
        <w:spacing w:line="360" w:lineRule="auto"/>
        <w:jc w:val="center"/>
        <w:rPr>
          <w:rFonts w:hint="eastAsia" w:ascii="仿宋" w:hAnsi="仿宋" w:eastAsia="仿宋" w:cs="仿宋"/>
          <w:b/>
          <w:bCs/>
          <w:sz w:val="32"/>
          <w:szCs w:val="40"/>
          <w:lang w:val="en-US" w:eastAsia="zh-CN"/>
        </w:rPr>
      </w:pPr>
      <w:bookmarkStart w:id="0" w:name="_Toc24676"/>
      <w:r>
        <w:rPr>
          <w:rFonts w:hint="eastAsia" w:ascii="仿宋" w:hAnsi="仿宋" w:eastAsia="仿宋" w:cs="仿宋"/>
          <w:b/>
          <w:bCs/>
          <w:sz w:val="32"/>
          <w:szCs w:val="40"/>
          <w:lang w:val="en-US" w:eastAsia="zh-CN"/>
        </w:rPr>
        <w:t>拟签订的合同文本</w:t>
      </w:r>
      <w:bookmarkEnd w:id="0"/>
    </w:p>
    <w:p w14:paraId="2AFE34CD">
      <w:pPr>
        <w:pStyle w:val="16"/>
        <w:keepNext w:val="0"/>
        <w:keepLines w:val="0"/>
        <w:pageBreakBefore w:val="0"/>
        <w:kinsoku/>
        <w:wordWrap/>
        <w:overflowPunct/>
        <w:topLinePunct w:val="0"/>
        <w:bidi w:val="0"/>
        <w:adjustRightInd/>
        <w:snapToGrid/>
        <w:spacing w:line="360" w:lineRule="auto"/>
        <w:ind w:left="0" w:leftChars="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采购人（以下称“甲方”）：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648ED930">
      <w:pPr>
        <w:pStyle w:val="16"/>
        <w:keepNext w:val="0"/>
        <w:keepLines w:val="0"/>
        <w:pageBreakBefore w:val="0"/>
        <w:kinsoku/>
        <w:wordWrap/>
        <w:overflowPunct/>
        <w:topLinePunct w:val="0"/>
        <w:bidi w:val="0"/>
        <w:adjustRightInd/>
        <w:snapToGrid/>
        <w:spacing w:line="360" w:lineRule="auto"/>
        <w:ind w:left="0" w:leftChars="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14:paraId="2F0A0A69">
      <w:pPr>
        <w:pStyle w:val="16"/>
        <w:keepNext w:val="0"/>
        <w:keepLines w:val="0"/>
        <w:pageBreakBefore w:val="0"/>
        <w:kinsoku/>
        <w:wordWrap/>
        <w:overflowPunct/>
        <w:topLinePunct w:val="0"/>
        <w:bidi w:val="0"/>
        <w:adjustRightInd/>
        <w:snapToGrid/>
        <w:spacing w:line="360" w:lineRule="auto"/>
        <w:ind w:left="0" w:leftChars="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3331BADB">
      <w:pPr>
        <w:pStyle w:val="16"/>
        <w:keepNext w:val="0"/>
        <w:keepLines w:val="0"/>
        <w:pageBreakBefore w:val="0"/>
        <w:kinsoku/>
        <w:wordWrap/>
        <w:overflowPunct/>
        <w:topLinePunct w:val="0"/>
        <w:bidi w:val="0"/>
        <w:adjustRightInd/>
        <w:snapToGrid/>
        <w:spacing w:line="360" w:lineRule="auto"/>
        <w:ind w:left="0" w:leftChars="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供应商（以下称“乙方”）：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02AF6095">
      <w:pPr>
        <w:pStyle w:val="16"/>
        <w:keepNext w:val="0"/>
        <w:keepLines w:val="0"/>
        <w:pageBreakBefore w:val="0"/>
        <w:kinsoku/>
        <w:wordWrap/>
        <w:overflowPunct/>
        <w:topLinePunct w:val="0"/>
        <w:bidi w:val="0"/>
        <w:adjustRightInd/>
        <w:snapToGrid/>
        <w:spacing w:line="360" w:lineRule="auto"/>
        <w:ind w:left="0" w:leftChars="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DE8E86D">
      <w:pPr>
        <w:pStyle w:val="16"/>
        <w:keepNext w:val="0"/>
        <w:keepLines w:val="0"/>
        <w:pageBreakBefore w:val="0"/>
        <w:kinsoku/>
        <w:wordWrap/>
        <w:overflowPunct/>
        <w:topLinePunct w:val="0"/>
        <w:bidi w:val="0"/>
        <w:adjustRightInd/>
        <w:snapToGrid/>
        <w:spacing w:line="360" w:lineRule="auto"/>
        <w:ind w:left="0" w:leftChars="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3924D3BA">
      <w:pPr>
        <w:pStyle w:val="16"/>
        <w:keepNext w:val="0"/>
        <w:keepLines w:val="0"/>
        <w:pageBreakBefore w:val="0"/>
        <w:kinsoku/>
        <w:wordWrap/>
        <w:overflowPunct/>
        <w:topLinePunct w:val="0"/>
        <w:bidi w:val="0"/>
        <w:adjustRightInd/>
        <w:snapToGrid/>
        <w:spacing w:line="360" w:lineRule="auto"/>
        <w:ind w:left="0" w:leftChars="0" w:firstLine="468" w:firstLineChars="195"/>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sz w:val="24"/>
          <w:szCs w:val="24"/>
          <w:highlight w:val="none"/>
        </w:rPr>
        <w:t>根据《中华人民共和国政府采购法》及实施条例</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《中华人民共和国民法典》和甲方采购项目</w:t>
      </w:r>
      <w:r>
        <w:rPr>
          <w:rFonts w:hint="eastAsia" w:ascii="仿宋" w:hAnsi="仿宋" w:eastAsia="仿宋" w:cs="仿宋"/>
          <w:color w:val="auto"/>
          <w:sz w:val="24"/>
          <w:szCs w:val="24"/>
          <w:highlight w:val="none"/>
          <w:u w:val="single"/>
        </w:rPr>
        <w:t>（采购项目编号：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文件、</w:t>
      </w:r>
      <w:r>
        <w:rPr>
          <w:rFonts w:hint="eastAsia" w:ascii="仿宋" w:hAnsi="仿宋" w:eastAsia="仿宋" w:cs="仿宋"/>
          <w:color w:val="auto"/>
          <w:sz w:val="24"/>
          <w:szCs w:val="24"/>
          <w:highlight w:val="none"/>
          <w:lang w:val="en-US" w:eastAsia="zh-CN"/>
        </w:rPr>
        <w:t>乙方递交的响应</w:t>
      </w:r>
      <w:r>
        <w:rPr>
          <w:rFonts w:hint="eastAsia" w:ascii="仿宋" w:hAnsi="仿宋" w:eastAsia="仿宋" w:cs="仿宋"/>
          <w:color w:val="auto"/>
          <w:sz w:val="24"/>
          <w:szCs w:val="24"/>
          <w:highlight w:val="none"/>
        </w:rPr>
        <w:t>文件等有关</w:t>
      </w:r>
      <w:r>
        <w:rPr>
          <w:rFonts w:hint="eastAsia" w:ascii="仿宋" w:hAnsi="仿宋" w:eastAsia="仿宋" w:cs="仿宋"/>
          <w:color w:val="auto"/>
          <w:kern w:val="1"/>
          <w:sz w:val="24"/>
          <w:szCs w:val="24"/>
          <w:highlight w:val="none"/>
          <w:lang w:val="en-US" w:eastAsia="zh-CN" w:bidi="ar-SA"/>
        </w:rPr>
        <w:t>规定，为确保甲方采购项目的顺利实施，甲、乙双方在平等自愿原则下签订本合同，并共同遵守如下条款：</w:t>
      </w:r>
    </w:p>
    <w:p w14:paraId="6ECD5BA5">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1" w:name="_Toc23230"/>
      <w:bookmarkStart w:id="2" w:name="_Toc6440"/>
      <w:bookmarkStart w:id="3" w:name="_Toc8233"/>
      <w:bookmarkStart w:id="4" w:name="_Toc18746"/>
      <w:r>
        <w:rPr>
          <w:rFonts w:hint="eastAsia" w:ascii="仿宋" w:hAnsi="仿宋" w:eastAsia="仿宋" w:cs="仿宋"/>
          <w:color w:val="auto"/>
          <w:kern w:val="1"/>
          <w:sz w:val="24"/>
          <w:szCs w:val="24"/>
          <w:highlight w:val="none"/>
          <w:lang w:val="en-US" w:eastAsia="zh-CN" w:bidi="ar-SA"/>
        </w:rPr>
        <w:t>第一条  合同采购内容</w:t>
      </w:r>
      <w:bookmarkEnd w:id="1"/>
      <w:bookmarkEnd w:id="2"/>
      <w:bookmarkEnd w:id="3"/>
      <w:bookmarkEnd w:id="4"/>
    </w:p>
    <w:p w14:paraId="34C1A798">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5" w:name="_Toc24758"/>
      <w:bookmarkStart w:id="6" w:name="_Toc4621"/>
      <w:bookmarkStart w:id="7" w:name="_Toc17097"/>
      <w:bookmarkStart w:id="8" w:name="_Toc22213"/>
      <w:r>
        <w:rPr>
          <w:rFonts w:hint="eastAsia" w:ascii="仿宋" w:hAnsi="仿宋" w:eastAsia="仿宋" w:cs="仿宋"/>
          <w:color w:val="auto"/>
          <w:kern w:val="1"/>
          <w:sz w:val="24"/>
          <w:szCs w:val="24"/>
          <w:highlight w:val="none"/>
          <w:lang w:val="en-US" w:eastAsia="zh-CN" w:bidi="ar-SA"/>
        </w:rPr>
        <w:t>（1）档案数字化：内容涉及档案交接、档案扫描、图像处理、质量检查、还原装订、案件信息核对、打印目录著录、图像挂接、数据备份等服务。</w:t>
      </w:r>
    </w:p>
    <w:p w14:paraId="22D0E4AF">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（2）归档整理：对完成数字化的诉讼档案进行整理，并归档至档案室，完成入库上架工作。</w:t>
      </w:r>
    </w:p>
    <w:p w14:paraId="5138B3BE">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3）移交备份：移交所有数字化过程产生的各种数据。数据包括档案数字化产品数据、档案数字化管理过程数据、项目管理档案及资料。数据移交一定要保持完整性和彻底性。完整性是指移交的数据完整、准确不遗漏任何信息，彻底性是指移交完成后不私自保存任何用户的数字化产品、敏感资料等数据。</w:t>
      </w:r>
    </w:p>
    <w:p w14:paraId="786806C6">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（4）电子卷宗随案生成</w:t>
      </w:r>
    </w:p>
    <w:p w14:paraId="7FF38A0D">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仿宋" w:hAnsi="仿宋" w:eastAsia="仿宋" w:cs="仿宋"/>
          <w:color w:val="auto"/>
          <w:kern w:val="1"/>
          <w:sz w:val="24"/>
          <w:szCs w:val="24"/>
          <w:highlight w:val="none"/>
          <w:lang w:val="en-US" w:eastAsia="zh-CN" w:bidi="ar-SA"/>
        </w:rPr>
      </w:pPr>
      <w:r>
        <w:rPr>
          <w:rFonts w:hint="default" w:ascii="仿宋" w:hAnsi="仿宋" w:eastAsia="仿宋" w:cs="仿宋"/>
          <w:color w:val="auto"/>
          <w:kern w:val="1"/>
          <w:sz w:val="24"/>
          <w:szCs w:val="24"/>
          <w:highlight w:val="none"/>
          <w:lang w:val="en-US" w:eastAsia="zh-CN" w:bidi="ar-SA"/>
        </w:rPr>
        <w:t>1）按照上级法院及本院要求案件应随案同步生成电子卷宗（包含司法辅助、随案同步等工作）。</w:t>
      </w:r>
    </w:p>
    <w:p w14:paraId="60A3820A">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仿宋" w:hAnsi="仿宋" w:eastAsia="仿宋" w:cs="仿宋"/>
          <w:color w:val="auto"/>
          <w:kern w:val="1"/>
          <w:sz w:val="24"/>
          <w:szCs w:val="24"/>
          <w:highlight w:val="none"/>
          <w:lang w:val="en-US" w:eastAsia="zh-CN" w:bidi="ar-SA"/>
        </w:rPr>
      </w:pPr>
      <w:r>
        <w:rPr>
          <w:rFonts w:hint="default" w:ascii="仿宋" w:hAnsi="仿宋" w:eastAsia="仿宋" w:cs="仿宋"/>
          <w:color w:val="auto"/>
          <w:kern w:val="1"/>
          <w:sz w:val="24"/>
          <w:szCs w:val="24"/>
          <w:highlight w:val="none"/>
          <w:lang w:val="en-US" w:eastAsia="zh-CN" w:bidi="ar-SA"/>
        </w:rPr>
        <w:t>2）目录能全面反映案件材料信息，且与纸质目录一致。</w:t>
      </w:r>
    </w:p>
    <w:p w14:paraId="4DCEEBC8">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仿宋" w:hAnsi="仿宋" w:eastAsia="仿宋" w:cs="仿宋"/>
          <w:color w:val="auto"/>
          <w:kern w:val="1"/>
          <w:sz w:val="24"/>
          <w:szCs w:val="24"/>
          <w:highlight w:val="none"/>
          <w:lang w:val="en-US" w:eastAsia="zh-CN" w:bidi="ar-SA"/>
        </w:rPr>
      </w:pPr>
      <w:r>
        <w:rPr>
          <w:rFonts w:hint="default" w:ascii="仿宋" w:hAnsi="仿宋" w:eastAsia="仿宋" w:cs="仿宋"/>
          <w:color w:val="auto"/>
          <w:kern w:val="1"/>
          <w:sz w:val="24"/>
          <w:szCs w:val="24"/>
          <w:highlight w:val="none"/>
          <w:lang w:val="en-US" w:eastAsia="zh-CN" w:bidi="ar-SA"/>
        </w:rPr>
        <w:t>3）扫描图像清晰，内容真实无误。</w:t>
      </w:r>
    </w:p>
    <w:p w14:paraId="12F76C96">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default" w:ascii="仿宋" w:hAnsi="仿宋" w:eastAsia="仿宋" w:cs="仿宋"/>
          <w:color w:val="auto"/>
          <w:kern w:val="1"/>
          <w:sz w:val="24"/>
          <w:szCs w:val="24"/>
          <w:highlight w:val="none"/>
          <w:lang w:val="en-US" w:eastAsia="zh-CN" w:bidi="ar-SA"/>
        </w:rPr>
        <w:t>4）电子的卷宗与纸质完全一致。</w:t>
      </w:r>
    </w:p>
    <w:p w14:paraId="1C1E34EE">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第二条 合同价款</w:t>
      </w:r>
      <w:bookmarkEnd w:id="5"/>
      <w:bookmarkEnd w:id="6"/>
      <w:bookmarkEnd w:id="7"/>
      <w:bookmarkEnd w:id="8"/>
    </w:p>
    <w:p w14:paraId="4BD7B369">
      <w:pPr>
        <w:pStyle w:val="16"/>
        <w:keepNext w:val="0"/>
        <w:keepLines w:val="0"/>
        <w:pageBreakBefore w:val="0"/>
        <w:kinsoku/>
        <w:wordWrap/>
        <w:overflowPunct/>
        <w:topLinePunct w:val="0"/>
        <w:bidi w:val="0"/>
        <w:adjustRightInd/>
        <w:snapToGrid/>
        <w:spacing w:line="360" w:lineRule="auto"/>
        <w:ind w:left="0" w:leftChars="0" w:firstLine="64" w:firstLineChars="27"/>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为人民币</w:t>
      </w:r>
      <w:r>
        <w:rPr>
          <w:rFonts w:hint="eastAsia" w:ascii="仿宋" w:hAnsi="仿宋" w:eastAsia="仿宋" w:cs="仿宋"/>
          <w:color w:val="auto"/>
          <w:sz w:val="24"/>
          <w:szCs w:val="24"/>
          <w:highlight w:val="none"/>
          <w:u w:val="single"/>
        </w:rPr>
        <w:t>（大写）：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4EBFD493">
      <w:pPr>
        <w:pStyle w:val="16"/>
        <w:keepNext w:val="0"/>
        <w:keepLines w:val="0"/>
        <w:pageBreakBefore w:val="0"/>
        <w:kinsoku/>
        <w:wordWrap/>
        <w:overflowPunct/>
        <w:topLinePunct w:val="0"/>
        <w:bidi w:val="0"/>
        <w:adjustRightInd/>
        <w:snapToGrid/>
        <w:spacing w:line="360" w:lineRule="auto"/>
        <w:ind w:left="0" w:leftChars="0" w:firstLine="64" w:firstLineChars="27"/>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kern w:val="1"/>
          <w:sz w:val="24"/>
          <w:szCs w:val="24"/>
          <w:lang w:val="en-US" w:eastAsia="zh-CN" w:bidi="ar-SA"/>
        </w:rPr>
        <w:t>2.</w:t>
      </w:r>
      <w:r>
        <w:rPr>
          <w:rFonts w:hint="eastAsia" w:ascii="仿宋" w:hAnsi="仿宋" w:eastAsia="仿宋" w:cs="仿宋"/>
          <w:color w:val="auto"/>
          <w:sz w:val="24"/>
          <w:szCs w:val="24"/>
          <w:highlight w:val="none"/>
        </w:rPr>
        <w:t>本项目</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由以下组成：</w:t>
      </w:r>
    </w:p>
    <w:p w14:paraId="515E081C">
      <w:pPr>
        <w:pStyle w:val="16"/>
        <w:keepNext w:val="0"/>
        <w:keepLines w:val="0"/>
        <w:pageBreakBefore w:val="0"/>
        <w:numPr>
          <w:ilvl w:val="0"/>
          <w:numId w:val="0"/>
        </w:numPr>
        <w:kinsoku/>
        <w:wordWrap/>
        <w:overflowPunct/>
        <w:topLinePunct w:val="0"/>
        <w:bidi w:val="0"/>
        <w:adjustRightInd/>
        <w:snapToGrid/>
        <w:spacing w:line="360" w:lineRule="auto"/>
        <w:ind w:left="0" w:leftChars="0" w:firstLine="480" w:firstLineChars="0"/>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kern w:val="1"/>
          <w:sz w:val="24"/>
          <w:szCs w:val="24"/>
          <w:lang w:val="en-US" w:eastAsia="zh-CN" w:bidi="ar-SA"/>
        </w:rPr>
        <w:t>1）</w:t>
      </w:r>
      <w:r>
        <w:rPr>
          <w:rFonts w:hint="eastAsia" w:ascii="仿宋" w:hAnsi="仿宋" w:eastAsia="仿宋" w:cs="仿宋"/>
          <w:color w:val="auto"/>
          <w:sz w:val="24"/>
          <w:szCs w:val="24"/>
          <w:highlight w:val="none"/>
          <w:lang w:val="en-US" w:eastAsia="zh-CN"/>
        </w:rPr>
        <w:t>档案数字化加工综合单价为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元/页，分项如下：</w:t>
      </w:r>
    </w:p>
    <w:p w14:paraId="13661E5D">
      <w:pPr>
        <w:pStyle w:val="16"/>
        <w:keepNext w:val="0"/>
        <w:keepLines w:val="0"/>
        <w:pageBreakBefore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档案数字化加工</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元/页，归档整理</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元/页。</w:t>
      </w:r>
    </w:p>
    <w:p w14:paraId="1F9EB036">
      <w:pPr>
        <w:pStyle w:val="16"/>
        <w:keepNext w:val="0"/>
        <w:keepLines w:val="0"/>
        <w:pageBreakBefore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sz w:val="24"/>
          <w:szCs w:val="24"/>
          <w:highlight w:val="none"/>
          <w:u w:val="none"/>
          <w:lang w:val="en-US" w:eastAsia="zh-CN"/>
        </w:rPr>
        <w:t>电子卷宗随案同步综合单价</w:t>
      </w:r>
      <w:bookmarkStart w:id="112" w:name="_GoBack"/>
      <w:bookmarkEnd w:id="112"/>
      <w:r>
        <w:rPr>
          <w:rFonts w:hint="eastAsia" w:ascii="仿宋" w:hAnsi="仿宋" w:eastAsia="仿宋" w:cs="仿宋"/>
          <w:color w:val="auto"/>
          <w:sz w:val="24"/>
          <w:szCs w:val="24"/>
          <w:highlight w:val="none"/>
          <w:u w:val="none"/>
          <w:lang w:val="en-US" w:eastAsia="zh-CN"/>
        </w:rPr>
        <w:t>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元/案。</w:t>
      </w:r>
    </w:p>
    <w:p w14:paraId="0F4B5C8B">
      <w:pPr>
        <w:pStyle w:val="16"/>
        <w:keepNext w:val="0"/>
        <w:keepLines w:val="0"/>
        <w:pageBreakBefore w:val="0"/>
        <w:numPr>
          <w:ilvl w:val="0"/>
          <w:numId w:val="0"/>
        </w:numPr>
        <w:kinsoku/>
        <w:wordWrap/>
        <w:overflowPunct/>
        <w:topLinePunct w:val="0"/>
        <w:bidi w:val="0"/>
        <w:adjustRightInd/>
        <w:snapToGrid/>
        <w:spacing w:line="360" w:lineRule="auto"/>
        <w:ind w:left="0" w:leftChars="0" w:firstLine="480" w:firstLineChars="200"/>
        <w:textAlignment w:val="auto"/>
        <w:rPr>
          <w:rFonts w:hint="default"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合同执行期间以综合单价为基准，以实际发生工作量×综合单价，据实结算。实际页/案数以最终验收合格成品页/案数计算为准。如甲方因实际需求变化产生新的工作需求，可根据实际情况另行签订相关补充协议。</w:t>
      </w:r>
    </w:p>
    <w:p w14:paraId="674E47AF">
      <w:pPr>
        <w:pStyle w:val="16"/>
        <w:keepNext w:val="0"/>
        <w:keepLines w:val="0"/>
        <w:pageBreakBefore w:val="0"/>
        <w:kinsoku/>
        <w:wordWrap/>
        <w:overflowPunct/>
        <w:topLinePunct w:val="0"/>
        <w:bidi w:val="0"/>
        <w:adjustRightInd/>
        <w:snapToGrid/>
        <w:spacing w:line="360" w:lineRule="auto"/>
        <w:ind w:left="0" w:leftChars="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3.甲方无须另向乙方支付本合同规定之外的其他任何费用</w:t>
      </w:r>
    </w:p>
    <w:p w14:paraId="1C74B0F5">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4.履约保证金：/</w:t>
      </w:r>
    </w:p>
    <w:p w14:paraId="28787DC1">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9" w:name="_Toc23966"/>
      <w:bookmarkStart w:id="10" w:name="_Toc20621"/>
      <w:bookmarkStart w:id="11" w:name="_Toc4425"/>
      <w:bookmarkStart w:id="12" w:name="_Toc26962"/>
      <w:r>
        <w:rPr>
          <w:rFonts w:hint="eastAsia" w:ascii="仿宋" w:hAnsi="仿宋" w:eastAsia="仿宋" w:cs="仿宋"/>
          <w:color w:val="auto"/>
          <w:kern w:val="1"/>
          <w:sz w:val="24"/>
          <w:szCs w:val="24"/>
          <w:highlight w:val="none"/>
          <w:lang w:val="en-US" w:eastAsia="zh-CN" w:bidi="ar-SA"/>
        </w:rPr>
        <w:t>第三条  付款方式、时间及条件</w:t>
      </w:r>
      <w:bookmarkEnd w:id="9"/>
      <w:bookmarkEnd w:id="10"/>
      <w:bookmarkEnd w:id="11"/>
      <w:bookmarkEnd w:id="12"/>
    </w:p>
    <w:p w14:paraId="6295687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textAlignment w:val="auto"/>
        <w:rPr>
          <w:rFonts w:hint="eastAsia" w:ascii="仿宋" w:hAnsi="仿宋" w:eastAsia="仿宋" w:cs="仿宋"/>
          <w:color w:val="auto"/>
          <w:kern w:val="2"/>
          <w:sz w:val="24"/>
          <w:szCs w:val="24"/>
          <w:highlight w:val="none"/>
          <w:lang w:val="en-US" w:eastAsia="zh-CN" w:bidi="ar-SA"/>
        </w:rPr>
      </w:pPr>
      <w:bookmarkStart w:id="13" w:name="_Toc32672"/>
      <w:bookmarkStart w:id="14" w:name="_Toc16037"/>
      <w:bookmarkStart w:id="15" w:name="_Toc15165"/>
      <w:r>
        <w:rPr>
          <w:rFonts w:hint="eastAsia" w:ascii="仿宋" w:hAnsi="仿宋" w:eastAsia="仿宋" w:cs="仿宋"/>
          <w:color w:val="auto"/>
          <w:kern w:val="2"/>
          <w:sz w:val="24"/>
          <w:szCs w:val="24"/>
          <w:highlight w:val="none"/>
          <w:lang w:val="en-US" w:eastAsia="zh-CN" w:bidi="ar-SA"/>
        </w:rPr>
        <w:t>付款条件说明：</w:t>
      </w:r>
    </w:p>
    <w:p w14:paraId="658325E1">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kern w:val="2"/>
          <w:sz w:val="24"/>
          <w:szCs w:val="24"/>
          <w:highlight w:val="none"/>
          <w:lang w:val="en-US" w:eastAsia="zh-CN" w:bidi="ar-SA"/>
        </w:rPr>
        <w:t>合同签订后，于2026年6月30日前，按照乙方提供的经甲方签字确认的《档案数字化数量质量月汇总确认表》核准；根据实际加工量×单价，据实结算，直至项目预算完成止。若甲方财政拨款未到位，付款时间应往后顺延，乙方不以此作为甲方的违约情况，达到付款条件起30个工作日内，支付合同总金额的50.0%。</w:t>
      </w:r>
    </w:p>
    <w:p w14:paraId="7254C5C5">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kern w:val="0"/>
          <w:sz w:val="24"/>
          <w:szCs w:val="24"/>
          <w:lang w:val="en-US" w:eastAsia="zh-CN" w:bidi="ar-SA"/>
        </w:rPr>
        <w:t>2、</w:t>
      </w:r>
      <w:r>
        <w:rPr>
          <w:rFonts w:hint="eastAsia" w:ascii="仿宋" w:hAnsi="仿宋" w:eastAsia="仿宋" w:cs="仿宋"/>
          <w:color w:val="auto"/>
          <w:kern w:val="2"/>
          <w:sz w:val="24"/>
          <w:szCs w:val="24"/>
          <w:highlight w:val="none"/>
          <w:lang w:val="en-US" w:eastAsia="zh-CN" w:bidi="ar-SA"/>
        </w:rPr>
        <w:t>于2026年12月31日前，按照乙方提供的经甲方签字确认的《档案数字化数量质量月汇总确认表》核准；根据实际加工量×单价，据实结算，直至项目预算完成止。最终结算费用不超过项目预算，达到付款条件起30个工作日内，支付合同总金额的50.0%</w:t>
      </w:r>
    </w:p>
    <w:p w14:paraId="7148142D">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第四条 服务期、地点、方式</w:t>
      </w:r>
      <w:bookmarkEnd w:id="13"/>
      <w:bookmarkEnd w:id="14"/>
      <w:bookmarkEnd w:id="15"/>
    </w:p>
    <w:p w14:paraId="799C3398">
      <w:pPr>
        <w:pStyle w:val="18"/>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仿宋" w:hAnsi="仿宋" w:eastAsia="仿宋" w:cs="仿宋"/>
          <w:color w:val="0000FF"/>
          <w:kern w:val="0"/>
          <w:sz w:val="24"/>
          <w:szCs w:val="24"/>
          <w:highlight w:val="none"/>
          <w:lang w:val="en-US" w:eastAsia="zh-CN" w:bidi="ar-SA"/>
        </w:rPr>
      </w:pPr>
      <w:bookmarkStart w:id="16" w:name="_Toc241833903"/>
      <w:bookmarkStart w:id="17" w:name="_Toc238984975"/>
      <w:bookmarkStart w:id="18" w:name="_Toc211854449"/>
      <w:bookmarkStart w:id="19" w:name="_Toc239233914"/>
      <w:bookmarkStart w:id="20" w:name="_Toc239568418"/>
      <w:bookmarkStart w:id="21" w:name="_Toc237145406"/>
      <w:bookmarkStart w:id="22" w:name="_Toc225654644"/>
      <w:bookmarkStart w:id="23" w:name="_Toc212019594"/>
      <w:bookmarkStart w:id="24" w:name="_Toc251768862"/>
      <w:bookmarkStart w:id="25" w:name="_Toc225244852"/>
      <w:bookmarkStart w:id="26" w:name="_Toc185395249"/>
      <w:bookmarkStart w:id="27" w:name="_Toc283019214"/>
      <w:bookmarkStart w:id="28" w:name="_Toc225670751"/>
      <w:bookmarkStart w:id="29" w:name="_Toc232492928"/>
      <w:bookmarkStart w:id="30" w:name="_Toc286993786"/>
      <w:bookmarkStart w:id="31" w:name="_Toc247334841"/>
      <w:bookmarkStart w:id="32" w:name="_Toc211911348"/>
      <w:bookmarkStart w:id="33" w:name="_Toc282696226"/>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.服务期</w:t>
      </w:r>
      <w:r>
        <w:rPr>
          <w:rFonts w:hint="eastAsia" w:ascii="仿宋" w:hAnsi="仿宋" w:eastAsia="仿宋" w:cs="仿宋"/>
          <w:color w:val="auto"/>
          <w:sz w:val="24"/>
          <w:szCs w:val="24"/>
          <w:highlight w:val="none"/>
        </w:rPr>
        <w:t>：</w:t>
      </w:r>
      <w:r>
        <w:rPr>
          <w:rFonts w:hint="eastAsia" w:ascii="仿宋_GB2312" w:hAnsi="仿宋_GB2312" w:eastAsia="仿宋_GB2312" w:cs="仿宋_GB2312"/>
          <w:sz w:val="24"/>
          <w:szCs w:val="24"/>
          <w:highlight w:val="none"/>
          <w:lang w:eastAsia="zh-CN"/>
        </w:rPr>
        <w:t>自合同签订之日起至自预算完成之日止。</w:t>
      </w:r>
    </w:p>
    <w:p w14:paraId="5F9DBBE6">
      <w:pPr>
        <w:keepNext w:val="0"/>
        <w:keepLines w:val="0"/>
        <w:pageBreakBefore w:val="0"/>
        <w:widowControl w:val="0"/>
        <w:tabs>
          <w:tab w:val="left" w:pos="1379"/>
        </w:tabs>
        <w:kinsoku/>
        <w:wordWrap/>
        <w:overflowPunct/>
        <w:topLinePunct w:val="0"/>
        <w:autoSpaceDE/>
        <w:autoSpaceDN/>
        <w:bidi w:val="0"/>
        <w:adjustRightInd/>
        <w:snapToGrid w:val="0"/>
        <w:spacing w:line="360" w:lineRule="auto"/>
        <w:ind w:left="0" w:leftChars="0" w:firstLine="480" w:firstLineChars="200"/>
        <w:textAlignment w:val="auto"/>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.交付</w:t>
      </w:r>
      <w:r>
        <w:rPr>
          <w:rFonts w:hint="eastAsia" w:ascii="仿宋" w:hAnsi="仿宋" w:eastAsia="仿宋" w:cs="仿宋"/>
          <w:color w:val="auto"/>
          <w:sz w:val="24"/>
          <w:szCs w:val="24"/>
          <w:highlight w:val="none"/>
        </w:rPr>
        <w:t>地点：</w:t>
      </w:r>
      <w:r>
        <w:rPr>
          <w:rFonts w:hint="eastAsia" w:ascii="仿宋" w:hAnsi="仿宋" w:eastAsia="仿宋" w:cs="仿宋"/>
          <w:color w:val="auto"/>
          <w:sz w:val="24"/>
          <w:szCs w:val="24"/>
          <w:highlight w:val="none"/>
          <w:u w:val="single"/>
          <w:lang w:eastAsia="zh-CN"/>
        </w:rPr>
        <w:t>采购人指定地点</w:t>
      </w:r>
      <w:r>
        <w:rPr>
          <w:rFonts w:hint="eastAsia" w:ascii="仿宋" w:hAnsi="仿宋" w:eastAsia="仿宋" w:cs="仿宋"/>
          <w:color w:val="auto"/>
          <w:sz w:val="24"/>
          <w:szCs w:val="24"/>
          <w:highlight w:val="none"/>
          <w:u w:val="single"/>
          <w:lang w:val="en-US" w:eastAsia="zh-CN"/>
        </w:rPr>
        <w:t xml:space="preserve">    </w:t>
      </w:r>
    </w:p>
    <w:p w14:paraId="6105D35B">
      <w:pPr>
        <w:pStyle w:val="19"/>
        <w:keepNext w:val="0"/>
        <w:keepLines w:val="0"/>
        <w:pageBreakBefore w:val="0"/>
        <w:widowControl w:val="0"/>
        <w:kinsoku/>
        <w:wordWrap/>
        <w:overflowPunct/>
        <w:topLinePunct w:val="0"/>
        <w:bidi w:val="0"/>
        <w:adjustRightInd/>
        <w:snapToGrid w:val="0"/>
        <w:spacing w:line="360" w:lineRule="auto"/>
        <w:ind w:left="0" w:leftChars="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3.交付条件：</w:t>
      </w:r>
      <w:r>
        <w:rPr>
          <w:rFonts w:hint="eastAsia" w:ascii="仿宋" w:hAnsi="仿宋" w:eastAsia="仿宋" w:cs="仿宋"/>
          <w:color w:val="auto"/>
          <w:sz w:val="24"/>
          <w:szCs w:val="24"/>
          <w:highlight w:val="none"/>
          <w:u w:val="single"/>
        </w:rPr>
        <w:t>本次所有服务工作完成</w:t>
      </w:r>
      <w:r>
        <w:rPr>
          <w:rFonts w:hint="eastAsia" w:ascii="仿宋" w:hAnsi="仿宋" w:eastAsia="仿宋" w:cs="仿宋"/>
          <w:color w:val="auto"/>
          <w:sz w:val="24"/>
          <w:szCs w:val="24"/>
          <w:highlight w:val="none"/>
          <w:u w:val="single"/>
          <w:lang w:val="en-US" w:eastAsia="zh-CN"/>
        </w:rPr>
        <w:t xml:space="preserve">   </w:t>
      </w:r>
    </w:p>
    <w:p w14:paraId="6C724668">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34" w:name="_Toc19538"/>
      <w:bookmarkStart w:id="35" w:name="_Toc13316"/>
      <w:bookmarkStart w:id="36" w:name="_Toc28705"/>
      <w:bookmarkStart w:id="37" w:name="_Toc2585"/>
      <w:r>
        <w:rPr>
          <w:rFonts w:hint="eastAsia" w:ascii="仿宋" w:hAnsi="仿宋" w:eastAsia="仿宋" w:cs="仿宋"/>
          <w:color w:val="auto"/>
          <w:kern w:val="1"/>
          <w:sz w:val="24"/>
          <w:szCs w:val="24"/>
          <w:highlight w:val="none"/>
          <w:lang w:val="en-US" w:eastAsia="zh-CN" w:bidi="ar-SA"/>
        </w:rPr>
        <w:t>第五条 质量保证及售后服务</w:t>
      </w:r>
      <w:bookmarkEnd w:id="34"/>
      <w:bookmarkEnd w:id="35"/>
      <w:bookmarkEnd w:id="36"/>
      <w:bookmarkEnd w:id="37"/>
    </w:p>
    <w:p w14:paraId="6DF0B982">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2"/>
          <w:sz w:val="24"/>
          <w:szCs w:val="24"/>
          <w:highlight w:val="none"/>
          <w:lang w:val="en-US" w:eastAsia="zh-CN"/>
        </w:rPr>
      </w:pPr>
      <w:r>
        <w:rPr>
          <w:rFonts w:hint="eastAsia" w:ascii="仿宋" w:hAnsi="仿宋" w:eastAsia="仿宋" w:cs="仿宋"/>
          <w:color w:val="auto"/>
          <w:kern w:val="1"/>
          <w:sz w:val="24"/>
          <w:szCs w:val="24"/>
          <w:highlight w:val="none"/>
          <w:lang w:val="en-US" w:eastAsia="zh-CN" w:bidi="ar-SA"/>
        </w:rPr>
        <w:t>质量保证：乙方应保证所</w:t>
      </w:r>
      <w:r>
        <w:rPr>
          <w:rFonts w:hint="eastAsia" w:ascii="仿宋" w:hAnsi="仿宋" w:eastAsia="仿宋" w:cs="仿宋"/>
          <w:color w:val="auto"/>
          <w:sz w:val="24"/>
          <w:szCs w:val="24"/>
          <w:highlight w:val="none"/>
        </w:rPr>
        <w:t>提供的服务，符合</w:t>
      </w:r>
      <w:r>
        <w:rPr>
          <w:rFonts w:hint="eastAsia" w:ascii="仿宋" w:hAnsi="仿宋" w:eastAsia="仿宋" w:cs="仿宋"/>
          <w:color w:val="auto"/>
          <w:sz w:val="24"/>
          <w:szCs w:val="24"/>
          <w:highlight w:val="none"/>
          <w:lang w:val="en-US" w:eastAsia="zh-CN"/>
        </w:rPr>
        <w:t>甲方的</w:t>
      </w:r>
      <w:r>
        <w:rPr>
          <w:rFonts w:hint="eastAsia" w:ascii="仿宋" w:hAnsi="仿宋" w:eastAsia="仿宋" w:cs="仿宋"/>
          <w:color w:val="auto"/>
          <w:sz w:val="24"/>
          <w:szCs w:val="24"/>
          <w:highlight w:val="none"/>
        </w:rPr>
        <w:t>要求。如不符时，乙方应负全责并尽快处理解决，由此造成的损失和相关费用由乙方负责，甲方保留终止合同及索赔的权利。</w:t>
      </w:r>
      <w:r>
        <w:rPr>
          <w:rFonts w:hint="eastAsia" w:ascii="仿宋" w:hAnsi="仿宋" w:eastAsia="仿宋" w:cs="仿宋"/>
          <w:kern w:val="2"/>
          <w:sz w:val="24"/>
          <w:szCs w:val="24"/>
          <w:highlight w:val="none"/>
          <w:lang w:val="en-US" w:eastAsia="zh-CN"/>
        </w:rPr>
        <w:t>服务期间如因乙方过失或疏忽发生意外事故，导致甲乙双方或其他第三方人身伤亡或财产损失等，均由乙方承担全部责任。</w:t>
      </w:r>
    </w:p>
    <w:p w14:paraId="4AD1DA9B">
      <w:pPr>
        <w:pStyle w:val="16"/>
        <w:keepNext w:val="0"/>
        <w:keepLines w:val="0"/>
        <w:pageBreakBefore w:val="0"/>
        <w:kinsoku/>
        <w:wordWrap/>
        <w:overflowPunct/>
        <w:topLinePunct w:val="0"/>
        <w:bidi w:val="0"/>
        <w:adjustRightInd/>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售后服务：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p>
    <w:p w14:paraId="0F8F1386">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第六条</w:t>
      </w:r>
      <w:r>
        <w:rPr>
          <w:rFonts w:hint="eastAsia" w:ascii="仿宋" w:hAnsi="仿宋" w:eastAsia="仿宋" w:cs="仿宋"/>
          <w:color w:val="auto"/>
          <w:kern w:val="1"/>
          <w:sz w:val="24"/>
          <w:szCs w:val="24"/>
          <w:highlight w:val="none"/>
          <w:lang w:val="en-US" w:eastAsia="zh-Hans" w:bidi="ar-SA"/>
        </w:rPr>
        <w:t xml:space="preserve"> </w:t>
      </w:r>
      <w:bookmarkStart w:id="38" w:name="_Toc27776"/>
      <w:bookmarkStart w:id="39" w:name="_Toc4471"/>
      <w:bookmarkStart w:id="40" w:name="_Toc2059"/>
      <w:bookmarkStart w:id="41" w:name="_Toc11338"/>
      <w:r>
        <w:rPr>
          <w:rFonts w:hint="eastAsia" w:ascii="仿宋" w:hAnsi="仿宋" w:eastAsia="仿宋" w:cs="仿宋"/>
          <w:color w:val="auto"/>
          <w:kern w:val="1"/>
          <w:sz w:val="24"/>
          <w:szCs w:val="24"/>
          <w:highlight w:val="none"/>
          <w:lang w:val="en-US" w:eastAsia="zh-CN" w:bidi="ar-SA"/>
        </w:rPr>
        <w:t>验收</w:t>
      </w:r>
      <w:bookmarkEnd w:id="38"/>
      <w:bookmarkEnd w:id="39"/>
      <w:bookmarkEnd w:id="40"/>
      <w:bookmarkEnd w:id="41"/>
    </w:p>
    <w:p w14:paraId="4323A2FB">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1.电子卷宗数字化扫描服务的验收以交接清单为准，首先对照移交清单清点卷宗数量，然后抽取每个验收批次总卷数的不低于5%对卷宗整理、装订质量、进行验收。扫描卷宗的验收，首先对扫描页数进行核实，然后日常抽取每个验收批次总卷数的不低于5%，检查扫描卷宗的索引信息、扫描图像的质量、页级别设置、扫描卷宗与纸质卷宗的一致性。</w:t>
      </w:r>
    </w:p>
    <w:p w14:paraId="036870EF">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2.验收依据：合同、采购文件、响应文件、澄清 (如有)。</w:t>
      </w:r>
    </w:p>
    <w:p w14:paraId="281F140D">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42" w:name="_Toc24822"/>
      <w:bookmarkStart w:id="43" w:name="_Toc19571"/>
      <w:bookmarkStart w:id="44" w:name="_Toc1943"/>
      <w:r>
        <w:rPr>
          <w:rFonts w:hint="eastAsia" w:ascii="仿宋" w:hAnsi="仿宋" w:eastAsia="仿宋" w:cs="仿宋"/>
          <w:color w:val="auto"/>
          <w:kern w:val="1"/>
          <w:sz w:val="24"/>
          <w:szCs w:val="24"/>
          <w:highlight w:val="none"/>
          <w:lang w:val="en-US" w:eastAsia="zh-CN" w:bidi="ar-SA"/>
        </w:rPr>
        <w:t xml:space="preserve">第七条 </w:t>
      </w:r>
      <w:bookmarkStart w:id="45" w:name="_Toc25250"/>
      <w:r>
        <w:rPr>
          <w:rFonts w:hint="eastAsia" w:ascii="仿宋" w:hAnsi="仿宋" w:eastAsia="仿宋" w:cs="仿宋"/>
          <w:color w:val="auto"/>
          <w:kern w:val="1"/>
          <w:sz w:val="24"/>
          <w:szCs w:val="24"/>
          <w:highlight w:val="none"/>
          <w:lang w:val="en-US" w:eastAsia="zh-CN" w:bidi="ar-SA"/>
        </w:rPr>
        <w:t>无产权瑕疵条款</w:t>
      </w:r>
      <w:bookmarkEnd w:id="42"/>
      <w:bookmarkEnd w:id="43"/>
      <w:bookmarkEnd w:id="44"/>
      <w:bookmarkEnd w:id="45"/>
    </w:p>
    <w:p w14:paraId="214D1B2D">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乙方保证所提供的服务的所有权完全属于乙方且无任何抵押、查封等产权瑕疵。如有产权瑕疵的，视为乙方违约。乙方应负担由此而产生的一切损失。</w:t>
      </w:r>
    </w:p>
    <w:p w14:paraId="334BC8D6">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46" w:name="_Toc9603"/>
      <w:bookmarkStart w:id="47" w:name="_Toc12634"/>
      <w:bookmarkStart w:id="48" w:name="_Toc6497"/>
      <w:r>
        <w:rPr>
          <w:rFonts w:hint="eastAsia" w:ascii="仿宋" w:hAnsi="仿宋" w:eastAsia="仿宋" w:cs="仿宋"/>
          <w:color w:val="auto"/>
          <w:kern w:val="1"/>
          <w:sz w:val="24"/>
          <w:szCs w:val="24"/>
          <w:highlight w:val="none"/>
          <w:lang w:val="en-US" w:eastAsia="zh-CN" w:bidi="ar-SA"/>
        </w:rPr>
        <w:t xml:space="preserve">第八条 </w:t>
      </w:r>
      <w:bookmarkStart w:id="49" w:name="_Toc6407"/>
      <w:r>
        <w:rPr>
          <w:rFonts w:hint="eastAsia" w:ascii="仿宋" w:hAnsi="仿宋" w:eastAsia="仿宋" w:cs="仿宋"/>
          <w:color w:val="auto"/>
          <w:kern w:val="1"/>
          <w:sz w:val="24"/>
          <w:szCs w:val="24"/>
          <w:highlight w:val="none"/>
          <w:lang w:val="en-US" w:eastAsia="zh-CN" w:bidi="ar-SA"/>
        </w:rPr>
        <w:t>甲方的权利和义务</w:t>
      </w:r>
      <w:bookmarkEnd w:id="46"/>
      <w:bookmarkEnd w:id="47"/>
      <w:bookmarkEnd w:id="48"/>
      <w:bookmarkEnd w:id="49"/>
    </w:p>
    <w:p w14:paraId="1EFC585A">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1.甲方有权对合同规定范围内乙方的服务行为进行监督和检查，拥有监管权。有权定期核对乙方提供服务所配备的人员数量。对甲方认为不合理的部分有权下达整改通知书，并要求乙方限期整改。</w:t>
      </w:r>
    </w:p>
    <w:p w14:paraId="50579573">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2.甲方有权依据双方签订的考评办法对乙方提供的服务进行定期考评。当考评结果未达到标准时，有权依据考评办法约定的数额扣除履约保证金。</w:t>
      </w:r>
    </w:p>
    <w:p w14:paraId="61BA091C">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3.负责检查监督乙方管理工作的实施及制度的执行情况。</w:t>
      </w:r>
    </w:p>
    <w:p w14:paraId="77C11797">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4.根据本合同规定，按时向乙方支付应付服务费用。</w:t>
      </w:r>
    </w:p>
    <w:p w14:paraId="719692F5">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5.国家法律法规所规定由甲方承担的其它责任。</w:t>
      </w:r>
    </w:p>
    <w:p w14:paraId="6D805333">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50" w:name="_Toc7157"/>
      <w:bookmarkStart w:id="51" w:name="_Toc1227"/>
      <w:bookmarkStart w:id="52" w:name="_Toc12376"/>
      <w:bookmarkStart w:id="53" w:name="_Toc10390"/>
      <w:r>
        <w:rPr>
          <w:rFonts w:hint="eastAsia" w:ascii="仿宋" w:hAnsi="仿宋" w:eastAsia="仿宋" w:cs="仿宋"/>
          <w:color w:val="auto"/>
          <w:kern w:val="1"/>
          <w:sz w:val="24"/>
          <w:szCs w:val="24"/>
          <w:highlight w:val="none"/>
          <w:lang w:val="en-US" w:eastAsia="zh-CN" w:bidi="ar-SA"/>
        </w:rPr>
        <w:t>第九条  乙方的权利和义务</w:t>
      </w:r>
      <w:bookmarkEnd w:id="50"/>
      <w:bookmarkEnd w:id="51"/>
      <w:bookmarkEnd w:id="52"/>
      <w:bookmarkEnd w:id="53"/>
    </w:p>
    <w:p w14:paraId="28FA9294">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1.对本合同规定的委托服务范围内的项目享有管理权及服务义务。</w:t>
      </w:r>
    </w:p>
    <w:p w14:paraId="4E4C039B">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2.根据本合同的规定向甲方收取相关服务费用，并有权在本项目管理范围内管理及合理使用。</w:t>
      </w:r>
    </w:p>
    <w:p w14:paraId="5C6F7494">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3.及时向甲方通告本项目服务范围内有关服务的重大事项，及时配合处理投诉。</w:t>
      </w:r>
    </w:p>
    <w:p w14:paraId="3C56D448">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4.接受项目行业管理部门及政府有关部门的指导，接受甲方的监督。</w:t>
      </w:r>
    </w:p>
    <w:p w14:paraId="036B1B25">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5.国家法律法规所规定由乙方承担的其它责任。</w:t>
      </w:r>
    </w:p>
    <w:p w14:paraId="6FEE7C33">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54" w:name="_Toc26868"/>
      <w:bookmarkStart w:id="55" w:name="_Toc19456"/>
      <w:bookmarkStart w:id="56" w:name="_Toc12373"/>
      <w:bookmarkStart w:id="57" w:name="_Toc29819"/>
      <w:r>
        <w:rPr>
          <w:rFonts w:hint="eastAsia" w:ascii="仿宋" w:hAnsi="仿宋" w:eastAsia="仿宋" w:cs="仿宋"/>
          <w:color w:val="auto"/>
          <w:kern w:val="1"/>
          <w:sz w:val="24"/>
          <w:szCs w:val="24"/>
          <w:highlight w:val="none"/>
          <w:lang w:val="en-US" w:eastAsia="zh-CN" w:bidi="ar-SA"/>
        </w:rPr>
        <w:t>第十条  违约责任</w:t>
      </w:r>
      <w:bookmarkEnd w:id="54"/>
      <w:bookmarkEnd w:id="55"/>
      <w:bookmarkEnd w:id="56"/>
      <w:bookmarkEnd w:id="57"/>
    </w:p>
    <w:p w14:paraId="6A3BE68E">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1.甲乙双方必须遵守本合同并执行合同中的各项规定，保证本合同的正常履行。</w:t>
      </w:r>
    </w:p>
    <w:p w14:paraId="601EBA75">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14:paraId="31AE82A3">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58" w:name="_Toc20005"/>
      <w:bookmarkStart w:id="59" w:name="_Toc13266"/>
      <w:bookmarkStart w:id="60" w:name="_Toc20006"/>
      <w:bookmarkStart w:id="61" w:name="_Toc20912"/>
      <w:r>
        <w:rPr>
          <w:rFonts w:hint="eastAsia" w:ascii="仿宋" w:hAnsi="仿宋" w:eastAsia="仿宋" w:cs="仿宋"/>
          <w:color w:val="auto"/>
          <w:kern w:val="1"/>
          <w:sz w:val="24"/>
          <w:szCs w:val="24"/>
          <w:highlight w:val="none"/>
          <w:lang w:val="en-US" w:eastAsia="zh-CN" w:bidi="ar-SA"/>
        </w:rPr>
        <w:t>第十一条  不可抗力事件处理</w:t>
      </w:r>
      <w:bookmarkEnd w:id="58"/>
      <w:bookmarkEnd w:id="59"/>
      <w:bookmarkEnd w:id="60"/>
      <w:bookmarkEnd w:id="61"/>
    </w:p>
    <w:p w14:paraId="526B5D36">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1.在合同有效期内，任何一方因不可抗力事件导致不能履行合同，则合同履行期可延长，其延长期与不可抗力影响期相同。</w:t>
      </w:r>
    </w:p>
    <w:p w14:paraId="6EEED892">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2.不可抗力事件发生后，应立即通知对方，并寄送有关权威机构出具的证明。</w:t>
      </w:r>
    </w:p>
    <w:p w14:paraId="2D0B04BC">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3.不可抗力事件延续30天以上，双方应通过友好协商，确定是否继续履行合同。</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93C6630">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62" w:name="_Toc25202"/>
      <w:bookmarkStart w:id="63" w:name="_Toc13911"/>
      <w:bookmarkStart w:id="64" w:name="_Toc3229"/>
      <w:bookmarkStart w:id="65" w:name="_Toc30380"/>
      <w:bookmarkStart w:id="66" w:name="_Toc185395254"/>
      <w:bookmarkStart w:id="67" w:name="_Toc247334846"/>
      <w:bookmarkStart w:id="68" w:name="_Toc211854454"/>
      <w:bookmarkStart w:id="69" w:name="_Toc225670756"/>
      <w:bookmarkStart w:id="70" w:name="_Toc232492933"/>
      <w:bookmarkStart w:id="71" w:name="_Toc251768867"/>
      <w:bookmarkStart w:id="72" w:name="_Toc241833908"/>
      <w:bookmarkStart w:id="73" w:name="_Toc212019599"/>
      <w:bookmarkStart w:id="74" w:name="_Toc238984980"/>
      <w:bookmarkStart w:id="75" w:name="_Toc225654649"/>
      <w:bookmarkStart w:id="76" w:name="_Toc239233919"/>
      <w:bookmarkStart w:id="77" w:name="_Toc286993792"/>
      <w:bookmarkStart w:id="78" w:name="_Toc239568423"/>
      <w:bookmarkStart w:id="79" w:name="_Toc211911353"/>
      <w:bookmarkStart w:id="80" w:name="_Toc225244857"/>
      <w:bookmarkStart w:id="81" w:name="_Toc237145411"/>
      <w:r>
        <w:rPr>
          <w:rFonts w:hint="eastAsia" w:ascii="仿宋" w:hAnsi="仿宋" w:eastAsia="仿宋" w:cs="仿宋"/>
          <w:color w:val="auto"/>
          <w:kern w:val="1"/>
          <w:sz w:val="24"/>
          <w:szCs w:val="24"/>
          <w:highlight w:val="none"/>
          <w:lang w:val="en-US" w:eastAsia="zh-CN" w:bidi="ar-SA"/>
        </w:rPr>
        <w:t>第十二条  合同的变更和终止</w:t>
      </w:r>
      <w:bookmarkEnd w:id="62"/>
      <w:bookmarkEnd w:id="63"/>
      <w:bookmarkEnd w:id="64"/>
      <w:bookmarkEnd w:id="65"/>
    </w:p>
    <w:p w14:paraId="7AD55C75">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除《中华人民共和国政府采购法》第49条、第50条第二款规定的情形外，本合同一经签订，甲乙双方不得擅自变更、中止或终止合同。</w:t>
      </w:r>
    </w:p>
    <w:p w14:paraId="19840B45">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82" w:name="_Toc8343"/>
      <w:bookmarkStart w:id="83" w:name="_Toc32542"/>
      <w:bookmarkStart w:id="84" w:name="_Toc5821"/>
      <w:bookmarkStart w:id="85" w:name="_Toc24039"/>
      <w:r>
        <w:rPr>
          <w:rFonts w:hint="eastAsia" w:ascii="仿宋" w:hAnsi="仿宋" w:eastAsia="仿宋" w:cs="仿宋"/>
          <w:color w:val="auto"/>
          <w:kern w:val="1"/>
          <w:sz w:val="24"/>
          <w:szCs w:val="24"/>
          <w:highlight w:val="none"/>
          <w:lang w:val="en-US" w:eastAsia="zh-CN" w:bidi="ar-SA"/>
        </w:rPr>
        <w:t xml:space="preserve">第十三条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ascii="仿宋" w:hAnsi="仿宋" w:eastAsia="仿宋" w:cs="仿宋"/>
          <w:color w:val="auto"/>
          <w:kern w:val="1"/>
          <w:sz w:val="24"/>
          <w:szCs w:val="24"/>
          <w:highlight w:val="none"/>
          <w:lang w:val="en-US" w:eastAsia="zh-CN" w:bidi="ar-SA"/>
        </w:rPr>
        <w:t>争议解决条款</w:t>
      </w:r>
      <w:bookmarkEnd w:id="82"/>
      <w:bookmarkEnd w:id="83"/>
      <w:bookmarkEnd w:id="84"/>
      <w:bookmarkEnd w:id="85"/>
    </w:p>
    <w:p w14:paraId="522228C2">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86" w:name="_Toc225244858"/>
      <w:bookmarkStart w:id="87" w:name="_Toc283019219"/>
      <w:bookmarkStart w:id="88" w:name="_Toc238984981"/>
      <w:bookmarkStart w:id="89" w:name="_Toc237145412"/>
      <w:bookmarkStart w:id="90" w:name="_Toc232492934"/>
      <w:bookmarkStart w:id="91" w:name="_Toc241833909"/>
      <w:bookmarkStart w:id="92" w:name="_Toc247334847"/>
      <w:bookmarkStart w:id="93" w:name="_Toc185395255"/>
      <w:bookmarkStart w:id="94" w:name="_Toc239568424"/>
      <w:bookmarkStart w:id="95" w:name="_Toc212019600"/>
      <w:bookmarkStart w:id="96" w:name="_Toc211911354"/>
      <w:bookmarkStart w:id="97" w:name="_Toc282696231"/>
      <w:bookmarkStart w:id="98" w:name="_Toc225654650"/>
      <w:bookmarkStart w:id="99" w:name="_Toc251768868"/>
      <w:bookmarkStart w:id="100" w:name="_Toc239233920"/>
      <w:bookmarkStart w:id="101" w:name="_Toc225670757"/>
      <w:bookmarkStart w:id="102" w:name="_Toc286993793"/>
      <w:bookmarkStart w:id="103" w:name="_Toc211854455"/>
      <w:bookmarkStart w:id="104" w:name="_Toc29426"/>
      <w:bookmarkStart w:id="105" w:name="_Toc233"/>
      <w:bookmarkStart w:id="106" w:name="_Toc24825"/>
      <w:r>
        <w:rPr>
          <w:rFonts w:hint="eastAsia" w:ascii="仿宋" w:hAnsi="仿宋" w:eastAsia="仿宋" w:cs="仿宋"/>
          <w:color w:val="auto"/>
          <w:kern w:val="1"/>
          <w:sz w:val="24"/>
          <w:szCs w:val="24"/>
          <w:highlight w:val="none"/>
          <w:lang w:val="en-US" w:eastAsia="zh-CN" w:bidi="ar-SA"/>
        </w:rPr>
        <w:t>因执行合同所发生的或与合同有关的一切争议,双方应通过友好协商解决。如果协商开始后六十（60）天还不能解决，可向甲方所在地有管辖权的人民法院提起诉讼。</w:t>
      </w:r>
    </w:p>
    <w:p w14:paraId="7CA4667A">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107" w:name="_Toc1703"/>
      <w:r>
        <w:rPr>
          <w:rFonts w:hint="eastAsia" w:ascii="仿宋" w:hAnsi="仿宋" w:eastAsia="仿宋" w:cs="仿宋"/>
          <w:color w:val="auto"/>
          <w:kern w:val="1"/>
          <w:sz w:val="24"/>
          <w:szCs w:val="24"/>
          <w:highlight w:val="none"/>
          <w:lang w:val="en-US" w:eastAsia="zh-CN" w:bidi="ar-SA"/>
        </w:rPr>
        <w:t>第十四条  合同</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hint="eastAsia" w:ascii="仿宋" w:hAnsi="仿宋" w:eastAsia="仿宋" w:cs="仿宋"/>
          <w:color w:val="auto"/>
          <w:kern w:val="1"/>
          <w:sz w:val="24"/>
          <w:szCs w:val="24"/>
          <w:highlight w:val="none"/>
          <w:lang w:val="en-US" w:eastAsia="zh-CN" w:bidi="ar-SA"/>
        </w:rPr>
        <w:t>生效及其他</w:t>
      </w:r>
      <w:bookmarkEnd w:id="104"/>
      <w:bookmarkEnd w:id="105"/>
      <w:bookmarkEnd w:id="106"/>
      <w:bookmarkEnd w:id="107"/>
    </w:p>
    <w:p w14:paraId="47E40D0E">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1.合同经双方法定代表人或授权委托代理人签字并加盖单位公章后生效。</w:t>
      </w:r>
    </w:p>
    <w:p w14:paraId="13D7A92A">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2.合同执行中涉及采购资金和采购内容修改或补充的，须经政府采购监管部门审批，并签订书面补充协议报政府采购监督管理部门备案，方可作为主合同不可分割的一部分。</w:t>
      </w:r>
    </w:p>
    <w:p w14:paraId="0D607B9D">
      <w:pPr>
        <w:pStyle w:val="20"/>
        <w:keepNext w:val="0"/>
        <w:keepLines w:val="0"/>
        <w:pageBreakBefore w:val="0"/>
        <w:kinsoku/>
        <w:wordWrap/>
        <w:overflowPunct/>
        <w:topLinePunct w:val="0"/>
        <w:bidi w:val="0"/>
        <w:adjustRightInd/>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份，自双方签章之日起起效。甲方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i/>
          <w:iCs/>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具有同等法律效力。</w:t>
      </w:r>
    </w:p>
    <w:p w14:paraId="00B2671E">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bookmarkStart w:id="108" w:name="_Toc11151"/>
      <w:bookmarkStart w:id="109" w:name="_Toc15608"/>
      <w:bookmarkStart w:id="110" w:name="_Toc12138"/>
      <w:bookmarkStart w:id="111" w:name="_Toc11903"/>
      <w:r>
        <w:rPr>
          <w:rFonts w:hint="eastAsia" w:ascii="仿宋" w:hAnsi="仿宋" w:eastAsia="仿宋" w:cs="仿宋"/>
          <w:color w:val="auto"/>
          <w:kern w:val="1"/>
          <w:sz w:val="24"/>
          <w:szCs w:val="24"/>
          <w:highlight w:val="none"/>
          <w:lang w:val="en-US" w:eastAsia="zh-CN" w:bidi="ar-SA"/>
        </w:rPr>
        <w:t>第十五条  附件</w:t>
      </w:r>
      <w:bookmarkEnd w:id="108"/>
      <w:bookmarkEnd w:id="109"/>
      <w:bookmarkEnd w:id="110"/>
      <w:bookmarkEnd w:id="111"/>
    </w:p>
    <w:p w14:paraId="77264C03">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1.项目采购文件</w:t>
      </w:r>
    </w:p>
    <w:p w14:paraId="607CCFD7">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2.项目修改澄清文件（若有）</w:t>
      </w:r>
    </w:p>
    <w:p w14:paraId="7FCF71E1">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3.响应文件</w:t>
      </w:r>
    </w:p>
    <w:p w14:paraId="00FC23D3">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4.成交通知书</w:t>
      </w:r>
    </w:p>
    <w:p w14:paraId="6EB54570">
      <w:pPr>
        <w:pStyle w:val="18"/>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kern w:val="1"/>
          <w:sz w:val="24"/>
          <w:szCs w:val="24"/>
          <w:highlight w:val="none"/>
          <w:lang w:val="en-US" w:eastAsia="zh-CN" w:bidi="ar-SA"/>
        </w:rPr>
        <w:t>5.其他</w:t>
      </w:r>
    </w:p>
    <w:p w14:paraId="25A223CC">
      <w:pPr>
        <w:pStyle w:val="20"/>
        <w:keepNext w:val="0"/>
        <w:keepLines w:val="0"/>
        <w:pageBreakBefore w:val="0"/>
        <w:kinsoku/>
        <w:wordWrap/>
        <w:overflowPunct/>
        <w:topLinePunct w:val="0"/>
        <w:bidi w:val="0"/>
        <w:adjustRightInd/>
        <w:snapToGrid w:val="0"/>
        <w:spacing w:line="360" w:lineRule="auto"/>
        <w:ind w:left="0" w:leftChars="0"/>
        <w:textAlignment w:val="auto"/>
        <w:rPr>
          <w:rFonts w:hint="eastAsia" w:ascii="仿宋" w:hAnsi="仿宋" w:eastAsia="仿宋" w:cs="仿宋"/>
          <w:color w:val="auto"/>
          <w:sz w:val="24"/>
          <w:szCs w:val="24"/>
          <w:highlight w:val="none"/>
        </w:rPr>
      </w:pPr>
    </w:p>
    <w:p w14:paraId="2E50FA4F">
      <w:pPr>
        <w:keepNext w:val="0"/>
        <w:keepLines w:val="0"/>
        <w:pageBreakBefore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 xml:space="preserve">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    方：   （</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章）</w:t>
      </w:r>
    </w:p>
    <w:p w14:paraId="34ED87F3">
      <w:pPr>
        <w:keepNext w:val="0"/>
        <w:keepLines w:val="0"/>
        <w:pageBreakBefore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5C9F0771">
      <w:pPr>
        <w:keepNext w:val="0"/>
        <w:keepLines w:val="0"/>
        <w:pageBreakBefore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2908BE5C">
      <w:pPr>
        <w:keepNext w:val="0"/>
        <w:keepLines w:val="0"/>
        <w:pageBreakBefore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407F7783">
      <w:pPr>
        <w:keepNext w:val="0"/>
        <w:keepLines w:val="0"/>
        <w:pageBreakBefore w:val="0"/>
        <w:kinsoku/>
        <w:wordWrap/>
        <w:overflowPunct/>
        <w:topLinePunct w:val="0"/>
        <w:bidi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    号：</w:t>
      </w:r>
    </w:p>
    <w:p w14:paraId="22B0D501">
      <w:pPr>
        <w:keepNext w:val="0"/>
        <w:keepLines w:val="0"/>
        <w:pageBreakBefore w:val="0"/>
        <w:kinsoku/>
        <w:wordWrap/>
        <w:overflowPunct/>
        <w:topLinePunct w:val="0"/>
        <w:bidi w:val="0"/>
        <w:spacing w:line="360" w:lineRule="auto"/>
        <w:ind w:left="0" w:leftChars="0"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电    话：                      电    话：</w:t>
      </w:r>
    </w:p>
    <w:p w14:paraId="3052644C">
      <w:pPr>
        <w:keepNext w:val="0"/>
        <w:keepLines w:val="0"/>
        <w:pageBreakBefore w:val="0"/>
        <w:kinsoku/>
        <w:wordWrap/>
        <w:overflowPunct/>
        <w:topLinePunct w:val="0"/>
        <w:bidi w:val="0"/>
        <w:spacing w:line="360" w:lineRule="auto"/>
        <w:ind w:left="0" w:leftChars="0" w:firstLine="480" w:firstLineChars="200"/>
        <w:textAlignment w:val="auto"/>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1"/>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1"/>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3BF08B1"/>
    <w:rsid w:val="1FEF6BDC"/>
    <w:rsid w:val="2CA222C0"/>
    <w:rsid w:val="2CD84875"/>
    <w:rsid w:val="4C38704B"/>
    <w:rsid w:val="4DAB0F73"/>
    <w:rsid w:val="51DD4068"/>
    <w:rsid w:val="53524554"/>
    <w:rsid w:val="61712B04"/>
    <w:rsid w:val="63893E89"/>
    <w:rsid w:val="673E6266"/>
    <w:rsid w:val="6D937971"/>
    <w:rsid w:val="78264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eastAsia="仿宋"/>
      <w:kern w:val="0"/>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toc 4"/>
    <w:basedOn w:val="1"/>
    <w:next w:val="1"/>
    <w:qFormat/>
    <w:uiPriority w:val="0"/>
    <w:pPr>
      <w:ind w:left="1260" w:leftChars="600"/>
    </w:pPr>
  </w:style>
  <w:style w:type="paragraph" w:styleId="8">
    <w:name w:val="Body Text"/>
    <w:basedOn w:val="1"/>
    <w:next w:val="1"/>
    <w:qFormat/>
    <w:uiPriority w:val="0"/>
    <w:rPr>
      <w:color w:val="993300"/>
      <w:sz w:val="24"/>
    </w:rPr>
  </w:style>
  <w:style w:type="paragraph" w:styleId="9">
    <w:name w:val="Body Text Indent"/>
    <w:basedOn w:val="1"/>
    <w:next w:val="10"/>
    <w:qFormat/>
    <w:uiPriority w:val="0"/>
    <w:pPr>
      <w:tabs>
        <w:tab w:val="left" w:pos="8640"/>
      </w:tabs>
      <w:ind w:firstLine="420"/>
    </w:pPr>
    <w:rPr>
      <w:rFonts w:ascii="楷体_GB2312" w:eastAsia="楷体_GB2312"/>
      <w:color w:val="000000"/>
      <w:sz w:val="28"/>
    </w:rPr>
  </w:style>
  <w:style w:type="paragraph" w:styleId="10">
    <w:name w:val="envelope return"/>
    <w:basedOn w:val="1"/>
    <w:unhideWhenUsed/>
    <w:qFormat/>
    <w:uiPriority w:val="99"/>
    <w:pPr>
      <w:snapToGrid w:val="0"/>
    </w:pPr>
    <w:rPr>
      <w:rFonts w:ascii="Arial" w:hAnsi="Arial"/>
    </w:rPr>
  </w:style>
  <w:style w:type="paragraph" w:styleId="11">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3">
    <w:name w:val="Body Text First Indent 2"/>
    <w:basedOn w:val="9"/>
    <w:next w:val="1"/>
    <w:qFormat/>
    <w:uiPriority w:val="0"/>
    <w:pPr>
      <w:ind w:firstLine="200" w:firstLineChars="200"/>
    </w:pPr>
  </w:style>
  <w:style w:type="paragraph" w:customStyle="1" w:styleId="16">
    <w:name w:val="样式 首行缩进:  2 字符"/>
    <w:basedOn w:val="1"/>
    <w:qFormat/>
    <w:uiPriority w:val="0"/>
    <w:pPr>
      <w:spacing w:line="400" w:lineRule="exact"/>
      <w:ind w:firstLine="200" w:firstLineChars="200"/>
    </w:pPr>
    <w:rPr>
      <w:rFonts w:cs="宋体"/>
      <w:szCs w:val="24"/>
    </w:rPr>
  </w:style>
  <w:style w:type="paragraph" w:styleId="17">
    <w:name w:val="List Paragraph"/>
    <w:basedOn w:val="1"/>
    <w:qFormat/>
    <w:uiPriority w:val="34"/>
    <w:pPr>
      <w:ind w:firstLine="420" w:firstLineChars="200"/>
    </w:pPr>
    <w:rPr>
      <w:rFonts w:ascii="Calibri" w:hAnsi="Calibri" w:eastAsia="宋体" w:cs="Times New Roman"/>
      <w:szCs w:val="22"/>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20">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2716</Words>
  <Characters>2775</Characters>
  <Lines>0</Lines>
  <Paragraphs>0</Paragraphs>
  <TotalTime>4</TotalTime>
  <ScaleCrop>false</ScaleCrop>
  <LinksUpToDate>false</LinksUpToDate>
  <CharactersWithSpaces>3627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zl</cp:lastModifiedBy>
  <dcterms:modified xsi:type="dcterms:W3CDTF">2026-05-21T03:06:51Z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48BBDE5B7DBC4FB789204AEB7225012F_12</vt:lpwstr>
  </property>
  <property fmtid="{D5CDD505-2E9C-101B-9397-08002B2CF9AE}" pid="4" name="KSOTemplateDocerSaveRecord">
    <vt:lpwstr>eyJoZGlkIjoiYTFiMDNiZWQ5MWQxMjIzYjU0MTBhYTU0MzhiYWE1ZmUiLCJ1c2VySWQiOiIyNzQ5OTcwMTQifQ==</vt:lpwstr>
  </property>
</Properties>
</file>